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the earliest event reported)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August 3, 2021</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04" w:lineRule="exact"/>
        <w:rPr>
          <w:sz w:val="24"/>
          <w:szCs w:val="24"/>
          <w:color w:val="auto"/>
        </w:rPr>
      </w:pPr>
    </w:p>
    <w:tbl>
      <w:tblPr>
        <w:tblLayout w:type="fixed"/>
        <w:tblInd w:w="300" w:type="dxa"/>
        <w:tblCellMar>
          <w:top w:w="0" w:type="dxa"/>
          <w:left w:w="0" w:type="dxa"/>
          <w:bottom w:w="0" w:type="dxa"/>
          <w:right w:w="0" w:type="dxa"/>
        </w:tblCellMar>
      </w:tblPr>
      <w:tr>
        <w:trPr>
          <w:trHeight w:val="256"/>
        </w:trPr>
        <w:tc>
          <w:tcPr>
            <w:tcW w:w="4000" w:type="dxa"/>
            <w:vAlign w:val="bottom"/>
          </w:tcPr>
          <w:p>
            <w:pPr>
              <w:jc w:val="center"/>
              <w:ind w:right="741"/>
              <w:spacing w:after="0"/>
              <w:rPr>
                <w:sz w:val="20"/>
                <w:szCs w:val="20"/>
                <w:color w:val="auto"/>
              </w:rPr>
            </w:pPr>
            <w:r>
              <w:rPr>
                <w:rFonts w:ascii="Arial" w:cs="Arial" w:eastAsia="Arial" w:hAnsi="Arial"/>
                <w:sz w:val="22"/>
                <w:szCs w:val="22"/>
                <w:b w:val="1"/>
                <w:bCs w:val="1"/>
                <w:color w:val="auto"/>
                <w:w w:val="91"/>
              </w:rPr>
              <w:t>Delaware</w:t>
            </w:r>
          </w:p>
        </w:tc>
        <w:tc>
          <w:tcPr>
            <w:tcW w:w="3100" w:type="dxa"/>
            <w:vAlign w:val="bottom"/>
          </w:tcPr>
          <w:p>
            <w:pPr>
              <w:jc w:val="center"/>
              <w:ind w:right="364"/>
              <w:spacing w:after="0"/>
              <w:rPr>
                <w:sz w:val="20"/>
                <w:szCs w:val="20"/>
                <w:color w:val="auto"/>
              </w:rPr>
            </w:pPr>
            <w:r>
              <w:rPr>
                <w:rFonts w:ascii="Arial" w:cs="Arial" w:eastAsia="Arial" w:hAnsi="Arial"/>
                <w:sz w:val="22"/>
                <w:szCs w:val="22"/>
                <w:b w:val="1"/>
                <w:bCs w:val="1"/>
                <w:color w:val="auto"/>
                <w:w w:val="89"/>
              </w:rPr>
              <w:t>1-13905</w:t>
            </w:r>
          </w:p>
        </w:tc>
        <w:tc>
          <w:tcPr>
            <w:tcW w:w="2640" w:type="dxa"/>
            <w:vAlign w:val="bottom"/>
          </w:tcPr>
          <w:p>
            <w:pPr>
              <w:jc w:val="center"/>
              <w:ind w:left="1203"/>
              <w:spacing w:after="0"/>
              <w:rPr>
                <w:sz w:val="20"/>
                <w:szCs w:val="20"/>
                <w:color w:val="auto"/>
              </w:rPr>
            </w:pPr>
            <w:r>
              <w:rPr>
                <w:rFonts w:ascii="Arial" w:cs="Arial" w:eastAsia="Arial" w:hAnsi="Arial"/>
                <w:sz w:val="22"/>
                <w:szCs w:val="22"/>
                <w:b w:val="1"/>
                <w:bCs w:val="1"/>
                <w:color w:val="auto"/>
                <w:w w:val="90"/>
              </w:rPr>
              <w:t>57-0981653</w:t>
            </w:r>
          </w:p>
        </w:tc>
      </w:tr>
      <w:tr>
        <w:trPr>
          <w:trHeight w:val="216"/>
        </w:trPr>
        <w:tc>
          <w:tcPr>
            <w:tcW w:w="4000" w:type="dxa"/>
            <w:vAlign w:val="bottom"/>
          </w:tcPr>
          <w:p>
            <w:pPr>
              <w:jc w:val="center"/>
              <w:ind w:right="741"/>
              <w:spacing w:after="0"/>
              <w:rPr>
                <w:sz w:val="20"/>
                <w:szCs w:val="20"/>
                <w:color w:val="auto"/>
              </w:rPr>
            </w:pPr>
            <w:r>
              <w:rPr>
                <w:rFonts w:ascii="Arial" w:cs="Arial" w:eastAsia="Arial" w:hAnsi="Arial"/>
                <w:sz w:val="18"/>
                <w:szCs w:val="18"/>
                <w:color w:val="auto"/>
                <w:w w:val="92"/>
              </w:rPr>
              <w:t>(State or other jurisdiction of incorporation)</w:t>
            </w:r>
          </w:p>
        </w:tc>
        <w:tc>
          <w:tcPr>
            <w:tcW w:w="3100" w:type="dxa"/>
            <w:vAlign w:val="bottom"/>
          </w:tcPr>
          <w:p>
            <w:pPr>
              <w:jc w:val="center"/>
              <w:ind w:right="364"/>
              <w:spacing w:after="0"/>
              <w:rPr>
                <w:sz w:val="20"/>
                <w:szCs w:val="20"/>
                <w:color w:val="auto"/>
              </w:rPr>
            </w:pPr>
            <w:r>
              <w:rPr>
                <w:rFonts w:ascii="Arial" w:cs="Arial" w:eastAsia="Arial" w:hAnsi="Arial"/>
                <w:sz w:val="18"/>
                <w:szCs w:val="18"/>
                <w:color w:val="auto"/>
                <w:w w:val="91"/>
              </w:rPr>
              <w:t>(Commission</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3"/>
              </w:rPr>
              <w:t>(IRS Employer</w:t>
            </w:r>
          </w:p>
        </w:tc>
      </w:tr>
      <w:tr>
        <w:trPr>
          <w:trHeight w:val="230"/>
        </w:trPr>
        <w:tc>
          <w:tcPr>
            <w:tcW w:w="4000" w:type="dxa"/>
            <w:vAlign w:val="bottom"/>
          </w:tcPr>
          <w:p>
            <w:pPr>
              <w:spacing w:after="0"/>
              <w:rPr>
                <w:sz w:val="20"/>
                <w:szCs w:val="20"/>
                <w:color w:val="auto"/>
              </w:rPr>
            </w:pPr>
          </w:p>
        </w:tc>
        <w:tc>
          <w:tcPr>
            <w:tcW w:w="3100" w:type="dxa"/>
            <w:vAlign w:val="bottom"/>
          </w:tcPr>
          <w:p>
            <w:pPr>
              <w:jc w:val="center"/>
              <w:ind w:right="344"/>
              <w:spacing w:after="0"/>
              <w:rPr>
                <w:sz w:val="20"/>
                <w:szCs w:val="20"/>
                <w:color w:val="auto"/>
              </w:rPr>
            </w:pPr>
            <w:r>
              <w:rPr>
                <w:rFonts w:ascii="Arial" w:cs="Arial" w:eastAsia="Arial" w:hAnsi="Arial"/>
                <w:sz w:val="18"/>
                <w:szCs w:val="18"/>
                <w:color w:val="auto"/>
                <w:w w:val="94"/>
              </w:rPr>
              <w:t>File Number)</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5"/>
              </w:rPr>
              <w:t>Identification No.)</w:t>
            </w:r>
          </w:p>
        </w:tc>
      </w:tr>
      <w:tr>
        <w:trPr>
          <w:trHeight w:val="661"/>
        </w:trPr>
        <w:tc>
          <w:tcPr>
            <w:tcW w:w="7100" w:type="dxa"/>
            <w:vAlign w:val="bottom"/>
            <w:gridSpan w:val="2"/>
          </w:tcPr>
          <w:p>
            <w:pPr>
              <w:jc w:val="center"/>
              <w:ind w:right="84"/>
              <w:spacing w:after="0"/>
              <w:rPr>
                <w:sz w:val="20"/>
                <w:szCs w:val="20"/>
                <w:color w:val="auto"/>
              </w:rPr>
            </w:pPr>
            <w:r>
              <w:rPr>
                <w:rFonts w:ascii="Arial" w:cs="Arial" w:eastAsia="Arial" w:hAnsi="Arial"/>
                <w:sz w:val="22"/>
                <w:szCs w:val="22"/>
                <w:b w:val="1"/>
                <w:bCs w:val="1"/>
                <w:color w:val="auto"/>
                <w:w w:val="88"/>
              </w:rPr>
              <w:t>5430 LBJ Freeway, Suite 1700, Dallas, Texas</w:t>
            </w:r>
          </w:p>
        </w:tc>
        <w:tc>
          <w:tcPr>
            <w:tcW w:w="2640" w:type="dxa"/>
            <w:vAlign w:val="bottom"/>
          </w:tcPr>
          <w:p>
            <w:pPr>
              <w:jc w:val="center"/>
              <w:ind w:left="1223"/>
              <w:spacing w:after="0"/>
              <w:rPr>
                <w:sz w:val="20"/>
                <w:szCs w:val="20"/>
                <w:color w:val="auto"/>
              </w:rPr>
            </w:pPr>
            <w:r>
              <w:rPr>
                <w:rFonts w:ascii="Arial" w:cs="Arial" w:eastAsia="Arial" w:hAnsi="Arial"/>
                <w:sz w:val="22"/>
                <w:szCs w:val="22"/>
                <w:b w:val="1"/>
                <w:bCs w:val="1"/>
                <w:color w:val="auto"/>
                <w:w w:val="88"/>
              </w:rPr>
              <w:t>75240-2620</w:t>
            </w:r>
          </w:p>
        </w:tc>
      </w:tr>
      <w:tr>
        <w:trPr>
          <w:trHeight w:val="230"/>
        </w:trPr>
        <w:tc>
          <w:tcPr>
            <w:tcW w:w="7100" w:type="dxa"/>
            <w:vAlign w:val="bottom"/>
            <w:gridSpan w:val="2"/>
          </w:tcPr>
          <w:p>
            <w:pPr>
              <w:jc w:val="center"/>
              <w:ind w:right="84"/>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1223"/>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1693545</wp:posOffset>
            </wp:positionH>
            <wp:positionV relativeFrom="paragraph">
              <wp:posOffset>269875</wp:posOffset>
            </wp:positionV>
            <wp:extent cx="37630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63010" cy="1714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ectPr>
          <w:pgSz w:w="11900" w:h="16838" w:orient="portrait"/>
          <w:cols w:equalWidth="0" w:num="1">
            <w:col w:w="11240"/>
          </w:cols>
          <w:pgMar w:left="320" w:top="229" w:right="339" w:bottom="1440" w:gutter="0" w:footer="0" w:header="0"/>
        </w:sectPr>
      </w:pPr>
    </w:p>
    <w:p>
      <w:pPr>
        <w:spacing w:after="0" w:line="120"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520" w:space="280"/>
            <w:col w:w="10440"/>
          </w:cols>
          <w:pgMar w:left="320" w:top="229" w:right="339" w:bottom="1440" w:gutter="0" w:footer="0" w:header="0"/>
          <w:type w:val="continuous"/>
        </w:sectPr>
      </w:pP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8"/>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5"/>
                <w:szCs w:val="15"/>
                <w:color w:val="auto"/>
              </w:rPr>
            </w:pPr>
          </w:p>
        </w:tc>
        <w:tc>
          <w:tcPr>
            <w:tcW w:w="5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280" w:type="dxa"/>
            <w:vAlign w:val="bottom"/>
          </w:tcPr>
          <w:p>
            <w:pPr>
              <w:jc w:val="center"/>
              <w:spacing w:after="0" w:line="130" w:lineRule="exact"/>
              <w:rPr>
                <w:sz w:val="20"/>
                <w:szCs w:val="20"/>
                <w:color w:val="auto"/>
              </w:rPr>
            </w:pPr>
            <w:r>
              <w:rPr>
                <w:rFonts w:ascii="Arial" w:cs="Arial" w:eastAsia="Arial" w:hAnsi="Arial"/>
                <w:sz w:val="14"/>
                <w:szCs w:val="14"/>
                <w:color w:val="auto"/>
                <w:w w:val="93"/>
              </w:rPr>
              <w:t>Class A Common Stock</w:t>
            </w: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280" w:type="dxa"/>
            <w:vAlign w:val="bottom"/>
          </w:tcPr>
          <w:p>
            <w:pPr>
              <w:jc w:val="center"/>
              <w:spacing w:after="0"/>
              <w:rPr>
                <w:sz w:val="20"/>
                <w:szCs w:val="20"/>
                <w:color w:val="auto"/>
              </w:rPr>
            </w:pPr>
            <w:r>
              <w:rPr>
                <w:rFonts w:ascii="Arial" w:cs="Arial" w:eastAsia="Arial" w:hAnsi="Arial"/>
                <w:sz w:val="14"/>
                <w:szCs w:val="14"/>
                <w:color w:val="auto"/>
                <w:w w:val="90"/>
              </w:rPr>
              <w:t>($.01 par value per share)</w:t>
            </w:r>
          </w:p>
        </w:tc>
        <w:tc>
          <w:tcPr>
            <w:tcW w:w="1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rPr>
              <w:t>CIX</w:t>
            </w:r>
          </w:p>
        </w:tc>
        <w:tc>
          <w:tcPr>
            <w:tcW w:w="120" w:type="dxa"/>
            <w:vAlign w:val="bottom"/>
          </w:tcPr>
          <w:p>
            <w:pPr>
              <w:spacing w:after="0"/>
              <w:rPr>
                <w:sz w:val="15"/>
                <w:szCs w:val="15"/>
                <w:color w:val="auto"/>
              </w:rPr>
            </w:pPr>
          </w:p>
        </w:tc>
        <w:tc>
          <w:tcPr>
            <w:tcW w:w="5060" w:type="dxa"/>
            <w:vAlign w:val="bottom"/>
          </w:tcPr>
          <w:p>
            <w:pPr>
              <w:jc w:val="center"/>
              <w:spacing w:after="0"/>
              <w:rPr>
                <w:sz w:val="20"/>
                <w:szCs w:val="20"/>
                <w:color w:val="auto"/>
              </w:rPr>
            </w:pPr>
            <w:r>
              <w:rPr>
                <w:rFonts w:ascii="Arial" w:cs="Arial" w:eastAsia="Arial" w:hAnsi="Arial"/>
                <w:sz w:val="14"/>
                <w:szCs w:val="14"/>
                <w:color w:val="auto"/>
                <w:w w:val="96"/>
              </w:rPr>
              <w:t>NYSE American</w:t>
            </w:r>
          </w:p>
        </w:tc>
        <w:tc>
          <w:tcPr>
            <w:tcW w:w="0" w:type="dxa"/>
            <w:vAlign w:val="bottom"/>
          </w:tcPr>
          <w:p>
            <w:pPr>
              <w:spacing w:after="0"/>
              <w:rPr>
                <w:sz w:val="1"/>
                <w:szCs w:val="1"/>
                <w:color w:val="auto"/>
              </w:rPr>
            </w:pPr>
          </w:p>
        </w:tc>
      </w:tr>
    </w:tbl>
    <w:p>
      <w:pPr>
        <w:spacing w:after="0" w:line="214" w:lineRule="exact"/>
        <w:rPr>
          <w:sz w:val="24"/>
          <w:szCs w:val="24"/>
          <w:color w:val="auto"/>
        </w:rPr>
      </w:pPr>
    </w:p>
    <w:p>
      <w:pPr>
        <w:ind w:right="14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5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tabs>
          <w:tab w:leader="none" w:pos="144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registrant hereby furnishes the information set forth in its press release entitled “CompX Reports Second Quarter 2021 Results” that the registrant issued on August 3, 2021, a copy of which is attached hereto as Exhibit 99.1 and incorporated herein by reference.</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press release the registrant furnishes as Exhibit 99.1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06"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registrant hereby furnishes the information set forth in its press release entitled “CompX Declares Regular Quarterly Dividend” that the registrant also issued on August 3, 2021, a copy of which is attached hereto as Exhibit 99.2 and incorporated herein by reference.</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press release the registrant furnishes as Exhibit 99.2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80" w:type="dxa"/>
            <w:vAlign w:val="bottom"/>
          </w:tcPr>
          <w:p>
            <w:pPr>
              <w:spacing w:after="0"/>
              <w:rPr>
                <w:sz w:val="20"/>
                <w:szCs w:val="20"/>
                <w:color w:val="auto"/>
              </w:rPr>
            </w:pPr>
            <w:r>
              <w:rPr>
                <w:rFonts w:ascii="Arial" w:cs="Arial" w:eastAsia="Arial" w:hAnsi="Arial"/>
                <w:sz w:val="22"/>
                <w:szCs w:val="22"/>
                <w:color w:val="auto"/>
              </w:rPr>
              <w:t>(d)</w:t>
            </w:r>
          </w:p>
        </w:tc>
        <w:tc>
          <w:tcPr>
            <w:tcW w:w="2040" w:type="dxa"/>
            <w:vAlign w:val="bottom"/>
          </w:tcPr>
          <w:p>
            <w:pPr>
              <w:spacing w:after="0"/>
              <w:rPr>
                <w:sz w:val="20"/>
                <w:szCs w:val="20"/>
                <w:color w:val="auto"/>
              </w:rPr>
            </w:pPr>
            <w:r>
              <w:rPr>
                <w:rFonts w:ascii="Arial" w:cs="Arial" w:eastAsia="Arial" w:hAnsi="Arial"/>
                <w:sz w:val="22"/>
                <w:szCs w:val="22"/>
                <w:color w:val="auto"/>
              </w:rPr>
              <w:t>Exhibits</w:t>
            </w:r>
          </w:p>
        </w:tc>
        <w:tc>
          <w:tcPr>
            <w:tcW w:w="5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5620" w:type="dxa"/>
            <w:vAlign w:val="bottom"/>
          </w:tcPr>
          <w:p>
            <w:pPr>
              <w:spacing w:after="0"/>
              <w:rPr>
                <w:sz w:val="23"/>
                <w:szCs w:val="23"/>
                <w:color w:val="auto"/>
              </w:rPr>
            </w:pPr>
          </w:p>
        </w:tc>
      </w:tr>
      <w:tr>
        <w:trPr>
          <w:trHeight w:val="456"/>
        </w:trPr>
        <w:tc>
          <w:tcPr>
            <w:tcW w:w="680" w:type="dxa"/>
            <w:vAlign w:val="bottom"/>
          </w:tcPr>
          <w:p>
            <w:pPr>
              <w:spacing w:after="0"/>
              <w:rPr>
                <w:sz w:val="24"/>
                <w:szCs w:val="24"/>
                <w:color w:val="auto"/>
              </w:rPr>
            </w:pPr>
          </w:p>
        </w:tc>
        <w:tc>
          <w:tcPr>
            <w:tcW w:w="2040" w:type="dxa"/>
            <w:vAlign w:val="bottom"/>
            <w:tcBorders>
              <w:bottom w:val="single" w:sz="8" w:color="auto"/>
            </w:tcBorders>
          </w:tcPr>
          <w:p>
            <w:pPr>
              <w:ind w:left="620"/>
              <w:spacing w:after="0"/>
              <w:rPr>
                <w:sz w:val="20"/>
                <w:szCs w:val="20"/>
                <w:color w:val="auto"/>
              </w:rPr>
            </w:pPr>
            <w:r>
              <w:rPr>
                <w:rFonts w:ascii="Arial" w:cs="Arial" w:eastAsia="Arial" w:hAnsi="Arial"/>
                <w:sz w:val="22"/>
                <w:szCs w:val="22"/>
                <w:b w:val="1"/>
                <w:bCs w:val="1"/>
                <w:color w:val="auto"/>
              </w:rPr>
              <w:t>Item No.</w:t>
            </w:r>
          </w:p>
        </w:tc>
        <w:tc>
          <w:tcPr>
            <w:tcW w:w="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ind w:left="1100"/>
              <w:spacing w:after="0"/>
              <w:rPr>
                <w:sz w:val="20"/>
                <w:szCs w:val="20"/>
                <w:color w:val="auto"/>
              </w:rPr>
            </w:pPr>
            <w:r>
              <w:rPr>
                <w:rFonts w:ascii="Arial" w:cs="Arial" w:eastAsia="Arial" w:hAnsi="Arial"/>
                <w:sz w:val="22"/>
                <w:szCs w:val="22"/>
                <w:b w:val="1"/>
                <w:bCs w:val="1"/>
                <w:color w:val="auto"/>
              </w:rPr>
              <w:t>Description</w:t>
            </w:r>
          </w:p>
        </w:tc>
      </w:tr>
      <w:tr>
        <w:trPr>
          <w:trHeight w:val="418"/>
        </w:trPr>
        <w:tc>
          <w:tcPr>
            <w:tcW w:w="68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22"/>
                <w:szCs w:val="22"/>
                <w:color w:val="auto"/>
              </w:rPr>
              <w:t>99.1</w:t>
            </w:r>
          </w:p>
        </w:tc>
        <w:tc>
          <w:tcPr>
            <w:tcW w:w="520" w:type="dxa"/>
            <w:vAlign w:val="bottom"/>
          </w:tcPr>
          <w:p>
            <w:pPr>
              <w:spacing w:after="0"/>
              <w:rPr>
                <w:sz w:val="24"/>
                <w:szCs w:val="24"/>
                <w:color w:val="auto"/>
              </w:rPr>
            </w:pPr>
          </w:p>
        </w:tc>
        <w:tc>
          <w:tcPr>
            <w:tcW w:w="8000" w:type="dxa"/>
            <w:vAlign w:val="bottom"/>
            <w:tcBorders>
              <w:bottom w:val="single" w:sz="8" w:color="0000EE"/>
            </w:tcBorders>
            <w:gridSpan w:val="2"/>
          </w:tcPr>
          <w:p>
            <w:pPr>
              <w:spacing w:after="0"/>
              <w:rPr>
                <w:rFonts w:ascii="Arial" w:cs="Arial" w:eastAsia="Arial" w:hAnsi="Arial"/>
                <w:sz w:val="22"/>
                <w:szCs w:val="22"/>
                <w:color w:val="0000EE"/>
                <w:w w:val="88"/>
              </w:rPr>
            </w:pPr>
            <w:hyperlink w:anchor="page4">
              <w:r>
                <w:rPr>
                  <w:rFonts w:ascii="Arial" w:cs="Arial" w:eastAsia="Arial" w:hAnsi="Arial"/>
                  <w:sz w:val="22"/>
                  <w:szCs w:val="22"/>
                  <w:color w:val="0000EE"/>
                  <w:w w:val="88"/>
                </w:rPr>
                <w:t>Press release dated August 3, 2021 entitled “CompX Reports Second Quarter 2021 Results”</w:t>
              </w:r>
            </w:hyperlink>
          </w:p>
        </w:tc>
      </w:tr>
      <w:tr>
        <w:trPr>
          <w:trHeight w:val="223"/>
        </w:trPr>
        <w:tc>
          <w:tcPr>
            <w:tcW w:w="6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0" w:type="dxa"/>
            <w:vAlign w:val="bottom"/>
            <w:gridSpan w:val="2"/>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and issued by the registrant</w:t>
              </w:r>
              <w:r>
                <w:rPr>
                  <w:rFonts w:ascii="Arial" w:cs="Arial" w:eastAsia="Arial" w:hAnsi="Arial"/>
                  <w:sz w:val="22"/>
                  <w:szCs w:val="22"/>
                  <w:color w:val="000000"/>
                </w:rPr>
                <w:t>.</w:t>
              </w:r>
            </w:hyperlink>
          </w:p>
        </w:tc>
      </w:tr>
      <w:tr>
        <w:trPr>
          <w:trHeight w:val="20"/>
        </w:trPr>
        <w:tc>
          <w:tcPr>
            <w:tcW w:w="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439"/>
        </w:trPr>
        <w:tc>
          <w:tcPr>
            <w:tcW w:w="68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22"/>
                <w:szCs w:val="22"/>
                <w:color w:val="auto"/>
              </w:rPr>
              <w:t>99.2</w:t>
            </w:r>
          </w:p>
        </w:tc>
        <w:tc>
          <w:tcPr>
            <w:tcW w:w="520" w:type="dxa"/>
            <w:vAlign w:val="bottom"/>
          </w:tcPr>
          <w:p>
            <w:pPr>
              <w:spacing w:after="0"/>
              <w:rPr>
                <w:sz w:val="24"/>
                <w:szCs w:val="24"/>
                <w:color w:val="auto"/>
              </w:rPr>
            </w:pPr>
          </w:p>
        </w:tc>
        <w:tc>
          <w:tcPr>
            <w:tcW w:w="8000" w:type="dxa"/>
            <w:vAlign w:val="bottom"/>
            <w:tcBorders>
              <w:bottom w:val="single" w:sz="8" w:color="0000EE"/>
            </w:tcBorders>
            <w:gridSpan w:val="2"/>
          </w:tcPr>
          <w:p>
            <w:pPr>
              <w:spacing w:after="0"/>
              <w:rPr>
                <w:rFonts w:ascii="Arial" w:cs="Arial" w:eastAsia="Arial" w:hAnsi="Arial"/>
                <w:sz w:val="22"/>
                <w:szCs w:val="22"/>
                <w:color w:val="0000EE"/>
                <w:w w:val="90"/>
              </w:rPr>
            </w:pPr>
            <w:hyperlink w:anchor="page8">
              <w:r>
                <w:rPr>
                  <w:rFonts w:ascii="Arial" w:cs="Arial" w:eastAsia="Arial" w:hAnsi="Arial"/>
                  <w:sz w:val="22"/>
                  <w:szCs w:val="22"/>
                  <w:color w:val="0000EE"/>
                  <w:w w:val="90"/>
                </w:rPr>
                <w:t>Press release dated August 3, 2021 entitled “CompX Declares Regular Quarterly Dividend”</w:t>
              </w:r>
            </w:hyperlink>
          </w:p>
        </w:tc>
      </w:tr>
      <w:tr>
        <w:trPr>
          <w:trHeight w:val="223"/>
        </w:trPr>
        <w:tc>
          <w:tcPr>
            <w:tcW w:w="6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0" w:type="dxa"/>
            <w:vAlign w:val="bottom"/>
            <w:gridSpan w:val="2"/>
          </w:tcPr>
          <w:p>
            <w:pPr>
              <w:spacing w:after="0" w:line="223" w:lineRule="exact"/>
              <w:rPr>
                <w:rFonts w:ascii="Arial" w:cs="Arial" w:eastAsia="Arial" w:hAnsi="Arial"/>
                <w:sz w:val="22"/>
                <w:szCs w:val="22"/>
                <w:color w:val="0000EE"/>
              </w:rPr>
            </w:pPr>
            <w:hyperlink w:anchor="page8">
              <w:r>
                <w:rPr>
                  <w:rFonts w:ascii="Arial" w:cs="Arial" w:eastAsia="Arial" w:hAnsi="Arial"/>
                  <w:sz w:val="22"/>
                  <w:szCs w:val="22"/>
                  <w:color w:val="0000EE"/>
                </w:rPr>
                <w:t>and issued by the registrant</w:t>
              </w:r>
              <w:r>
                <w:rPr>
                  <w:rFonts w:ascii="Arial" w:cs="Arial" w:eastAsia="Arial" w:hAnsi="Arial"/>
                  <w:sz w:val="22"/>
                  <w:szCs w:val="22"/>
                  <w:color w:val="000000"/>
                </w:rPr>
                <w:t>.</w:t>
              </w:r>
            </w:hyperlink>
          </w:p>
        </w:tc>
      </w:tr>
      <w:tr>
        <w:trPr>
          <w:trHeight w:val="20"/>
        </w:trPr>
        <w:tc>
          <w:tcPr>
            <w:tcW w:w="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490"/>
        </w:trPr>
        <w:tc>
          <w:tcPr>
            <w:tcW w:w="68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22"/>
                <w:szCs w:val="22"/>
                <w:color w:val="auto"/>
              </w:rPr>
              <w:t>104</w:t>
            </w:r>
          </w:p>
        </w:tc>
        <w:tc>
          <w:tcPr>
            <w:tcW w:w="52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22"/>
                <w:szCs w:val="22"/>
                <w:color w:val="auto"/>
              </w:rPr>
              <w:t>Cover Page Interactive Data File (embedded within the Inline XBRL document)</w:t>
            </w:r>
          </w:p>
        </w:tc>
      </w:tr>
      <w:tr>
        <w:trPr>
          <w:trHeight w:val="901"/>
        </w:trPr>
        <w:tc>
          <w:tcPr>
            <w:tcW w:w="6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6"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w:t>
      </w:r>
      <w:r>
        <w:rPr>
          <w:rFonts w:ascii="Arial" w:cs="Arial" w:eastAsia="Arial" w:hAnsi="Arial"/>
          <w:sz w:val="22"/>
          <w:szCs w:val="22"/>
          <w:b w:val="1"/>
          <w:bCs w:val="1"/>
          <w:color w:val="auto"/>
        </w:rPr>
        <w:t>X I</w:t>
      </w:r>
      <w:r>
        <w:rPr>
          <w:rFonts w:ascii="Arial" w:cs="Arial" w:eastAsia="Arial" w:hAnsi="Arial"/>
          <w:sz w:val="14"/>
          <w:szCs w:val="14"/>
          <w:b w:val="1"/>
          <w:bCs w:val="1"/>
          <w:color w:val="auto"/>
        </w:rPr>
        <w:t>NTERNATIONAL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000" w:type="dxa"/>
            <w:vAlign w:val="bottom"/>
            <w:gridSpan w:val="2"/>
          </w:tcPr>
          <w:p>
            <w:pPr>
              <w:ind w:left="5620"/>
              <w:spacing w:after="0"/>
              <w:rPr>
                <w:sz w:val="20"/>
                <w:szCs w:val="20"/>
                <w:color w:val="auto"/>
              </w:rPr>
            </w:pPr>
            <w:r>
              <w:rPr>
                <w:rFonts w:ascii="Arial" w:cs="Arial" w:eastAsia="Arial" w:hAnsi="Arial"/>
                <w:sz w:val="22"/>
                <w:szCs w:val="22"/>
                <w:color w:val="auto"/>
              </w:rPr>
              <w:t>By:</w:t>
            </w:r>
          </w:p>
        </w:tc>
        <w:tc>
          <w:tcPr>
            <w:tcW w:w="5240" w:type="dxa"/>
            <w:vAlign w:val="bottom"/>
          </w:tcPr>
          <w:p>
            <w:pPr>
              <w:ind w:left="400"/>
              <w:spacing w:after="0"/>
              <w:rPr>
                <w:sz w:val="20"/>
                <w:szCs w:val="20"/>
                <w:color w:val="auto"/>
              </w:rPr>
            </w:pPr>
            <w:r>
              <w:rPr>
                <w:rFonts w:ascii="Arial" w:cs="Arial" w:eastAsia="Arial" w:hAnsi="Arial"/>
                <w:sz w:val="22"/>
                <w:szCs w:val="22"/>
                <w:color w:val="auto"/>
              </w:rPr>
              <w:t>/s/ Michael S. Simmons</w:t>
            </w:r>
          </w:p>
        </w:tc>
      </w:tr>
      <w:tr>
        <w:trPr>
          <w:trHeight w:val="222"/>
        </w:trPr>
        <w:tc>
          <w:tcPr>
            <w:tcW w:w="5620" w:type="dxa"/>
            <w:vAlign w:val="bottom"/>
          </w:tcPr>
          <w:p>
            <w:pPr>
              <w:spacing w:after="0" w:line="222" w:lineRule="exact"/>
              <w:rPr>
                <w:sz w:val="20"/>
                <w:szCs w:val="20"/>
                <w:color w:val="auto"/>
              </w:rPr>
            </w:pPr>
            <w:r>
              <w:rPr>
                <w:rFonts w:ascii="Arial" w:cs="Arial" w:eastAsia="Arial" w:hAnsi="Arial"/>
                <w:sz w:val="22"/>
                <w:szCs w:val="22"/>
                <w:color w:val="auto"/>
              </w:rPr>
              <w:t>Date: August 3, 2021</w:t>
            </w:r>
          </w:p>
        </w:tc>
        <w:tc>
          <w:tcPr>
            <w:tcW w:w="380" w:type="dxa"/>
            <w:vAlign w:val="bottom"/>
            <w:tcBorders>
              <w:top w:val="single" w:sz="8" w:color="auto"/>
            </w:tcBorders>
          </w:tcPr>
          <w:p>
            <w:pPr>
              <w:spacing w:after="0"/>
              <w:rPr>
                <w:sz w:val="19"/>
                <w:szCs w:val="19"/>
                <w:color w:val="auto"/>
              </w:rPr>
            </w:pPr>
          </w:p>
        </w:tc>
        <w:tc>
          <w:tcPr>
            <w:tcW w:w="5240" w:type="dxa"/>
            <w:vAlign w:val="bottom"/>
            <w:tcBorders>
              <w:top w:val="single" w:sz="8" w:color="auto"/>
            </w:tcBorders>
          </w:tcPr>
          <w:p>
            <w:pPr>
              <w:ind w:left="80"/>
              <w:spacing w:after="0" w:line="222" w:lineRule="exact"/>
              <w:rPr>
                <w:sz w:val="20"/>
                <w:szCs w:val="20"/>
                <w:color w:val="auto"/>
              </w:rPr>
            </w:pPr>
            <w:r>
              <w:rPr>
                <w:rFonts w:ascii="Arial" w:cs="Arial" w:eastAsia="Arial" w:hAnsi="Arial"/>
                <w:sz w:val="22"/>
                <w:szCs w:val="22"/>
                <w:i w:val="1"/>
                <w:iCs w:val="1"/>
                <w:color w:val="auto"/>
              </w:rPr>
              <w:t>Michael S. Simmons</w:t>
            </w:r>
          </w:p>
        </w:tc>
      </w:tr>
      <w:tr>
        <w:trPr>
          <w:trHeight w:val="243"/>
        </w:trPr>
        <w:tc>
          <w:tcPr>
            <w:tcW w:w="5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40" w:type="dxa"/>
            <w:vAlign w:val="bottom"/>
          </w:tcPr>
          <w:p>
            <w:pPr>
              <w:ind w:left="80"/>
              <w:spacing w:after="0" w:line="243" w:lineRule="exact"/>
              <w:rPr>
                <w:sz w:val="20"/>
                <w:szCs w:val="20"/>
                <w:color w:val="auto"/>
              </w:rPr>
            </w:pPr>
            <w:r>
              <w:rPr>
                <w:rFonts w:ascii="Arial" w:cs="Arial" w:eastAsia="Arial" w:hAnsi="Arial"/>
                <w:sz w:val="22"/>
                <w:szCs w:val="22"/>
                <w:i w:val="1"/>
                <w:iCs w:val="1"/>
                <w:color w:val="auto"/>
              </w:rPr>
              <w:t>Senior Vice President and</w:t>
            </w:r>
          </w:p>
        </w:tc>
      </w:tr>
      <w:tr>
        <w:trPr>
          <w:trHeight w:val="274"/>
        </w:trPr>
        <w:tc>
          <w:tcPr>
            <w:tcW w:w="5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40" w:type="dxa"/>
            <w:vAlign w:val="bottom"/>
          </w:tcPr>
          <w:p>
            <w:pPr>
              <w:ind w:left="140"/>
              <w:spacing w:after="0"/>
              <w:rPr>
                <w:sz w:val="20"/>
                <w:szCs w:val="20"/>
                <w:color w:val="auto"/>
              </w:rPr>
            </w:pPr>
            <w:r>
              <w:rPr>
                <w:rFonts w:ascii="Arial" w:cs="Arial" w:eastAsia="Arial" w:hAnsi="Arial"/>
                <w:sz w:val="22"/>
                <w:szCs w:val="22"/>
                <w:i w:val="1"/>
                <w:iCs w:val="1"/>
                <w:color w:val="auto"/>
              </w:rPr>
              <w:t>Chief Financial Officer</w:t>
            </w:r>
          </w:p>
        </w:tc>
      </w:tr>
    </w:tbl>
    <w:p>
      <w:pPr>
        <w:sectPr>
          <w:pgSz w:w="11900" w:h="16838" w:orient="portrait"/>
          <w:cols w:equalWidth="0" w:num="1">
            <w:col w:w="11240"/>
          </w:cols>
          <w:pgMar w:left="320" w:top="598" w:right="339" w:bottom="1440" w:gutter="0" w:footer="0" w:header="0"/>
        </w:sectPr>
      </w:pPr>
    </w:p>
    <w:bookmarkStart w:id="3" w:name="page4"/>
    <w:bookmarkEnd w:id="3"/>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2848610</wp:posOffset>
            </wp:positionH>
            <wp:positionV relativeFrom="page">
              <wp:posOffset>88900</wp:posOffset>
            </wp:positionV>
            <wp:extent cx="1851660"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51660" cy="5143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0"/>
          <w:szCs w:val="30"/>
          <w:b w:val="1"/>
          <w:bCs w:val="1"/>
          <w:color w:val="auto"/>
        </w:rPr>
        <w:t>PRESS RELEASE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w:t>
      </w:r>
    </w:p>
    <w:p>
      <w:pPr>
        <w:spacing w:after="0" w:line="211"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CompX International Inc.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5430 LBJ Freeway, Suite 1700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Dallas, Texas 75240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Janet G. Keckeisen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Tel. 972-233-1700</w:t>
      </w:r>
    </w:p>
    <w:p>
      <w:pPr>
        <w:spacing w:after="0" w:line="234"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COMPX REPORTS SECOND QUARTER 2021 RESULTS</w:t>
      </w:r>
    </w:p>
    <w:p>
      <w:pPr>
        <w:spacing w:after="0" w:line="25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DALLAS, TEXAS … August 3, 2021 … CompX International Inc. (NYSE American: CIX) announced today sales of $36.3 million for the second quarter of 2021 compared to $23.8 million in the same period of 2020. Operating income was $5.8 million in the second quarter of 2021 compared to $2.4 million in the same period in 2020. Net income for the second quarter of 2021 was $4.6 million, or $0.37 per diluted share, compared to $2.1 million, or $0.17 per diluted share, in the second quarter of 2020. The second quarter of 2020 was the quarter most impacted by the COVID-19 pandemic.</w:t>
      </w:r>
    </w:p>
    <w:p>
      <w:pPr>
        <w:spacing w:after="0" w:line="7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the six months ended June 30, 2021, sales were $72.2 million compared to $56.1 million in the previous year. Operating income was $11.6 million for the first six months of 2021 compared to $7.4 million for the same period in 2020. Net income for the six months ended June 30, 2021 was $9.3 million or $0.75 per diluted share, compared to $6.3 million, or $0.51 per diluted share, for the same period in 2020.</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Second quarter and year-to-date 2021 net sales increased over the comparable 2020 periods primarily due to higher sales volumes at both of our segments as many of our customers were temporarily closed or reduced production during the second quarter of 2020 due to government ordered closures or reduced demand resulting from the COVID-19 pandemic. Operating income increased for both comparative periods due to the favorable effect of higher sales volumes, partially offset by higher production costs including increased labor and shipping costs.</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CompX is a leading manufacturer of security products and recreational marine components. It operates from three locations in the U.S. and employs approximately 535 people.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b w:val="1"/>
          <w:bCs w:val="1"/>
          <w:color w:val="auto"/>
        </w:rPr>
        <w:t>Forward-Looking Statements</w:t>
      </w:r>
    </w:p>
    <w:p>
      <w:pPr>
        <w:spacing w:after="0" w:line="24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statements in this press release relating to matters that are not historical facts are forward-looking statements that represent management’s belief and assumptions based on currently available information. Although we believe the expectations reflected in such forward-looking statements are reasonable, we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we continue to face many risks and uncertainties. The factors that could cause our actual future results to differ materially include, but are not limited to, the following:</w:t>
      </w:r>
    </w:p>
    <w:p>
      <w:pPr>
        <w:spacing w:after="0" w:line="200" w:lineRule="exact"/>
        <w:rPr>
          <w:sz w:val="20"/>
          <w:szCs w:val="20"/>
          <w:color w:val="auto"/>
        </w:rPr>
      </w:pPr>
    </w:p>
    <w:p>
      <w:pPr>
        <w:spacing w:after="0" w:line="234" w:lineRule="exact"/>
        <w:rPr>
          <w:sz w:val="20"/>
          <w:szCs w:val="20"/>
          <w:color w:val="auto"/>
        </w:rPr>
      </w:pPr>
    </w:p>
    <w:p>
      <w:pPr>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Future demand for our products,</w:t>
      </w:r>
    </w:p>
    <w:p>
      <w:pPr>
        <w:spacing w:after="0" w:line="206" w:lineRule="exact"/>
        <w:rPr>
          <w:rFonts w:ascii="Arial" w:cs="Arial" w:eastAsia="Arial" w:hAnsi="Arial"/>
          <w:sz w:val="22"/>
          <w:szCs w:val="22"/>
          <w:color w:val="auto"/>
        </w:rPr>
      </w:pPr>
    </w:p>
    <w:p>
      <w:pPr>
        <w:ind w:left="880" w:hanging="431"/>
        <w:spacing w:after="0" w:line="274" w:lineRule="auto"/>
        <w:tabs>
          <w:tab w:leader="none" w:pos="880" w:val="left"/>
        </w:tabs>
        <w:numPr>
          <w:ilvl w:val="0"/>
          <w:numId w:val="1"/>
        </w:numPr>
        <w:rPr>
          <w:rFonts w:ascii="Arial" w:cs="Arial" w:eastAsia="Arial" w:hAnsi="Arial"/>
          <w:sz w:val="21"/>
          <w:szCs w:val="21"/>
          <w:color w:val="auto"/>
        </w:rPr>
      </w:pPr>
      <w:r>
        <w:rPr>
          <w:rFonts w:ascii="Arial" w:cs="Arial" w:eastAsia="Arial" w:hAnsi="Arial"/>
          <w:sz w:val="21"/>
          <w:szCs w:val="21"/>
          <w:color w:val="auto"/>
        </w:rPr>
        <w:t>Changes in our raw material and other operating costs (such as zinc, brass, aluminum, steel and energy costs) and our ability to pass those costs on to our customers or offset them with reductions in other operating costs,</w:t>
      </w:r>
    </w:p>
    <w:p>
      <w:pPr>
        <w:spacing w:after="0" w:line="150" w:lineRule="exact"/>
        <w:rPr>
          <w:rFonts w:ascii="Arial" w:cs="Arial" w:eastAsia="Arial" w:hAnsi="Arial"/>
          <w:sz w:val="21"/>
          <w:szCs w:val="21"/>
          <w:color w:val="auto"/>
        </w:rPr>
      </w:pPr>
    </w:p>
    <w:p>
      <w:pPr>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Price and product competition from low-cost manufacturing sources (such as China),</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impact of pricing and production decisions,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Customer and competitor strategies including substitute products,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Uncertainties associated with the development of new products and product features,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Future litigation,</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Our ability to protect or defend our intellectual property rights,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Potential difficulties in integrating future acquisitions,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Decisions to sell operating assets other than in the ordinary course of business,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1"/>
        </w:numPr>
        <w:rPr>
          <w:rFonts w:ascii="Arial" w:cs="Arial" w:eastAsia="Arial" w:hAnsi="Arial"/>
          <w:sz w:val="19"/>
          <w:szCs w:val="19"/>
          <w:color w:val="auto"/>
        </w:rPr>
      </w:pPr>
      <w:r>
        <w:rPr>
          <w:rFonts w:ascii="Arial" w:cs="Arial" w:eastAsia="Arial" w:hAnsi="Arial"/>
          <w:sz w:val="19"/>
          <w:szCs w:val="19"/>
          <w:color w:val="auto"/>
        </w:rPr>
        <w:t>Environmental matters (such as those requiring emission and discharge standards for existing and new facilities),</w:t>
      </w:r>
    </w:p>
    <w:p>
      <w:pPr>
        <w:spacing w:after="0" w:line="240" w:lineRule="exact"/>
        <w:rPr>
          <w:rFonts w:ascii="Arial" w:cs="Arial" w:eastAsia="Arial" w:hAnsi="Arial"/>
          <w:sz w:val="19"/>
          <w:szCs w:val="19"/>
          <w:color w:val="auto"/>
        </w:rPr>
      </w:pPr>
    </w:p>
    <w:p>
      <w:pPr>
        <w:ind w:left="880" w:hanging="431"/>
        <w:spacing w:after="0"/>
        <w:tabs>
          <w:tab w:leader="none" w:pos="880" w:val="left"/>
        </w:tabs>
        <w:numPr>
          <w:ilvl w:val="0"/>
          <w:numId w:val="1"/>
        </w:numPr>
        <w:rPr>
          <w:rFonts w:ascii="Arial" w:cs="Arial" w:eastAsia="Arial" w:hAnsi="Arial"/>
          <w:sz w:val="19"/>
          <w:szCs w:val="19"/>
          <w:color w:val="auto"/>
        </w:rPr>
      </w:pPr>
      <w:r>
        <w:rPr>
          <w:rFonts w:ascii="Arial" w:cs="Arial" w:eastAsia="Arial" w:hAnsi="Arial"/>
          <w:sz w:val="19"/>
          <w:szCs w:val="19"/>
          <w:color w:val="auto"/>
        </w:rPr>
        <w:t>The ultimate outcome of income tax audits, tax settlement initiatives or other tax matters, including future tax reform,</w:t>
      </w:r>
    </w:p>
    <w:p>
      <w:pPr>
        <w:spacing w:after="0" w:line="240" w:lineRule="exact"/>
        <w:rPr>
          <w:rFonts w:ascii="Arial" w:cs="Arial" w:eastAsia="Arial" w:hAnsi="Arial"/>
          <w:sz w:val="19"/>
          <w:szCs w:val="19"/>
          <w:color w:val="auto"/>
        </w:rPr>
      </w:pPr>
    </w:p>
    <w:p>
      <w:pPr>
        <w:ind w:left="880" w:hanging="431"/>
        <w:spacing w:after="0"/>
        <w:tabs>
          <w:tab w:leader="none" w:pos="880" w:val="left"/>
        </w:tabs>
        <w:numPr>
          <w:ilvl w:val="0"/>
          <w:numId w:val="1"/>
        </w:numPr>
        <w:rPr>
          <w:rFonts w:ascii="Arial" w:cs="Arial" w:eastAsia="Arial" w:hAnsi="Arial"/>
          <w:sz w:val="19"/>
          <w:szCs w:val="19"/>
          <w:color w:val="auto"/>
        </w:rPr>
      </w:pPr>
      <w:r>
        <w:rPr>
          <w:rFonts w:ascii="Arial" w:cs="Arial" w:eastAsia="Arial" w:hAnsi="Arial"/>
          <w:sz w:val="19"/>
          <w:szCs w:val="19"/>
          <w:color w:val="auto"/>
        </w:rPr>
        <w:t>The impact of current or future government regulations (including employee healthcare benefit related regulations),</w:t>
      </w:r>
    </w:p>
    <w:p>
      <w:pPr>
        <w:spacing w:after="0" w:line="240" w:lineRule="exact"/>
        <w:rPr>
          <w:rFonts w:ascii="Arial" w:cs="Arial" w:eastAsia="Arial" w:hAnsi="Arial"/>
          <w:sz w:val="19"/>
          <w:szCs w:val="19"/>
          <w:color w:val="auto"/>
        </w:rPr>
      </w:pPr>
    </w:p>
    <w:p>
      <w:pPr>
        <w:jc w:val="both"/>
        <w:ind w:left="880" w:hanging="431"/>
        <w:spacing w:after="0" w:line="238" w:lineRule="auto"/>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General global economic and political conditions that introduce instability into our supply chain, impact our customers’ level of demand or our customers’ perception regarding demand or impair our ability to operate our facilities (including changes in the level of gross domestic product in various regions of the world, natural disasters, terrorist acts, global conflicts and public health crises such as COVID-19),</w:t>
      </w:r>
    </w:p>
    <w:p>
      <w:pPr>
        <w:spacing w:after="0" w:line="184" w:lineRule="exact"/>
        <w:rPr>
          <w:rFonts w:ascii="Arial" w:cs="Arial" w:eastAsia="Arial" w:hAnsi="Arial"/>
          <w:sz w:val="22"/>
          <w:szCs w:val="22"/>
          <w:color w:val="auto"/>
        </w:rPr>
      </w:pPr>
    </w:p>
    <w:p>
      <w:pPr>
        <w:jc w:val="both"/>
        <w:ind w:left="880" w:hanging="431"/>
        <w:spacing w:after="0"/>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Operating interruptions (including, but not limited to labor disputes, hazardous chemical leaks, natural disasters, fires, explosions, unscheduled or unplanned downtime, transportation interruptions, cyber-attacks and public health crises such as COVID-19); and</w:t>
      </w:r>
    </w:p>
    <w:p>
      <w:pPr>
        <w:spacing w:after="0" w:line="186" w:lineRule="exact"/>
        <w:rPr>
          <w:rFonts w:ascii="Arial" w:cs="Arial" w:eastAsia="Arial" w:hAnsi="Arial"/>
          <w:sz w:val="22"/>
          <w:szCs w:val="22"/>
          <w:color w:val="auto"/>
        </w:rPr>
      </w:pPr>
    </w:p>
    <w:p>
      <w:pPr>
        <w:ind w:left="880" w:hanging="431"/>
        <w:spacing w:after="0" w:line="250" w:lineRule="auto"/>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Possible disruption of our business or increases in the cost of doing business resulting from terrorist activities or global conflicts.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both"/>
        <w:spacing w:after="0" w:line="238" w:lineRule="auto"/>
        <w:rPr>
          <w:sz w:val="20"/>
          <w:szCs w:val="20"/>
          <w:color w:val="auto"/>
        </w:rPr>
      </w:pPr>
      <w:r>
        <w:rPr>
          <w:rFonts w:ascii="Arial" w:cs="Arial" w:eastAsia="Arial" w:hAnsi="Arial"/>
          <w:sz w:val="22"/>
          <w:szCs w:val="22"/>
          <w:color w:val="auto"/>
        </w:rPr>
        <w:t>Should one or more of these risks materialize (or the consequences of such development worsen), or should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5"/>
          <w:szCs w:val="25"/>
          <w:b w:val="1"/>
          <w:bCs w:val="1"/>
          <w:color w:val="auto"/>
        </w:rPr>
        <w:t>COMPX INTERNATIONAL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OF CONSOLIDATED OPERATIONS</w:t>
      </w:r>
    </w:p>
    <w:p>
      <w:pPr>
        <w:jc w:val="center"/>
        <w:spacing w:after="0" w:line="230" w:lineRule="auto"/>
        <w:rPr>
          <w:sz w:val="20"/>
          <w:szCs w:val="20"/>
          <w:color w:val="auto"/>
        </w:rPr>
      </w:pPr>
      <w:r>
        <w:rPr>
          <w:rFonts w:ascii="Arial" w:cs="Arial" w:eastAsia="Arial" w:hAnsi="Arial"/>
          <w:sz w:val="22"/>
          <w:szCs w:val="22"/>
          <w:b w:val="1"/>
          <w:bCs w:val="1"/>
          <w:color w:val="auto"/>
        </w:rPr>
        <w:t>(In millions,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2320" w:type="dxa"/>
            <w:vAlign w:val="bottom"/>
            <w:gridSpan w:val="5"/>
          </w:tcPr>
          <w:p>
            <w:pPr>
              <w:ind w:left="560"/>
              <w:spacing w:after="0"/>
              <w:rPr>
                <w:sz w:val="20"/>
                <w:szCs w:val="20"/>
                <w:color w:val="auto"/>
              </w:rPr>
            </w:pPr>
            <w:r>
              <w:rPr>
                <w:rFonts w:ascii="Arial" w:cs="Arial" w:eastAsia="Arial" w:hAnsi="Arial"/>
                <w:sz w:val="18"/>
                <w:szCs w:val="18"/>
                <w:b w:val="1"/>
                <w:bCs w:val="1"/>
                <w:color w:val="auto"/>
                <w:w w:val="98"/>
              </w:rPr>
              <w:t>Three months ended</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60" w:type="dxa"/>
            <w:vAlign w:val="bottom"/>
            <w:gridSpan w:val="4"/>
          </w:tcPr>
          <w:p>
            <w:pPr>
              <w:jc w:val="center"/>
              <w:ind w:right="157"/>
              <w:spacing w:after="0"/>
              <w:rPr>
                <w:sz w:val="20"/>
                <w:szCs w:val="20"/>
                <w:color w:val="auto"/>
              </w:rPr>
            </w:pPr>
            <w:r>
              <w:rPr>
                <w:rFonts w:ascii="Arial" w:cs="Arial" w:eastAsia="Arial" w:hAnsi="Arial"/>
                <w:sz w:val="18"/>
                <w:szCs w:val="18"/>
                <w:b w:val="1"/>
                <w:bCs w:val="1"/>
                <w:color w:val="auto"/>
                <w:w w:val="87"/>
              </w:rPr>
              <w:t>Six months ended</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3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June 30,</w:t>
            </w:r>
          </w:p>
        </w:tc>
        <w:tc>
          <w:tcPr>
            <w:tcW w:w="5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center"/>
              <w:ind w:left="155"/>
              <w:spacing w:after="0"/>
              <w:rPr>
                <w:sz w:val="20"/>
                <w:szCs w:val="20"/>
                <w:color w:val="auto"/>
              </w:rPr>
            </w:pPr>
            <w:r>
              <w:rPr>
                <w:rFonts w:ascii="Arial" w:cs="Arial" w:eastAsia="Arial" w:hAnsi="Arial"/>
                <w:sz w:val="18"/>
                <w:szCs w:val="18"/>
                <w:b w:val="1"/>
                <w:bCs w:val="1"/>
                <w:color w:val="auto"/>
                <w:w w:val="88"/>
              </w:rPr>
              <w:t>June 30,</w:t>
            </w:r>
          </w:p>
        </w:tc>
        <w:tc>
          <w:tcPr>
            <w:tcW w:w="5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89"/>
              </w:rPr>
              <w:t>2020</w:t>
            </w:r>
          </w:p>
        </w:tc>
        <w:tc>
          <w:tcPr>
            <w:tcW w:w="4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2020</w:t>
            </w: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gridSpan w:val="2"/>
          </w:tcPr>
          <w:p>
            <w:pPr>
              <w:spacing w:after="0"/>
              <w:rPr>
                <w:sz w:val="24"/>
                <w:szCs w:val="24"/>
                <w:color w:val="auto"/>
              </w:rPr>
            </w:pPr>
          </w:p>
        </w:tc>
        <w:tc>
          <w:tcPr>
            <w:tcW w:w="88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sales</w:t>
            </w:r>
          </w:p>
        </w:tc>
        <w:tc>
          <w:tcPr>
            <w:tcW w:w="780" w:type="dxa"/>
            <w:vAlign w:val="bottom"/>
            <w:shd w:val="clear" w:color="auto" w:fill="CCEEFF"/>
          </w:tcPr>
          <w:p>
            <w:pPr>
              <w:ind w:left="580"/>
              <w:spacing w:after="0" w:line="243" w:lineRule="exact"/>
              <w:rPr>
                <w:sz w:val="20"/>
                <w:szCs w:val="20"/>
                <w:color w:val="auto"/>
              </w:rPr>
            </w:pPr>
            <w:r>
              <w:rPr>
                <w:rFonts w:ascii="Arial" w:cs="Arial" w:eastAsia="Arial" w:hAnsi="Arial"/>
                <w:sz w:val="22"/>
                <w:szCs w:val="22"/>
                <w:color w:val="auto"/>
              </w:rPr>
              <w:t>$</w:t>
            </w:r>
          </w:p>
        </w:tc>
        <w:tc>
          <w:tcPr>
            <w:tcW w:w="4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8"/>
              </w:rPr>
              <w:t>23.8</w:t>
            </w:r>
          </w:p>
        </w:tc>
        <w:tc>
          <w:tcPr>
            <w:tcW w:w="3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3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3"/>
              </w:rPr>
              <w:t>36.3</w:t>
            </w:r>
          </w:p>
        </w:tc>
        <w:tc>
          <w:tcPr>
            <w:tcW w:w="1160" w:type="dxa"/>
            <w:vAlign w:val="bottom"/>
            <w:gridSpan w:val="2"/>
            <w:shd w:val="clear" w:color="auto" w:fill="CCEEFF"/>
          </w:tcPr>
          <w:p>
            <w:pPr>
              <w:jc w:val="center"/>
              <w:ind w:left="912"/>
              <w:spacing w:after="0" w:line="243" w:lineRule="exact"/>
              <w:rPr>
                <w:sz w:val="20"/>
                <w:szCs w:val="20"/>
                <w:color w:val="auto"/>
              </w:rPr>
            </w:pPr>
            <w:r>
              <w:rPr>
                <w:rFonts w:ascii="Arial" w:cs="Arial" w:eastAsia="Arial" w:hAnsi="Arial"/>
                <w:sz w:val="22"/>
                <w:szCs w:val="22"/>
                <w:color w:val="auto"/>
                <w:w w:val="81"/>
              </w:rPr>
              <w:t>$</w:t>
            </w:r>
          </w:p>
        </w:tc>
        <w:tc>
          <w:tcPr>
            <w:tcW w:w="880" w:type="dxa"/>
            <w:vAlign w:val="bottom"/>
            <w:gridSpan w:val="2"/>
            <w:shd w:val="clear" w:color="auto" w:fill="CCEEFF"/>
          </w:tcPr>
          <w:p>
            <w:pPr>
              <w:jc w:val="right"/>
              <w:ind w:right="360"/>
              <w:spacing w:after="0" w:line="243" w:lineRule="exact"/>
              <w:rPr>
                <w:sz w:val="20"/>
                <w:szCs w:val="20"/>
                <w:color w:val="auto"/>
              </w:rPr>
            </w:pPr>
            <w:r>
              <w:rPr>
                <w:rFonts w:ascii="Arial" w:cs="Arial" w:eastAsia="Arial" w:hAnsi="Arial"/>
                <w:sz w:val="22"/>
                <w:szCs w:val="22"/>
                <w:color w:val="auto"/>
              </w:rPr>
              <w:t>56.1</w:t>
            </w: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3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3"/>
              </w:rPr>
              <w:t>72.2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40" w:type="dxa"/>
            <w:vAlign w:val="bottom"/>
          </w:tcPr>
          <w:p>
            <w:pPr>
              <w:spacing w:after="0" w:line="243" w:lineRule="exact"/>
              <w:rPr>
                <w:sz w:val="20"/>
                <w:szCs w:val="20"/>
                <w:color w:val="auto"/>
              </w:rPr>
            </w:pPr>
            <w:r>
              <w:rPr>
                <w:rFonts w:ascii="Arial" w:cs="Arial" w:eastAsia="Arial" w:hAnsi="Arial"/>
                <w:sz w:val="22"/>
                <w:szCs w:val="22"/>
                <w:color w:val="auto"/>
              </w:rPr>
              <w:t>Cost of goods sold</w:t>
            </w:r>
          </w:p>
        </w:tc>
        <w:tc>
          <w:tcPr>
            <w:tcW w:w="78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Arial" w:cs="Arial" w:eastAsia="Arial" w:hAnsi="Arial"/>
                <w:sz w:val="22"/>
                <w:szCs w:val="22"/>
                <w:color w:val="auto"/>
                <w:w w:val="88"/>
              </w:rPr>
              <w:t>16.4</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w w:val="83"/>
              </w:rPr>
              <w:t>24.9</w:t>
            </w: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gridSpan w:val="2"/>
          </w:tcPr>
          <w:p>
            <w:pPr>
              <w:jc w:val="right"/>
              <w:ind w:right="360"/>
              <w:spacing w:after="0" w:line="243" w:lineRule="exact"/>
              <w:rPr>
                <w:sz w:val="20"/>
                <w:szCs w:val="20"/>
                <w:color w:val="auto"/>
              </w:rPr>
            </w:pPr>
            <w:r>
              <w:rPr>
                <w:rFonts w:ascii="Arial" w:cs="Arial" w:eastAsia="Arial" w:hAnsi="Arial"/>
                <w:sz w:val="22"/>
                <w:szCs w:val="22"/>
                <w:color w:val="auto"/>
              </w:rPr>
              <w:t>38.3</w:t>
            </w: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w w:val="83"/>
              </w:rPr>
              <w:t>49.8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Gross profit</w:t>
            </w:r>
          </w:p>
        </w:tc>
        <w:tc>
          <w:tcPr>
            <w:tcW w:w="78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7.4</w:t>
            </w:r>
          </w:p>
        </w:tc>
        <w:tc>
          <w:tcPr>
            <w:tcW w:w="36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w w:val="83"/>
              </w:rPr>
              <w:t>11.4</w:t>
            </w:r>
          </w:p>
        </w:tc>
        <w:tc>
          <w:tcPr>
            <w:tcW w:w="520" w:type="dxa"/>
            <w:vAlign w:val="bottom"/>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17.8</w:t>
            </w:r>
          </w:p>
        </w:tc>
        <w:tc>
          <w:tcPr>
            <w:tcW w:w="36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w w:val="83"/>
              </w:rPr>
              <w:t>22.4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4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 expense</w:t>
            </w:r>
          </w:p>
        </w:tc>
        <w:tc>
          <w:tcPr>
            <w:tcW w:w="78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rPr>
              <w:t>5.6</w:t>
            </w: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gridSpan w:val="2"/>
          </w:tcPr>
          <w:p>
            <w:pPr>
              <w:jc w:val="right"/>
              <w:ind w:right="360"/>
              <w:spacing w:after="0" w:line="243" w:lineRule="exact"/>
              <w:rPr>
                <w:sz w:val="20"/>
                <w:szCs w:val="20"/>
                <w:color w:val="auto"/>
              </w:rPr>
            </w:pPr>
            <w:r>
              <w:rPr>
                <w:rFonts w:ascii="Arial" w:cs="Arial" w:eastAsia="Arial" w:hAnsi="Arial"/>
                <w:sz w:val="22"/>
                <w:szCs w:val="22"/>
                <w:color w:val="auto"/>
              </w:rPr>
              <w:t>10.4</w:t>
            </w: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w w:val="83"/>
              </w:rPr>
              <w:t>10.8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Operating income</w:t>
            </w:r>
          </w:p>
        </w:tc>
        <w:tc>
          <w:tcPr>
            <w:tcW w:w="78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2.4</w:t>
            </w:r>
          </w:p>
        </w:tc>
        <w:tc>
          <w:tcPr>
            <w:tcW w:w="36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5.8</w:t>
            </w:r>
          </w:p>
        </w:tc>
        <w:tc>
          <w:tcPr>
            <w:tcW w:w="520" w:type="dxa"/>
            <w:vAlign w:val="bottom"/>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7.4</w:t>
            </w:r>
          </w:p>
        </w:tc>
        <w:tc>
          <w:tcPr>
            <w:tcW w:w="36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w w:val="83"/>
              </w:rPr>
              <w:t>11.6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40" w:type="dxa"/>
            <w:vAlign w:val="bottom"/>
          </w:tcPr>
          <w:p>
            <w:pPr>
              <w:spacing w:after="0" w:line="243" w:lineRule="exact"/>
              <w:rPr>
                <w:sz w:val="20"/>
                <w:szCs w:val="20"/>
                <w:color w:val="auto"/>
              </w:rPr>
            </w:pPr>
            <w:r>
              <w:rPr>
                <w:rFonts w:ascii="Arial" w:cs="Arial" w:eastAsia="Arial" w:hAnsi="Arial"/>
                <w:sz w:val="22"/>
                <w:szCs w:val="22"/>
                <w:color w:val="auto"/>
              </w:rPr>
              <w:t>Interest income</w:t>
            </w:r>
          </w:p>
        </w:tc>
        <w:tc>
          <w:tcPr>
            <w:tcW w:w="78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Arial" w:cs="Arial" w:eastAsia="Arial" w:hAnsi="Arial"/>
                <w:sz w:val="22"/>
                <w:szCs w:val="22"/>
                <w:color w:val="auto"/>
              </w:rPr>
              <w:t>0.4</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rPr>
              <w:t>0.3</w:t>
            </w: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gridSpan w:val="2"/>
          </w:tcPr>
          <w:p>
            <w:pPr>
              <w:jc w:val="right"/>
              <w:ind w:right="360"/>
              <w:spacing w:after="0" w:line="243" w:lineRule="exact"/>
              <w:rPr>
                <w:sz w:val="20"/>
                <w:szCs w:val="20"/>
                <w:color w:val="auto"/>
              </w:rPr>
            </w:pPr>
            <w:r>
              <w:rPr>
                <w:rFonts w:ascii="Arial" w:cs="Arial" w:eastAsia="Arial" w:hAnsi="Arial"/>
                <w:sz w:val="22"/>
                <w:szCs w:val="22"/>
                <w:color w:val="auto"/>
              </w:rPr>
              <w:t>1.0</w:t>
            </w: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rPr>
              <w:t>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Income before taxes</w:t>
            </w:r>
          </w:p>
        </w:tc>
        <w:tc>
          <w:tcPr>
            <w:tcW w:w="78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2.8</w:t>
            </w:r>
          </w:p>
        </w:tc>
        <w:tc>
          <w:tcPr>
            <w:tcW w:w="36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6.1</w:t>
            </w:r>
          </w:p>
        </w:tc>
        <w:tc>
          <w:tcPr>
            <w:tcW w:w="520" w:type="dxa"/>
            <w:vAlign w:val="bottom"/>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8.4</w:t>
            </w:r>
          </w:p>
        </w:tc>
        <w:tc>
          <w:tcPr>
            <w:tcW w:w="36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w w:val="83"/>
              </w:rPr>
              <w:t>12.2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40" w:type="dxa"/>
            <w:vAlign w:val="bottom"/>
          </w:tcPr>
          <w:p>
            <w:pPr>
              <w:spacing w:after="0" w:line="243" w:lineRule="exact"/>
              <w:rPr>
                <w:sz w:val="20"/>
                <w:szCs w:val="20"/>
                <w:color w:val="auto"/>
              </w:rPr>
            </w:pPr>
            <w:r>
              <w:rPr>
                <w:rFonts w:ascii="Arial" w:cs="Arial" w:eastAsia="Arial" w:hAnsi="Arial"/>
                <w:sz w:val="22"/>
                <w:szCs w:val="22"/>
                <w:color w:val="auto"/>
              </w:rPr>
              <w:t>Provision for income taxes</w:t>
            </w:r>
          </w:p>
        </w:tc>
        <w:tc>
          <w:tcPr>
            <w:tcW w:w="78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Arial" w:cs="Arial" w:eastAsia="Arial" w:hAnsi="Arial"/>
                <w:sz w:val="22"/>
                <w:szCs w:val="22"/>
                <w:color w:val="auto"/>
              </w:rPr>
              <w:t>0.7</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gridSpan w:val="2"/>
          </w:tcPr>
          <w:p>
            <w:pPr>
              <w:jc w:val="right"/>
              <w:ind w:right="360"/>
              <w:spacing w:after="0" w:line="243" w:lineRule="exact"/>
              <w:rPr>
                <w:sz w:val="20"/>
                <w:szCs w:val="20"/>
                <w:color w:val="auto"/>
              </w:rPr>
            </w:pPr>
            <w:r>
              <w:rPr>
                <w:rFonts w:ascii="Arial" w:cs="Arial" w:eastAsia="Arial" w:hAnsi="Arial"/>
                <w:sz w:val="22"/>
                <w:szCs w:val="22"/>
                <w:color w:val="auto"/>
              </w:rPr>
              <w:t>2.1</w:t>
            </w: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340" w:type="dxa"/>
            <w:vAlign w:val="bottom"/>
            <w:tcBorders>
              <w:bottom w:val="single" w:sz="8" w:color="CCEEFF"/>
            </w:tcBorders>
            <w:shd w:val="clear" w:color="auto" w:fill="CCEEFF"/>
          </w:tcPr>
          <w:p>
            <w:pPr>
              <w:spacing w:after="0" w:line="243" w:lineRule="exact"/>
              <w:rPr>
                <w:sz w:val="20"/>
                <w:szCs w:val="20"/>
                <w:color w:val="auto"/>
              </w:rPr>
            </w:pPr>
            <w:r>
              <w:rPr>
                <w:rFonts w:ascii="Arial" w:cs="Arial" w:eastAsia="Arial" w:hAnsi="Arial"/>
                <w:sz w:val="22"/>
                <w:szCs w:val="22"/>
                <w:color w:val="auto"/>
              </w:rPr>
              <w:t>Net income</w:t>
            </w:r>
          </w:p>
        </w:tc>
        <w:tc>
          <w:tcPr>
            <w:tcW w:w="780" w:type="dxa"/>
            <w:vAlign w:val="bottom"/>
            <w:tcBorders>
              <w:top w:val="single" w:sz="8" w:color="auto"/>
              <w:bottom w:val="single" w:sz="8" w:color="auto"/>
            </w:tcBorders>
            <w:shd w:val="clear" w:color="auto" w:fill="CCEEFF"/>
          </w:tcPr>
          <w:p>
            <w:pPr>
              <w:ind w:left="580"/>
              <w:spacing w:after="0" w:line="243" w:lineRule="exact"/>
              <w:rPr>
                <w:sz w:val="20"/>
                <w:szCs w:val="20"/>
                <w:color w:val="auto"/>
              </w:rPr>
            </w:pPr>
            <w:r>
              <w:rPr>
                <w:rFonts w:ascii="Arial" w:cs="Arial" w:eastAsia="Arial" w:hAnsi="Arial"/>
                <w:sz w:val="22"/>
                <w:szCs w:val="22"/>
                <w:color w:val="auto"/>
              </w:rPr>
              <w:t>$</w:t>
            </w:r>
          </w:p>
        </w:tc>
        <w:tc>
          <w:tcPr>
            <w:tcW w:w="4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2.1</w:t>
            </w:r>
          </w:p>
        </w:tc>
        <w:tc>
          <w:tcPr>
            <w:tcW w:w="3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spacing w:after="0"/>
              <w:rPr>
                <w:sz w:val="24"/>
                <w:szCs w:val="24"/>
                <w:color w:val="auto"/>
              </w:rPr>
            </w:pPr>
          </w:p>
        </w:tc>
        <w:tc>
          <w:tcPr>
            <w:tcW w:w="5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3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4.6</w:t>
            </w:r>
          </w:p>
        </w:tc>
        <w:tc>
          <w:tcPr>
            <w:tcW w:w="5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top w:val="single" w:sz="8" w:color="auto"/>
              <w:bottom w:val="single" w:sz="8" w:color="auto"/>
            </w:tcBorders>
            <w:shd w:val="clear" w:color="auto" w:fill="CCEEFF"/>
          </w:tcPr>
          <w:p>
            <w:pPr>
              <w:jc w:val="center"/>
              <w:ind w:left="401"/>
              <w:spacing w:after="0" w:line="243" w:lineRule="exact"/>
              <w:rPr>
                <w:sz w:val="20"/>
                <w:szCs w:val="20"/>
                <w:color w:val="auto"/>
              </w:rPr>
            </w:pPr>
            <w:r>
              <w:rPr>
                <w:rFonts w:ascii="Arial" w:cs="Arial" w:eastAsia="Arial" w:hAnsi="Arial"/>
                <w:sz w:val="22"/>
                <w:szCs w:val="22"/>
                <w:color w:val="auto"/>
                <w:w w:val="81"/>
              </w:rPr>
              <w:t>$</w:t>
            </w:r>
          </w:p>
        </w:tc>
        <w:tc>
          <w:tcPr>
            <w:tcW w:w="5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6.3</w:t>
            </w:r>
          </w:p>
        </w:tc>
        <w:tc>
          <w:tcPr>
            <w:tcW w:w="3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spacing w:after="0"/>
              <w:rPr>
                <w:sz w:val="24"/>
                <w:szCs w:val="24"/>
                <w:color w:val="auto"/>
              </w:rPr>
            </w:pPr>
          </w:p>
        </w:tc>
        <w:tc>
          <w:tcPr>
            <w:tcW w:w="5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3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40" w:type="dxa"/>
            <w:vAlign w:val="bottom"/>
          </w:tcPr>
          <w:p>
            <w:pPr>
              <w:spacing w:after="0" w:line="243" w:lineRule="exact"/>
              <w:rPr>
                <w:sz w:val="20"/>
                <w:szCs w:val="20"/>
                <w:color w:val="auto"/>
              </w:rPr>
            </w:pPr>
            <w:r>
              <w:rPr>
                <w:rFonts w:ascii="Arial" w:cs="Arial" w:eastAsia="Arial" w:hAnsi="Arial"/>
                <w:sz w:val="22"/>
                <w:szCs w:val="22"/>
                <w:color w:val="auto"/>
              </w:rPr>
              <w:t>Basic and diluted net income</w:t>
            </w: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340" w:type="dxa"/>
            <w:vAlign w:val="bottom"/>
            <w:shd w:val="clear" w:color="auto" w:fill="CCEEFF"/>
          </w:tcPr>
          <w:p>
            <w:pPr>
              <w:ind w:left="180"/>
              <w:spacing w:after="0" w:line="243" w:lineRule="exact"/>
              <w:rPr>
                <w:sz w:val="20"/>
                <w:szCs w:val="20"/>
                <w:color w:val="auto"/>
              </w:rPr>
            </w:pPr>
            <w:r>
              <w:rPr>
                <w:rFonts w:ascii="Arial" w:cs="Arial" w:eastAsia="Arial" w:hAnsi="Arial"/>
                <w:sz w:val="22"/>
                <w:szCs w:val="22"/>
                <w:color w:val="auto"/>
              </w:rPr>
              <w:t>per common share</w:t>
            </w:r>
          </w:p>
        </w:tc>
        <w:tc>
          <w:tcPr>
            <w:tcW w:w="780" w:type="dxa"/>
            <w:vAlign w:val="bottom"/>
            <w:shd w:val="clear" w:color="auto" w:fill="CCEEFF"/>
          </w:tcPr>
          <w:p>
            <w:pPr>
              <w:ind w:left="580"/>
              <w:spacing w:after="0" w:line="243" w:lineRule="exact"/>
              <w:rPr>
                <w:sz w:val="20"/>
                <w:szCs w:val="20"/>
                <w:color w:val="auto"/>
              </w:rPr>
            </w:pPr>
            <w:r>
              <w:rPr>
                <w:rFonts w:ascii="Arial" w:cs="Arial" w:eastAsia="Arial" w:hAnsi="Arial"/>
                <w:sz w:val="22"/>
                <w:szCs w:val="22"/>
                <w:color w:val="auto"/>
              </w:rPr>
              <w:t>$</w:t>
            </w:r>
          </w:p>
        </w:tc>
        <w:tc>
          <w:tcPr>
            <w:tcW w:w="4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8"/>
              </w:rPr>
              <w:t>0.17</w:t>
            </w:r>
          </w:p>
        </w:tc>
        <w:tc>
          <w:tcPr>
            <w:tcW w:w="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3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3"/>
              </w:rPr>
              <w:t>0.37</w:t>
            </w:r>
          </w:p>
        </w:tc>
        <w:tc>
          <w:tcPr>
            <w:tcW w:w="1160" w:type="dxa"/>
            <w:vAlign w:val="bottom"/>
            <w:gridSpan w:val="2"/>
            <w:shd w:val="clear" w:color="auto" w:fill="CCEEFF"/>
          </w:tcPr>
          <w:p>
            <w:pPr>
              <w:jc w:val="center"/>
              <w:ind w:left="912"/>
              <w:spacing w:after="0" w:line="243" w:lineRule="exact"/>
              <w:rPr>
                <w:sz w:val="20"/>
                <w:szCs w:val="20"/>
                <w:color w:val="auto"/>
              </w:rPr>
            </w:pPr>
            <w:r>
              <w:rPr>
                <w:rFonts w:ascii="Arial" w:cs="Arial" w:eastAsia="Arial" w:hAnsi="Arial"/>
                <w:sz w:val="22"/>
                <w:szCs w:val="22"/>
                <w:color w:val="auto"/>
                <w:w w:val="81"/>
              </w:rPr>
              <w:t>$</w:t>
            </w:r>
          </w:p>
        </w:tc>
        <w:tc>
          <w:tcPr>
            <w:tcW w:w="880" w:type="dxa"/>
            <w:vAlign w:val="bottom"/>
            <w:gridSpan w:val="2"/>
            <w:shd w:val="clear" w:color="auto" w:fill="CCEEFF"/>
          </w:tcPr>
          <w:p>
            <w:pPr>
              <w:jc w:val="right"/>
              <w:ind w:right="360"/>
              <w:spacing w:after="0" w:line="243" w:lineRule="exact"/>
              <w:rPr>
                <w:sz w:val="20"/>
                <w:szCs w:val="20"/>
                <w:color w:val="auto"/>
              </w:rPr>
            </w:pPr>
            <w:r>
              <w:rPr>
                <w:rFonts w:ascii="Arial" w:cs="Arial" w:eastAsia="Arial" w:hAnsi="Arial"/>
                <w:sz w:val="22"/>
                <w:szCs w:val="22"/>
                <w:color w:val="auto"/>
              </w:rPr>
              <w:t>0.51</w:t>
            </w: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3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3"/>
              </w:rPr>
              <w:t>0.75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Weighted average diluted common</w:t>
            </w:r>
          </w:p>
        </w:tc>
        <w:tc>
          <w:tcPr>
            <w:tcW w:w="7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180"/>
              <w:spacing w:after="0" w:line="243" w:lineRule="exact"/>
              <w:rPr>
                <w:sz w:val="20"/>
                <w:szCs w:val="20"/>
                <w:color w:val="auto"/>
              </w:rPr>
            </w:pPr>
            <w:r>
              <w:rPr>
                <w:rFonts w:ascii="Arial" w:cs="Arial" w:eastAsia="Arial" w:hAnsi="Arial"/>
                <w:sz w:val="22"/>
                <w:szCs w:val="22"/>
                <w:color w:val="auto"/>
              </w:rPr>
              <w:t>shares outstanding</w:t>
            </w:r>
          </w:p>
        </w:tc>
        <w:tc>
          <w:tcPr>
            <w:tcW w:w="78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Arial" w:cs="Arial" w:eastAsia="Arial" w:hAnsi="Arial"/>
                <w:sz w:val="22"/>
                <w:szCs w:val="22"/>
                <w:color w:val="auto"/>
                <w:w w:val="88"/>
              </w:rPr>
              <w:t>12.4</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w w:val="83"/>
              </w:rPr>
              <w:t>12.4</w:t>
            </w: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gridSpan w:val="2"/>
          </w:tcPr>
          <w:p>
            <w:pPr>
              <w:jc w:val="right"/>
              <w:ind w:right="360"/>
              <w:spacing w:after="0" w:line="243" w:lineRule="exact"/>
              <w:rPr>
                <w:sz w:val="20"/>
                <w:szCs w:val="20"/>
                <w:color w:val="auto"/>
              </w:rPr>
            </w:pPr>
            <w:r>
              <w:rPr>
                <w:rFonts w:ascii="Arial" w:cs="Arial" w:eastAsia="Arial" w:hAnsi="Arial"/>
                <w:sz w:val="22"/>
                <w:szCs w:val="22"/>
                <w:color w:val="auto"/>
              </w:rPr>
              <w:t>12.4</w:t>
            </w: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w w:val="83"/>
              </w:rPr>
              <w:t>12.4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57325"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11480"/>
                    </a:xfrm>
                    <a:prstGeom prst="rect">
                      <a:avLst/>
                    </a:prstGeom>
                    <a:noFill/>
                  </pic:spPr>
                </pic:pic>
              </a:graphicData>
            </a:graphic>
          </wp:anchor>
        </w:drawing>
        <w:t>PRESS RELEASE</w:t>
      </w:r>
    </w:p>
    <w:p>
      <w:pPr>
        <w:sectPr>
          <w:pgSz w:w="11900" w:h="16838" w:orient="portrait"/>
          <w:cols w:equalWidth="0" w:num="1">
            <w:col w:w="11240"/>
          </w:cols>
          <w:pgMar w:left="320" w:top="12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w:t>
      </w:r>
    </w:p>
    <w:p>
      <w:pPr>
        <w:spacing w:after="0" w:line="211" w:lineRule="exact"/>
        <w:rPr>
          <w:sz w:val="20"/>
          <w:szCs w:val="20"/>
          <w:color w:val="auto"/>
        </w:rPr>
      </w:pPr>
    </w:p>
    <w:p>
      <w:pPr>
        <w:sectPr>
          <w:pgSz w:w="11900" w:h="16838" w:orient="portrait"/>
          <w:cols w:equalWidth="0" w:num="2">
            <w:col w:w="6060" w:space="720"/>
            <w:col w:w="4460"/>
          </w:cols>
          <w:pgMar w:left="320" w:top="1232"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CompX International Inc.</w:t>
      </w:r>
    </w:p>
    <w:p>
      <w:pPr>
        <w:spacing w:after="0" w:line="238" w:lineRule="auto"/>
        <w:rPr>
          <w:sz w:val="20"/>
          <w:szCs w:val="20"/>
          <w:color w:val="auto"/>
        </w:rPr>
      </w:pPr>
      <w:r>
        <w:rPr>
          <w:rFonts w:ascii="Arial" w:cs="Arial" w:eastAsia="Arial" w:hAnsi="Arial"/>
          <w:sz w:val="22"/>
          <w:szCs w:val="22"/>
          <w:color w:val="auto"/>
        </w:rPr>
        <w:t>Three Lincoln Centre</w:t>
      </w:r>
    </w:p>
    <w:p>
      <w:pPr>
        <w:spacing w:after="0"/>
        <w:rPr>
          <w:sz w:val="20"/>
          <w:szCs w:val="20"/>
          <w:color w:val="auto"/>
        </w:rPr>
      </w:pPr>
      <w:r>
        <w:rPr>
          <w:rFonts w:ascii="Arial" w:cs="Arial" w:eastAsia="Arial" w:hAnsi="Arial"/>
          <w:sz w:val="19"/>
          <w:szCs w:val="19"/>
          <w:color w:val="auto"/>
        </w:rPr>
        <w:t>5430 LBJ Freeway, Suite 1700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Dallas, Texas 75240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Janet G. Keckeisen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Tel. 972-233-1700</w:t>
      </w:r>
    </w:p>
    <w:p>
      <w:pPr>
        <w:spacing w:after="0" w:line="477" w:lineRule="exact"/>
        <w:rPr>
          <w:sz w:val="20"/>
          <w:szCs w:val="20"/>
          <w:color w:val="auto"/>
        </w:rPr>
      </w:pPr>
    </w:p>
    <w:p>
      <w:pPr>
        <w:sectPr>
          <w:pgSz w:w="11900" w:h="16838" w:orient="portrait"/>
          <w:cols w:equalWidth="0" w:num="2">
            <w:col w:w="6060" w:space="720"/>
            <w:col w:w="4460"/>
          </w:cols>
          <w:pgMar w:left="320" w:top="1232" w:right="3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COMPX DECLARES REGULAR QUARTERLY DIVIDEND</w:t>
      </w:r>
    </w:p>
    <w:p>
      <w:pPr>
        <w:spacing w:after="0" w:line="200" w:lineRule="exact"/>
        <w:rPr>
          <w:sz w:val="20"/>
          <w:szCs w:val="20"/>
          <w:color w:val="auto"/>
        </w:rPr>
      </w:pPr>
    </w:p>
    <w:p>
      <w:pPr>
        <w:spacing w:after="0" w:line="28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DALLAS, TEXAS . . . August 3, 2021 . . . CompX International Inc. (NYSE American: CIX) announced today that its board of directors has declared CompX’s regular quarterly dividend of twenty cents ($0.20) per share on its class A common stock, payable on September 14, 2021 to stockholders of record at the close of business on September 2, 2021.</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CompX is a leading manufacturer of security products and recreational marine components.</w:t>
      </w:r>
    </w:p>
    <w:p>
      <w:pPr>
        <w:spacing w:after="0" w:line="8"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 * * *</w:t>
      </w:r>
    </w:p>
    <w:sectPr>
      <w:pgSz w:w="11900" w:h="16838" w:orient="portrait"/>
      <w:cols w:equalWidth="0" w:num="1">
        <w:col w:w="11240"/>
      </w:cols>
      <w:pgMar w:left="320" w:top="123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2021-08-03T15:46:24Z</dcterms:created>
  <dcterms:modified xsi:type="dcterms:W3CDTF">2021-08-03T15:46:24Z</dcterms:modified>
</cp:coreProperties>
</file>