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ik-20230630x10q.htm"/>
        <w:bookmarkStart w:id="1" w:name="kscik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cb747e48_5251_4c47_a7dd_37b31cf2a155"/>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Washington, D.C. 20549</w:t>
      </w:r>
    </w:p>
    <w:p>
      <w:pPr>
        <w:pStyle w:val="TextBody"/>
        <w:bidi w:val="0"/>
        <w:spacing w:before="0" w:after="0"/>
        <w:ind w:left="0" w:right="0" w:hanging="0"/>
        <w:jc w:val="center"/>
        <w:rPr>
          <w:rFonts w:ascii="Times New Roman;Times;serif" w:hAnsi="Times New Roman;Times;serif"/>
          <w:b/>
          <w:sz w:val="32"/>
        </w:rPr>
      </w:pPr>
      <w:bookmarkStart w:id="3" w:name="_Hlk98314769"/>
      <w:bookmarkEnd w:id="3"/>
      <w:r>
        <w:rPr>
          <w:rFonts w:ascii="Times New Roman;Times;serif" w:hAnsi="Times New Roman;Times;serif"/>
          <w:b/>
          <w:sz w:val="32"/>
        </w:rPr>
        <w:t>FORM 10-Q</w:t>
      </w:r>
    </w:p>
    <w:p>
      <w:pPr>
        <w:pStyle w:val="TextBody"/>
        <w:bidi w:val="0"/>
        <w:spacing w:before="0" w:after="0"/>
        <w:ind w:left="0" w:right="0" w:hanging="0"/>
        <w:jc w:val="left"/>
        <w:rPr/>
      </w:pPr>
      <w:bookmarkStart w:id="4" w:name="Narr_Vb83EhBIuEuPSahNOCyhHQ"/>
      <w:bookmarkEnd w:id="4"/>
      <w:r>
        <w:rPr>
          <w:caps w:val="false"/>
          <w:smallCaps w:val="false"/>
        </w:rPr>
        <w:t>☒</w:t>
      </w:r>
      <w:r>
        <w:rPr>
          <w:rFonts w:ascii="Times New Roman;Times;serif" w:hAnsi="Times New Roman;Times;serif"/>
          <w:b/>
          <w:sz w:val="24"/>
        </w:rPr>
        <w:t>QUARTERLY REPORT PURSUANT TO SECTION 13 OR 15(d) OF</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quarter ended June 30, 2023</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caps w:val="false"/>
          <w:smallCaps w:val="false"/>
        </w:rPr>
        <w:t>☐</w:t>
      </w:r>
      <w:r>
        <w:rPr>
          <w:rFonts w:ascii="Times New Roman;Times;serif" w:hAnsi="Times New Roman;Times;serif"/>
          <w:b/>
          <w:sz w:val="24"/>
        </w:rPr>
        <w:t xml:space="preserve">TRANSITION REPORT PURSUANT TO SECTION 13 OR 15(d) OF </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_________ to _________</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Commission file number 1-13905</w:t>
      </w:r>
    </w:p>
    <w:p>
      <w:pPr>
        <w:pStyle w:val="TextBody"/>
        <w:bidi w:val="0"/>
        <w:spacing w:before="0" w:after="80"/>
        <w:ind w:left="0" w:right="0" w:hanging="0"/>
        <w:jc w:val="center"/>
        <w:rPr>
          <w:rFonts w:ascii="Times New Roman;Times;serif" w:hAnsi="Times New Roman;Times;serif"/>
          <w:sz w:val="40"/>
        </w:rPr>
      </w:pPr>
      <w:bookmarkStart w:id="5" w:name="_Hlk98314836"/>
      <w:bookmarkEnd w:id="5"/>
      <w:r>
        <w:rPr>
          <w:rFonts w:ascii="Times New Roman;Times;serif" w:hAnsi="Times New Roman;Times;serif"/>
          <w:b/>
          <w:sz w:val="40"/>
        </w:rPr>
        <w:t>COMPX INTERNATIONAL INC.</w:t>
      </w:r>
      <w:r>
        <w:rPr>
          <w:rFonts w:ascii="Times New Roman;Times;serif" w:hAnsi="Times New Roman;Times;serif"/>
          <w:sz w:val="4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 w:name="Tc_pCXK4Jc7lUqrwGmMitMkRg_2_2"/>
      <w:bookmarkStart w:id="7" w:name="Tc_KaSaP-s6O0CZcf_jutdCog_2_0"/>
      <w:bookmarkStart w:id="8" w:name="_a40d4d57_0eb2_4f36_a2f1_bba16ad752a1"/>
      <w:bookmarkStart w:id="9" w:name="Tc_pCXK4Jc7lUqrwGmMitMkRg_2_2"/>
      <w:bookmarkStart w:id="10" w:name="Tc_KaSaP-s6O0CZcf_jutdCog_2_0"/>
      <w:bookmarkStart w:id="11" w:name="_a40d4d57_0eb2_4f36_a2f1_bba16ad752a1"/>
      <w:bookmarkEnd w:id="9"/>
      <w:bookmarkEnd w:id="10"/>
      <w:bookmarkEnd w:id="11"/>
    </w:p>
    <w:tbl>
      <w:tblPr>
        <w:tblW w:w="4753" w:type="dxa"/>
        <w:jc w:val="left"/>
        <w:tblInd w:w="0" w:type="dxa"/>
        <w:tblLayout w:type="fixed"/>
        <w:tblCellMar>
          <w:top w:w="0" w:type="dxa"/>
          <w:left w:w="0" w:type="dxa"/>
          <w:bottom w:w="0" w:type="dxa"/>
          <w:right w:w="0" w:type="dxa"/>
        </w:tblCellMar>
      </w:tblPr>
      <w:tblGrid>
        <w:gridCol w:w="2746"/>
        <w:gridCol w:w="326"/>
        <w:gridCol w:w="1681"/>
      </w:tblGrid>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57-0981653</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32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100" w:after="0"/>
        <w:ind w:left="0" w:right="0" w:hanging="0"/>
        <w:jc w:val="center"/>
        <w:rPr>
          <w:rFonts w:ascii="Times New Roman;Times;serif" w:hAnsi="Times New Roman;Times;serif"/>
          <w:b/>
          <w:sz w:val="20"/>
        </w:rPr>
      </w:pPr>
      <w:r>
        <w:rPr>
          <w:rFonts w:ascii="Times New Roman;Times;serif" w:hAnsi="Times New Roman;Times;serif"/>
          <w:b/>
          <w:sz w:val="20"/>
        </w:rPr>
        <w:t>5430 LBJ Freeway, Suite 1700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Dallas, Texas</w:t>
      </w:r>
      <w:r>
        <w:rPr>
          <w:rFonts w:ascii="Times New Roman;Times;serif" w:hAnsi="Times New Roman;Times;serif"/>
          <w:sz w:val="20"/>
        </w:rPr>
        <w:t xml:space="preserve"> </w:t>
      </w:r>
      <w:r>
        <w:rPr>
          <w:rFonts w:ascii="Times New Roman;Times;serif" w:hAnsi="Times New Roman;Times;serif"/>
          <w:b/>
          <w:sz w:val="20"/>
        </w:rPr>
        <w:t>75240-2620</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(972) 448-1400</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 w:name="Tc_2QvwEUS-8UGoMaQU5_YuUg_1_4"/>
      <w:bookmarkStart w:id="13" w:name="Tc_JAFZJWYxuEyozS9_9iyCmQ_1_2"/>
      <w:bookmarkStart w:id="14" w:name="Tc_opLrCAZKjUmLZQV8SDsahg_1_0"/>
      <w:bookmarkStart w:id="15" w:name="_ddacf02a_c048_46db_91e7_8b7b902951e5"/>
      <w:bookmarkStart w:id="16" w:name="Tc_2QvwEUS-8UGoMaQU5_YuUg_1_4"/>
      <w:bookmarkStart w:id="17" w:name="Tc_JAFZJWYxuEyozS9_9iyCmQ_1_2"/>
      <w:bookmarkStart w:id="18" w:name="Tc_opLrCAZKjUmLZQV8SDsahg_1_0"/>
      <w:bookmarkStart w:id="19" w:name="_ddacf02a_c048_46db_91e7_8b7b902951e5"/>
      <w:bookmarkEnd w:id="16"/>
      <w:bookmarkEnd w:id="17"/>
      <w:bookmarkEnd w:id="18"/>
      <w:bookmarkEnd w:id="19"/>
    </w:p>
    <w:tbl>
      <w:tblPr>
        <w:tblW w:w="7465" w:type="dxa"/>
        <w:jc w:val="left"/>
        <w:tblInd w:w="0" w:type="dxa"/>
        <w:tblLayout w:type="fixed"/>
        <w:tblCellMar>
          <w:top w:w="0" w:type="dxa"/>
          <w:left w:w="0" w:type="dxa"/>
          <w:bottom w:w="0" w:type="dxa"/>
          <w:right w:w="0" w:type="dxa"/>
        </w:tblCellMar>
      </w:tblPr>
      <w:tblGrid>
        <w:gridCol w:w="1771"/>
        <w:gridCol w:w="326"/>
        <w:gridCol w:w="1561"/>
        <w:gridCol w:w="326"/>
        <w:gridCol w:w="348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w:t>
            </w:r>
          </w:p>
        </w:tc>
        <w:tc>
          <w:tcPr>
            <w:tcW w:w="326" w:type="dxa"/>
            <w:tcBorders/>
            <w:vAlign w:val="center"/>
          </w:tcPr>
          <w:p>
            <w:pPr>
              <w:pStyle w:val="TableContents"/>
              <w:bidi w:val="0"/>
              <w:spacing w:before="0" w:after="240"/>
              <w:ind w:left="0" w:right="0" w:hanging="0"/>
              <w:jc w:val="left"/>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CIX</w:t>
            </w:r>
          </w:p>
        </w:tc>
        <w:tc>
          <w:tcPr>
            <w:tcW w:w="326" w:type="dxa"/>
            <w:tcBorders/>
            <w:vAlign w:val="center"/>
          </w:tcPr>
          <w:p>
            <w:pPr>
              <w:pStyle w:val="TableContents"/>
              <w:bidi w:val="0"/>
              <w:spacing w:before="0" w:after="240"/>
              <w:ind w:left="0" w:right="0" w:hanging="0"/>
              <w:jc w:val="left"/>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NYSE American</w:t>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(1) has filed all reports required to be filed by Section 13 or 15(d) of the Securities Exchange Act of 1934 during the preceding 12 months and (2) has been subject to such filing requirements for the past 90 days.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0" w:name="Tc_c0DIxBPcI0GocudC4i9Szg_3_0"/>
      <w:bookmarkStart w:id="21" w:name="Tc_Kr13HzhKskq0QjKC-WV35g_2_2"/>
      <w:bookmarkStart w:id="22" w:name="Tc_NTT7yWKsikS3gC_VVuofRA_2_1"/>
      <w:bookmarkStart w:id="23" w:name="Tc_r_BxnUmih0e0f4Exq9m-vg_2_0"/>
      <w:bookmarkStart w:id="24" w:name="Tc_Tw6bxO7Hr0e31efzz7BOxA_1_3"/>
      <w:bookmarkStart w:id="25" w:name="Tc_MvIysX5iOkq8o5Th_p9BdA_1_2"/>
      <w:bookmarkStart w:id="26" w:name="Tc_O7z3GLWafUOtAFut3Iylug_1_1"/>
      <w:bookmarkStart w:id="27" w:name="Tc_jgnZNFw8Sk6DcaX7CFnUsw_1_0"/>
      <w:bookmarkStart w:id="28" w:name="_7b004ce5_21ad_4ec9_aae1_43d24f130c2c"/>
      <w:bookmarkStart w:id="29" w:name="Tc_c0DIxBPcI0GocudC4i9Szg_3_0"/>
      <w:bookmarkStart w:id="30" w:name="Tc_Kr13HzhKskq0QjKC-WV35g_2_2"/>
      <w:bookmarkStart w:id="31" w:name="Tc_NTT7yWKsikS3gC_VVuofRA_2_1"/>
      <w:bookmarkStart w:id="32" w:name="Tc_r_BxnUmih0e0f4Exq9m-vg_2_0"/>
      <w:bookmarkStart w:id="33" w:name="Tc_Tw6bxO7Hr0e31efzz7BOxA_1_3"/>
      <w:bookmarkStart w:id="34" w:name="Tc_MvIysX5iOkq8o5Th_p9BdA_1_2"/>
      <w:bookmarkStart w:id="35" w:name="Tc_O7z3GLWafUOtAFut3Iylug_1_1"/>
      <w:bookmarkStart w:id="36" w:name="Tc_jgnZNFw8Sk6DcaX7CFnUsw_1_0"/>
      <w:bookmarkStart w:id="37" w:name="_7b004ce5_21ad_4ec9_aae1_43d24f130c2c"/>
      <w:bookmarkEnd w:id="29"/>
      <w:bookmarkEnd w:id="30"/>
      <w:bookmarkEnd w:id="31"/>
      <w:bookmarkEnd w:id="32"/>
      <w:bookmarkEnd w:id="33"/>
      <w:bookmarkEnd w:id="34"/>
      <w:bookmarkEnd w:id="35"/>
      <w:bookmarkEnd w:id="36"/>
      <w:bookmarkEnd w:id="37"/>
    </w:p>
    <w:tbl>
      <w:tblPr>
        <w:tblW w:w="5839" w:type="dxa"/>
        <w:jc w:val="left"/>
        <w:tblInd w:w="0" w:type="dxa"/>
        <w:tblLayout w:type="fixed"/>
        <w:tblCellMar>
          <w:top w:w="0" w:type="dxa"/>
          <w:left w:w="0" w:type="dxa"/>
          <w:bottom w:w="0" w:type="dxa"/>
          <w:right w:w="0" w:type="dxa"/>
        </w:tblCellMar>
      </w:tblPr>
      <w:tblGrid>
        <w:gridCol w:w="2536"/>
        <w:gridCol w:w="316"/>
        <w:gridCol w:w="2626"/>
        <w:gridCol w:w="36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10360" cy="175260"/>
                      <wp:effectExtent l="0" t="0" r="0" b="0"/>
                      <wp:wrapNone/>
                      <wp:docPr id="1" name="Frame1"/>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67510" cy="175260"/>
                      <wp:effectExtent l="0" t="0" r="0" b="0"/>
                      <wp:wrapNone/>
                      <wp:docPr id="3" name="Frame3"/>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Large accelerated filer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Accelerated filer</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Non-accelerated filer</w:t>
            </w:r>
            <w:r>
              <w:rPr>
                <w:rFonts w:ascii="Times New Roman;Times;serif" w:hAnsi="Times New Roman;Times;serif"/>
                <w:sz w:val="20"/>
              </w:rPr>
              <w:t xml:space="preserve">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0"/>
              <w:ind w:left="0" w:right="0" w:hanging="0"/>
              <w:jc w:val="right"/>
              <w:rPr/>
            </w:pPr>
            <w:r>
              <w:rPr/>
              <w:t>  </w:t>
            </w:r>
            <w:r>
              <w:rPr>
                <w:rFonts w:ascii="Times New Roman;Times;serif" w:hAnsi="Times New Roman;Times;serif"/>
                <w:b/>
                <w:sz w:val="20"/>
              </w:rPr>
              <w:t xml:space="preserve">Smaller reporting company </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Emerging growth company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240"/>
              <w:ind w:left="0" w:right="0" w:hanging="0"/>
              <w:jc w:val="right"/>
              <w:rPr/>
            </w:pPr>
            <w:r>
              <w:rPr/>
              <w:t>​</w:t>
            </w:r>
          </w:p>
        </w:tc>
        <w:tc>
          <w:tcPr>
            <w:tcW w:w="361" w:type="dxa"/>
            <w:tcBorders/>
            <w:vAlign w:val="center"/>
          </w:tcPr>
          <w:p>
            <w:pPr>
              <w:pStyle w:val="TableContents"/>
              <w:bidi w:val="0"/>
              <w:spacing w:before="0" w:after="240"/>
              <w:ind w:left="0" w:right="0" w:hanging="0"/>
              <w:jc w:val="right"/>
              <w:rPr/>
            </w:pPr>
            <w:r>
              <w:rPr/>
              <w:t>​</w:t>
            </w:r>
          </w:p>
        </w:tc>
      </w:tr>
    </w:tbl>
    <w:p>
      <w:pPr>
        <w:pStyle w:val="TextBody"/>
        <w:bidi w:val="0"/>
        <w:spacing w:before="0" w:after="240"/>
        <w:ind w:left="0" w:right="0" w:hanging="0"/>
        <w:jc w:val="both"/>
        <w:rPr/>
      </w:pPr>
      <w:r>
        <w:rPr/>
        <w:t>​</w:t>
      </w:r>
    </w:p>
    <w:p>
      <w:pPr>
        <w:pStyle w:val="TextBody"/>
        <w:bidi w:val="0"/>
        <w:spacing w:before="0" w:after="140"/>
        <w:ind w:left="0" w:right="0" w:hanging="0"/>
        <w:jc w:val="both"/>
        <w:rPr>
          <w:rFonts w:ascii="Times New Roman;Times;serif" w:hAnsi="Times New Roman;Times;serif"/>
          <w:sz w:val="18"/>
        </w:rPr>
      </w:pPr>
      <w:r>
        <w:rPr>
          <w:rFonts w:ascii="Times New Roman;Times;serif" w:hAnsi="Times New Roman;Times;serif"/>
          <w:b/>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b/>
          <w:sz w:val="18"/>
        </w:rPr>
        <w:t>No  </w:t>
      </w:r>
      <w:r>
        <w:rPr>
          <w:rFonts w:ascii="Times New Roman;Times;serif" w:hAnsi="Times New Roman;Times;serif"/>
          <w:sz w:val="20"/>
        </w:rPr>
        <w:t>☒</w:t>
      </w:r>
      <w:r>
        <w:rPr>
          <w:rFonts w:ascii="Times New Roman;Times;serif" w:hAnsi="Times New Roman;Times;serif"/>
          <w:b/>
          <w:sz w:val="18"/>
        </w:rPr>
        <w:t>.</w:t>
      </w:r>
    </w:p>
    <w:p>
      <w:pPr>
        <w:pStyle w:val="TextBody"/>
        <w:bidi w:val="0"/>
        <w:spacing w:before="0" w:after="80"/>
        <w:ind w:left="0" w:right="0" w:hanging="0"/>
        <w:jc w:val="both"/>
        <w:rPr>
          <w:rFonts w:ascii="Times New Roman;Times;serif" w:hAnsi="Times New Roman;Times;serif"/>
          <w:sz w:val="18"/>
        </w:rPr>
      </w:pPr>
      <w:r>
        <w:rPr>
          <w:rFonts w:ascii="Times New Roman;Times;serif" w:hAnsi="Times New Roman;Times;serif"/>
          <w:b/>
          <w:sz w:val="18"/>
        </w:rPr>
        <w:t>As of July 27, 2023, the registrant had 12,313,757</w:t>
      </w:r>
      <w:r>
        <w:rPr>
          <w:rFonts w:ascii="Times New Roman;Times;serif" w:hAnsi="Times New Roman;Times;serif"/>
          <w:sz w:val="18"/>
        </w:rPr>
        <w:t xml:space="preserve"> </w:t>
      </w:r>
      <w:r>
        <w:rPr>
          <w:rFonts w:ascii="Times New Roman;Times;serif" w:hAnsi="Times New Roman;Times;serif"/>
          <w:b/>
          <w:sz w:val="18"/>
        </w:rPr>
        <w:t>shares of Class A common stock, $.01 par value per share,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8" w:name="_db94c530_a834_4335_96b8_4930677b7c35"/>
      <w:bookmarkEnd w:id="38"/>
      <w:r>
        <w:rPr>
          <w:rFonts w:ascii="Times New Roman;Times;serif" w:hAnsi="Times New Roman;Times;serif"/>
          <w:b/>
          <w:sz w:val="20"/>
        </w:rPr>
        <w:t>COMPX INTERNATIONAL INC.</w:t>
      </w:r>
    </w:p>
    <w:p>
      <w:pPr>
        <w:pStyle w:val="TextBody"/>
        <w:bidi w:val="0"/>
        <w:spacing w:before="0" w:after="0"/>
        <w:ind w:left="0" w:right="0" w:hanging="0"/>
        <w:jc w:val="center"/>
        <w:rPr>
          <w:rFonts w:ascii="Times New Roman;Times;serif" w:hAnsi="Times New Roman;Times;serif"/>
          <w:b/>
          <w:sz w:val="20"/>
        </w:rPr>
      </w:pPr>
      <w:bookmarkStart w:id="39" w:name="TOC"/>
      <w:bookmarkEnd w:id="39"/>
      <w:r>
        <w:rPr>
          <w:rFonts w:ascii="Times New Roman;Times;serif" w:hAnsi="Times New Roman;Times;serif"/>
          <w:b/>
          <w:sz w:val="20"/>
        </w:rPr>
        <w:t>Index</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11"/>
        <w:gridCol w:w="326"/>
        <w:gridCol w:w="8516"/>
        <w:gridCol w:w="552"/>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14985" cy="175260"/>
                      <wp:effectExtent l="0" t="0" r="0" b="0"/>
                      <wp:wrapNone/>
                      <wp:docPr id="5" name="Frame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407660" cy="175260"/>
                      <wp:effectExtent l="0" t="0" r="0" b="0"/>
                      <wp:wrapNone/>
                      <wp:docPr id="7" name="Frame7"/>
                      <a:graphic xmlns:a="http://schemas.openxmlformats.org/drawingml/2006/main">
                        <a:graphicData uri="http://schemas.microsoft.com/office/word/2010/wordprocessingShape">
                          <wps:wsp>
                            <wps:cNvSpPr txBox="1"/>
                            <wps:spPr>
                              <a:xfrm>
                                <a:off x="0" y="0"/>
                                <a:ext cx="5407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50520" cy="175260"/>
                      <wp:effectExtent l="0" t="0" r="0" b="0"/>
                      <wp:wrapNone/>
                      <wp:docPr id="8" name="Frame8"/>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16" w:type="dxa"/>
            <w:tcBorders/>
            <w:vAlign w:val="center"/>
          </w:tcPr>
          <w:p>
            <w:pPr>
              <w:pStyle w:val="TableContents"/>
              <w:bidi w:val="0"/>
              <w:spacing w:before="0" w:after="0"/>
              <w:ind w:left="0" w:right="0" w:hanging="0"/>
              <w:jc w:val="left"/>
              <w:rPr/>
            </w:pPr>
            <w:r>
              <w:rPr/>
              <w:t>​</w:t>
            </w:r>
          </w:p>
        </w:tc>
        <w:tc>
          <w:tcPr>
            <w:tcW w:w="5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1" w:type="dxa"/>
            <w:tcBorders/>
            <w:vAlign w:val="center"/>
          </w:tcPr>
          <w:p>
            <w:pPr>
              <w:pStyle w:val="TableContents"/>
              <w:bidi w:val="0"/>
              <w:spacing w:before="0" w:after="2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552"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CONDENSEDCONSOLIDATEDBALANCESHEETS_68281">
              <w:r>
                <w:rPr>
                  <w:rStyle w:val="InternetLink"/>
                  <w:rFonts w:ascii="Times New Roman;Times;serif" w:hAnsi="Times New Roman;Times;serif"/>
                  <w:b w:val="false"/>
                  <w:i w:val="false"/>
                  <w:caps w:val="false"/>
                  <w:smallCaps w:val="false"/>
                  <w:sz w:val="20"/>
                </w:rPr>
                <w:t>Condensed Consolidated Balance Sheets – December 31, 2022 and June 30, 2023 (unaudited)</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- 3 -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CONDENSEDCONSOLIDATEDSTATEMENTSOFINCOME_">
              <w:r>
                <w:rPr>
                  <w:rStyle w:val="InternetLink"/>
                  <w:rFonts w:ascii="Times New Roman;Times;serif" w:hAnsi="Times New Roman;Times;serif"/>
                  <w:b w:val="false"/>
                  <w:i w:val="false"/>
                  <w:caps w:val="false"/>
                  <w:smallCaps w:val="false"/>
                  <w:sz w:val="20"/>
                </w:rPr>
                <w:t xml:space="preserve">Condensed Consolidated Statements of Income and Comprehensive Income (unaudited) – Three and six months ended June 30, 2022 and 2023 </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- 4 -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(unaudited) – Three and six months ended June 30, 2022 and 2023</w:t>
              </w:r>
            </w:hyperlink>
            <w:r>
              <w:rPr>
                <w:rFonts w:ascii="Times New Roman;Times;serif" w:hAnsi="Times New Roman;Times;serif"/>
                <w:sz w:val="20"/>
              </w:rPr>
              <w:t xml:space="preserve"> </w:t>
            </w:r>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- 5 -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 xml:space="preserve">Condensed Consolidated Statements of Cash Flows (unaudited) –Six months ended June 30, 2022 and 2023 </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- 6 -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- 7 -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_62">
              <w:r>
                <w:rPr>
                  <w:rStyle w:val="InternetLink"/>
                  <w:rFonts w:ascii="Times New Roman;Times;serif" w:hAnsi="Times New Roman;Times;serif"/>
                  <w:b w:val="false"/>
                  <w:i w:val="false"/>
                  <w:caps w:val="false"/>
                  <w:smallCaps w:val="false"/>
                  <w:sz w:val="20"/>
                </w:rPr>
                <w:t>Item 2.</w:t>
              </w:r>
            </w:hyperlink>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ITEM2MANAGEMENTSDISCUSSIONANDANALYSIS_6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- 11 -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3QUANTITATIVEANDQUALITATIVE_461712">
              <w:r>
                <w:rPr>
                  <w:rStyle w:val="InternetLink"/>
                  <w:rFonts w:ascii="Times New Roman;Times;serif" w:hAnsi="Times New Roman;Times;serif"/>
                  <w:b w:val="false"/>
                  <w:i w:val="false"/>
                  <w:caps w:val="false"/>
                  <w:smallCaps w:val="false"/>
                  <w:sz w:val="20"/>
                </w:rPr>
                <w:t>Item 3.</w:t>
              </w:r>
            </w:hyperlink>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ITEM3QUANTITATIVEANDQUALITATIVE_461712">
              <w:r>
                <w:rPr>
                  <w:rStyle w:val="InternetLink"/>
                  <w:rFonts w:ascii="Times New Roman;Times;serif" w:hAnsi="Times New Roman;Times;serif"/>
                  <w:b w:val="false"/>
                  <w:i w:val="false"/>
                  <w:caps w:val="false"/>
                  <w:smallCaps w:val="false"/>
                  <w:sz w:val="20"/>
                </w:rPr>
                <w:t>Quantitative and Qualitative Disclosure About Market Risk</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- 17 -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4CONTROLSANDPROCEDURES_115866">
              <w:r>
                <w:rPr>
                  <w:rStyle w:val="InternetLink"/>
                  <w:rFonts w:ascii="Times New Roman;Times;serif" w:hAnsi="Times New Roman;Times;serif"/>
                  <w:b w:val="false"/>
                  <w:i w:val="false"/>
                  <w:caps w:val="false"/>
                  <w:smallCaps w:val="false"/>
                  <w:sz w:val="20"/>
                </w:rPr>
                <w:t>Item 4.</w:t>
              </w:r>
            </w:hyperlink>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ITEM4CONTROLSANDPROCEDURES_115866">
              <w:r>
                <w:rPr>
                  <w:rStyle w:val="InternetLink"/>
                  <w:rFonts w:ascii="Times New Roman;Times;serif" w:hAnsi="Times New Roman;Times;serif"/>
                  <w:b w:val="false"/>
                  <w:i w:val="false"/>
                  <w:caps w:val="false"/>
                  <w:smallCaps w:val="false"/>
                  <w:sz w:val="20"/>
                </w:rPr>
                <w:t>Controls and Procedures</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- 17 -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PartIIOTHERINFORMATION_828529">
              <w:r>
                <w:rPr>
                  <w:rStyle w:val="InternetLink"/>
                  <w:rFonts w:ascii="Times New Roman;Times;serif" w:hAnsi="Times New Roman;Times;serif"/>
                  <w:b/>
                  <w:i w:val="false"/>
                  <w:caps w:val="false"/>
                  <w:smallCaps w:val="false"/>
                  <w:sz w:val="20"/>
                </w:rPr>
                <w:t>Part II.</w:t>
              </w:r>
            </w:hyperlink>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PartIIOTHERINFORMATION_828529">
              <w:r>
                <w:rPr>
                  <w:rStyle w:val="InternetLink"/>
                  <w:rFonts w:ascii="Times New Roman;Times;serif" w:hAnsi="Times New Roman;Times;serif"/>
                  <w:b/>
                  <w:i w:val="false"/>
                  <w:caps w:val="false"/>
                  <w:smallCaps w:val="false"/>
                  <w:sz w:val="20"/>
                </w:rPr>
                <w:t>OTHER INFORMATION</w:t>
              </w:r>
            </w:hyperlink>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ARiskFactors_841388">
              <w:r>
                <w:rPr>
                  <w:rStyle w:val="InternetLink"/>
                  <w:rFonts w:ascii="Times New Roman;Times;serif" w:hAnsi="Times New Roman;Times;serif"/>
                  <w:b w:val="false"/>
                  <w:i w:val="false"/>
                  <w:caps w:val="false"/>
                  <w:smallCaps w:val="false"/>
                  <w:sz w:val="20"/>
                </w:rPr>
                <w:t>Item 1A.</w:t>
              </w:r>
            </w:hyperlink>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ITEM1ARiskFactors_841388">
              <w:r>
                <w:rPr>
                  <w:rStyle w:val="InternetLink"/>
                  <w:rFonts w:ascii="Times New Roman;Times;serif" w:hAnsi="Times New Roman;Times;serif"/>
                  <w:b w:val="false"/>
                  <w:i w:val="false"/>
                  <w:caps w:val="false"/>
                  <w:smallCaps w:val="false"/>
                  <w:sz w:val="20"/>
                </w:rPr>
                <w:t>Risk Factors</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6Exhibits_812943">
              <w:r>
                <w:rPr>
                  <w:rStyle w:val="InternetLink"/>
                  <w:rFonts w:ascii="Times New Roman;Times;serif" w:hAnsi="Times New Roman;Times;serif"/>
                  <w:b w:val="false"/>
                  <w:i w:val="false"/>
                  <w:caps w:val="false"/>
                  <w:smallCaps w:val="false"/>
                  <w:sz w:val="20"/>
                </w:rPr>
                <w:t>Item 6.</w:t>
              </w:r>
            </w:hyperlink>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ITEM6Exhibits_812943">
              <w:r>
                <w:rPr>
                  <w:rStyle w:val="InternetLink"/>
                  <w:rFonts w:ascii="Times New Roman;Times;serif" w:hAnsi="Times New Roman;Times;serif"/>
                  <w:b w:val="false"/>
                  <w:i w:val="false"/>
                  <w:caps w:val="false"/>
                  <w:smallCaps w:val="false"/>
                  <w:sz w:val="20"/>
                </w:rPr>
                <w:t>Exhibits</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Items 2, 3, 4 and 5 of Part II are omitted because there is no information to report.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40" w:name="_724a0fcf_a753_421c_a305_7cc590436762"/>
      <w:bookmarkEnd w:id="40"/>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41" w:name="CONDENSEDCONSOLIDATEDBALANCESHEETS_68281"/>
      <w:bookmarkEnd w:id="41"/>
      <w:r>
        <w:rPr>
          <w:rFonts w:ascii="Times New Roman;Times;serif" w:hAnsi="Times New Roman;Times;serif"/>
          <w:b/>
          <w:sz w:val="20"/>
        </w:rPr>
        <w:t>CONDENSED CONSOLIDATED BALANCE SHEETS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42" w:name="Tc_owD5JW3ook6LjLWvtyIBlQ_46_5"/>
      <w:bookmarkStart w:id="43" w:name="Tc_5hobS6KovEuIiZ9jFipWwg_46_2"/>
      <w:bookmarkStart w:id="44" w:name="Tc_ZZJH8Jv2-ke9PcCRXcZ-UQ_46_0"/>
      <w:bookmarkStart w:id="45" w:name="Tc_Jg07Bq5aNUO13jtozrrSsA_45_0"/>
      <w:bookmarkStart w:id="46" w:name="Tc_w8ZHEqBcYEGe601XGCjTmA_44_0"/>
      <w:bookmarkStart w:id="47" w:name="Tc_Rd2zUDiX10a4-OY-y_1mZw_43_0"/>
      <w:bookmarkStart w:id="48" w:name="Tc_VUh62ovhHE296DfqGIGbxA_42_0"/>
      <w:bookmarkStart w:id="49" w:name="Tc_omRJ7up68kut-Vz8N2H70w_41_0"/>
      <w:bookmarkStart w:id="50" w:name="Tc_OPQmB1hCmUCBz_iVYpm_Uw_40_0"/>
      <w:bookmarkStart w:id="51" w:name="Tc_0UfLBOkn40qmmUt4Qrl9Og_39_0"/>
      <w:bookmarkStart w:id="52" w:name="Tc_iDS62p6zzUiwu9y3cevSFg_37_0"/>
      <w:bookmarkStart w:id="53" w:name="Tc_R_NcAV2t0UCrzEudUVTSRg_36_0"/>
      <w:bookmarkStart w:id="54" w:name="Tc_vUSITFU9y0CDJL2VF82R6g_35_0"/>
      <w:bookmarkStart w:id="55" w:name="Tc_lGGuRMxWf0GPQxGHhRiW5g_34_0"/>
      <w:bookmarkStart w:id="56" w:name="Tc_rfieu7gonkufKnLsboDTIA_32_0"/>
      <w:bookmarkStart w:id="57" w:name="Tc_0SS0OSuBZEag6yXzTSwrZQ_31_0"/>
      <w:bookmarkStart w:id="58" w:name="Tc_jRbcppiZiU256SyWu6yQ7Q_30_5"/>
      <w:bookmarkStart w:id="59" w:name="Tc_n1wpi8BH9EG2l1qjJDOzhg_30_2"/>
      <w:bookmarkStart w:id="60" w:name="Tc_XB1pvUJ3xUOC9K3Mg8_SyA_30_0"/>
      <w:bookmarkStart w:id="61" w:name="Tc_AbIlMOuy8UmKqMWjB8AQ-g_29_0"/>
      <w:bookmarkStart w:id="62" w:name="Tc_6CUsQOKV50eyjtMsiNNl_A_28_0"/>
      <w:bookmarkStart w:id="63" w:name="Tc_f-0YTrRne0KQayUzxGEpDg_26_5"/>
      <w:bookmarkStart w:id="64" w:name="Tc_BLIeupqF-0GE4Fs7uTrF4w_26_2"/>
      <w:bookmarkStart w:id="65" w:name="Tc_sGwP34ShpkiaNcmB8HbVSQ_26_0"/>
      <w:bookmarkStart w:id="66" w:name="Tc_hHSVVKV20EmaMn8xNR3PfA_25_0"/>
      <w:bookmarkStart w:id="67" w:name="Tc_rxh9A2AW4EqKsSLIL8OwwQ_24_0"/>
      <w:bookmarkStart w:id="68" w:name="Tc_cJUh3lpetEmLr11ILySWPQ_22_0"/>
      <w:bookmarkStart w:id="69" w:name="Tc_dVyFqzfPC0iDmOplVa0-Lw_21_0"/>
      <w:bookmarkStart w:id="70" w:name="Tc_Qc1tw79yFkSXwewkuGxy0A_20_0"/>
      <w:bookmarkStart w:id="71" w:name="Tc__7FkCQb_7kaCqFO_MYkvKg_19_0"/>
      <w:bookmarkStart w:id="72" w:name="Tc_3GvMQCrERE-20dR729iS7A_18_0"/>
      <w:bookmarkStart w:id="73" w:name="Tc_26mHx_iH2UWrmeh6dbFGpw_16_0"/>
      <w:bookmarkStart w:id="74" w:name="Tc_N-Gxbt-J0Uy4lbyIZdAXrA_15_0"/>
      <w:bookmarkStart w:id="75" w:name="Tc_51FeTHH7I0WPyoTH0WX8Rw_14_0"/>
      <w:bookmarkStart w:id="76" w:name="Tc_BDO4Q0QIukm7Ztq0itmFcQ_13_0"/>
      <w:bookmarkStart w:id="77" w:name="Tc_VmlqcXWhhUKBPyQ7EoZr0g_12_0"/>
      <w:bookmarkStart w:id="78" w:name="Tc_0v7wIHY6j0q4yDjQTRIcBg_10_0"/>
      <w:bookmarkStart w:id="79" w:name="Tc_i_CrbQYhgECp28NXBjJ7tA_9_0"/>
      <w:bookmarkStart w:id="80" w:name="Tc_ya1ZYD-j-EOrQuBu2XDjnA_8_0"/>
      <w:bookmarkStart w:id="81" w:name="Tc_-SJTdfRpoUKKHwIvvhS1lw_7_0"/>
      <w:bookmarkStart w:id="82" w:name="Tc_mpfrZidg0kSLfiSwXghDBQ_6_0"/>
      <w:bookmarkStart w:id="83" w:name="Tc_lnI0v7u4AUic7EBqMDBkwg_5_5"/>
      <w:bookmarkStart w:id="84" w:name="Tc_Lz35tc6VyUKBSKKjkfZCWg_5_2"/>
      <w:bookmarkStart w:id="85" w:name="Tc_NyZrHprvqkOks2Z4dThfqw_5_0"/>
      <w:bookmarkStart w:id="86" w:name="Tc_PQdgqn0tNEGjmzi8DCGRkQ_4_0"/>
      <w:bookmarkStart w:id="87" w:name="Tc_KriqA6cajk2xNrSmC7lRBQ_3_5"/>
      <w:bookmarkStart w:id="88" w:name="Tc_wL_pBeiWNU2O01oNRFeTOA_2_5"/>
      <w:bookmarkStart w:id="89" w:name="Tc_EPE_Og3Z5UCLkWitC4Iwbg_2_2"/>
      <w:bookmarkStart w:id="90" w:name="Tc_0ObOnNpWjUex0g4o2cSg9g_2_0"/>
      <w:bookmarkStart w:id="91" w:name="Tc_u-u8Aq0dSkeSHtjj7L0xBg_1_5"/>
      <w:bookmarkStart w:id="92" w:name="Tc_Wg9YLzFjn0WtD9YFUqNNkQ_1_2"/>
      <w:bookmarkStart w:id="93" w:name="_2c34fea5_ee40_4591_9eee_afce93baf5f9"/>
      <w:bookmarkStart w:id="94" w:name="Tc_owD5JW3ook6LjLWvtyIBlQ_46_5"/>
      <w:bookmarkStart w:id="95" w:name="Tc_5hobS6KovEuIiZ9jFipWwg_46_2"/>
      <w:bookmarkStart w:id="96" w:name="Tc_ZZJH8Jv2-ke9PcCRXcZ-UQ_46_0"/>
      <w:bookmarkStart w:id="97" w:name="Tc_Jg07Bq5aNUO13jtozrrSsA_45_0"/>
      <w:bookmarkStart w:id="98" w:name="Tc_w8ZHEqBcYEGe601XGCjTmA_44_0"/>
      <w:bookmarkStart w:id="99" w:name="Tc_Rd2zUDiX10a4-OY-y_1mZw_43_0"/>
      <w:bookmarkStart w:id="100" w:name="Tc_VUh62ovhHE296DfqGIGbxA_42_0"/>
      <w:bookmarkStart w:id="101" w:name="Tc_omRJ7up68kut-Vz8N2H70w_41_0"/>
      <w:bookmarkStart w:id="102" w:name="Tc_OPQmB1hCmUCBz_iVYpm_Uw_40_0"/>
      <w:bookmarkStart w:id="103" w:name="Tc_0UfLBOkn40qmmUt4Qrl9Og_39_0"/>
      <w:bookmarkStart w:id="104" w:name="Tc_iDS62p6zzUiwu9y3cevSFg_37_0"/>
      <w:bookmarkStart w:id="105" w:name="Tc_R_NcAV2t0UCrzEudUVTSRg_36_0"/>
      <w:bookmarkStart w:id="106" w:name="Tc_vUSITFU9y0CDJL2VF82R6g_35_0"/>
      <w:bookmarkStart w:id="107" w:name="Tc_lGGuRMxWf0GPQxGHhRiW5g_34_0"/>
      <w:bookmarkStart w:id="108" w:name="Tc_rfieu7gonkufKnLsboDTIA_32_0"/>
      <w:bookmarkStart w:id="109" w:name="Tc_0SS0OSuBZEag6yXzTSwrZQ_31_0"/>
      <w:bookmarkStart w:id="110" w:name="Tc_jRbcppiZiU256SyWu6yQ7Q_30_5"/>
      <w:bookmarkStart w:id="111" w:name="Tc_n1wpi8BH9EG2l1qjJDOzhg_30_2"/>
      <w:bookmarkStart w:id="112" w:name="Tc_XB1pvUJ3xUOC9K3Mg8_SyA_30_0"/>
      <w:bookmarkStart w:id="113" w:name="Tc_AbIlMOuy8UmKqMWjB8AQ-g_29_0"/>
      <w:bookmarkStart w:id="114" w:name="Tc_6CUsQOKV50eyjtMsiNNl_A_28_0"/>
      <w:bookmarkStart w:id="115" w:name="Tc_f-0YTrRne0KQayUzxGEpDg_26_5"/>
      <w:bookmarkStart w:id="116" w:name="Tc_BLIeupqF-0GE4Fs7uTrF4w_26_2"/>
      <w:bookmarkStart w:id="117" w:name="Tc_sGwP34ShpkiaNcmB8HbVSQ_26_0"/>
      <w:bookmarkStart w:id="118" w:name="Tc_hHSVVKV20EmaMn8xNR3PfA_25_0"/>
      <w:bookmarkStart w:id="119" w:name="Tc_rxh9A2AW4EqKsSLIL8OwwQ_24_0"/>
      <w:bookmarkStart w:id="120" w:name="Tc_cJUh3lpetEmLr11ILySWPQ_22_0"/>
      <w:bookmarkStart w:id="121" w:name="Tc_dVyFqzfPC0iDmOplVa0-Lw_21_0"/>
      <w:bookmarkStart w:id="122" w:name="Tc_Qc1tw79yFkSXwewkuGxy0A_20_0"/>
      <w:bookmarkStart w:id="123" w:name="Tc__7FkCQb_7kaCqFO_MYkvKg_19_0"/>
      <w:bookmarkStart w:id="124" w:name="Tc_3GvMQCrERE-20dR729iS7A_18_0"/>
      <w:bookmarkStart w:id="125" w:name="Tc_26mHx_iH2UWrmeh6dbFGpw_16_0"/>
      <w:bookmarkStart w:id="126" w:name="Tc_N-Gxbt-J0Uy4lbyIZdAXrA_15_0"/>
      <w:bookmarkStart w:id="127" w:name="Tc_51FeTHH7I0WPyoTH0WX8Rw_14_0"/>
      <w:bookmarkStart w:id="128" w:name="Tc_BDO4Q0QIukm7Ztq0itmFcQ_13_0"/>
      <w:bookmarkStart w:id="129" w:name="Tc_VmlqcXWhhUKBPyQ7EoZr0g_12_0"/>
      <w:bookmarkStart w:id="130" w:name="Tc_0v7wIHY6j0q4yDjQTRIcBg_10_0"/>
      <w:bookmarkStart w:id="131" w:name="Tc_i_CrbQYhgECp28NXBjJ7tA_9_0"/>
      <w:bookmarkStart w:id="132" w:name="Tc_ya1ZYD-j-EOrQuBu2XDjnA_8_0"/>
      <w:bookmarkStart w:id="133" w:name="Tc_-SJTdfRpoUKKHwIvvhS1lw_7_0"/>
      <w:bookmarkStart w:id="134" w:name="Tc_mpfrZidg0kSLfiSwXghDBQ_6_0"/>
      <w:bookmarkStart w:id="135" w:name="Tc_lnI0v7u4AUic7EBqMDBkwg_5_5"/>
      <w:bookmarkStart w:id="136" w:name="Tc_Lz35tc6VyUKBSKKjkfZCWg_5_2"/>
      <w:bookmarkStart w:id="137" w:name="Tc_NyZrHprvqkOks2Z4dThfqw_5_0"/>
      <w:bookmarkStart w:id="138" w:name="Tc_PQdgqn0tNEGjmzi8DCGRkQ_4_0"/>
      <w:bookmarkStart w:id="139" w:name="Tc_KriqA6cajk2xNrSmC7lRBQ_3_5"/>
      <w:bookmarkStart w:id="140" w:name="Tc_wL_pBeiWNU2O01oNRFeTOA_2_5"/>
      <w:bookmarkStart w:id="141" w:name="Tc_EPE_Og3Z5UCLkWitC4Iwbg_2_2"/>
      <w:bookmarkStart w:id="142" w:name="Tc_0ObOnNpWjUex0g4o2cSg9g_2_0"/>
      <w:bookmarkStart w:id="143" w:name="Tc_u-u8Aq0dSkeSHtjj7L0xBg_1_5"/>
      <w:bookmarkStart w:id="144" w:name="Tc_Wg9YLzFjn0WtD9YFUqNNkQ_1_2"/>
      <w:bookmarkStart w:id="145" w:name="_2c34fea5_ee40_4591_9eee_afce93baf5f9"/>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tbl>
      <w:tblPr>
        <w:tblW w:w="7171" w:type="dxa"/>
        <w:jc w:val="left"/>
        <w:tblInd w:w="0" w:type="dxa"/>
        <w:tblLayout w:type="fixed"/>
        <w:tblCellMar>
          <w:top w:w="0" w:type="dxa"/>
          <w:left w:w="0" w:type="dxa"/>
          <w:bottom w:w="0" w:type="dxa"/>
          <w:right w:w="0" w:type="dxa"/>
        </w:tblCellMar>
      </w:tblPr>
      <w:tblGrid>
        <w:gridCol w:w="4321"/>
        <w:gridCol w:w="326"/>
        <w:gridCol w:w="277"/>
        <w:gridCol w:w="1028"/>
        <w:gridCol w:w="109"/>
        <w:gridCol w:w="213"/>
        <w:gridCol w:w="897"/>
      </w:tblGrid>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1"/>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4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77" w:type="dxa"/>
            <w:tcBorders/>
            <w:vAlign w:val="center"/>
          </w:tcPr>
          <w:p>
            <w:pPr>
              <w:pStyle w:val="TableContents"/>
              <w:bidi w:val="0"/>
              <w:spacing w:before="0" w:after="1"/>
              <w:ind w:left="0" w:right="0" w:hanging="0"/>
              <w:jc w:val="center"/>
              <w:rPr/>
            </w:pPr>
            <w:r>
              <w:rPr/>
              <w:t>​</w:t>
            </w:r>
          </w:p>
        </w:tc>
        <w:tc>
          <w:tcPr>
            <w:tcW w:w="102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26,748</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17,958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33,147</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46,794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17,840</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15,044</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31,290</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33,765</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2,136</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1,673</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111,161</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115,234</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13,200</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12,200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23,742</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23,742</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747</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37,532</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36,689</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5,390</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5,390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23,181</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23,181</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74,113</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74,525</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434</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103,406</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103,530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74,712</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76,407</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28,694</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27,123</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177,387</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179,046</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1"/>
              <w:ind w:left="0" w:right="0" w:hanging="0"/>
              <w:jc w:val="center"/>
              <w:rPr/>
            </w:pPr>
            <w:r>
              <w:rPr/>
              <w:t>    </w:t>
            </w:r>
          </w:p>
        </w:tc>
        <w:tc>
          <w:tcPr>
            <w:tcW w:w="1305"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110" w:type="dxa"/>
            <w:gridSpan w:val="2"/>
            <w:tcBorders/>
            <w:shd w:fill="CCEEFF" w:val="clear"/>
            <w:vAlign w:val="center"/>
          </w:tcPr>
          <w:p>
            <w:pPr>
              <w:pStyle w:val="TableContents"/>
              <w:bidi w:val="0"/>
              <w:spacing w:before="0" w:after="1"/>
              <w:ind w:left="0" w:right="0" w:hanging="0"/>
              <w:jc w:val="center"/>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1"/>
              <w:ind w:left="0" w:right="0" w:hanging="0"/>
              <w:jc w:val="left"/>
              <w:rPr/>
            </w:pPr>
            <w:r>
              <w:rPr/>
              <w:t> </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15,618</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13,954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payable to affiliate</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827</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16,653</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14,781</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Noncurrent liabilities: </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2,230</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liabilities</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2,298</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1,826</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pPr>
            <w:r>
              <w:rPr/>
              <w:t>  </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A common stock</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53,155</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53,275</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105,175</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109,160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Accumulated other comprehensive loss - </w:t>
              <w:br/>
              <w:t>  unrealized loss on 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158,436</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162,439</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177,387</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179,046</w:t>
            </w:r>
          </w:p>
        </w:tc>
      </w:tr>
    </w:tbl>
    <w:p>
      <w:pPr>
        <w:pStyle w:val="TextBody"/>
        <w:bidi w:val="0"/>
        <w:spacing w:before="40" w:after="120"/>
        <w:ind w:left="0" w:right="0" w:hanging="0"/>
        <w:jc w:val="both"/>
        <w:rPr>
          <w:rFonts w:ascii="Times New Roman;Times;serif" w:hAnsi="Times New Roman;Times;serif"/>
          <w:sz w:val="20"/>
        </w:rPr>
      </w:pPr>
      <w:bookmarkStart w:id="146" w:name="Narr_m6NWOmSO4E-gEV3cWEGQ2A"/>
      <w:bookmarkStart w:id="147" w:name="Narr_zsEeL03OLUuUxYQof4A-Kg"/>
      <w:bookmarkEnd w:id="146"/>
      <w:bookmarkEnd w:id="147"/>
      <w:r>
        <w:rPr>
          <w:rFonts w:ascii="Times New Roman;Times;serif" w:hAnsi="Times New Roman;Times;serif"/>
          <w:sz w:val="20"/>
        </w:rPr>
        <w:t>Commitments and contingencies (Note 1)</w:t>
      </w:r>
    </w:p>
    <w:p>
      <w:pPr>
        <w:pStyle w:val="TextBody"/>
        <w:bidi w:val="0"/>
        <w:spacing w:before="40" w:after="4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48" w:name="_ecccb125_1ad2_4bfb_b979_7a56c12dad84"/>
      <w:bookmarkEnd w:id="148"/>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149" w:name="CONDENSEDCONSOLIDATEDSTATEMENTSOFINCOME_"/>
      <w:bookmarkEnd w:id="149"/>
      <w:r>
        <w:rPr>
          <w:rFonts w:ascii="Times New Roman;Times;serif" w:hAnsi="Times New Roman;Times;serif"/>
          <w:b/>
          <w:sz w:val="20"/>
        </w:rPr>
        <w:t>CONDENSED CONSOLIDATED STATEMENTS OF INCOME AND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0" w:name="Tc_PPoS8abksk-1btAK_MlynQ_21_0"/>
      <w:bookmarkStart w:id="151" w:name="Tc_pNFyPbyUB0O41tP1dKXCuA_19_0"/>
      <w:bookmarkStart w:id="152" w:name="Tc_pYhVn7etGEmu3g7yyfn8BA_17_11"/>
      <w:bookmarkStart w:id="153" w:name="Tc_zTVmUM3Oc0mSungWXqatGQ_17_8"/>
      <w:bookmarkStart w:id="154" w:name="Tc_QfeQfX85FUOZ9DXEhrnc7A_17_5"/>
      <w:bookmarkStart w:id="155" w:name="Tc_4ofNCHxAVEKXpVuTNuEWGA_17_2"/>
      <w:bookmarkStart w:id="156" w:name="Tc_ys6F4gOFSUmn82rWbDNlGw_17_0"/>
      <w:bookmarkStart w:id="157" w:name="Tc_COPK-aJTbky3mO8Zf4A1Pg_16_9"/>
      <w:bookmarkStart w:id="158" w:name="Tc_tAr5G8zsuEekQwQaoZmZ5A_16_3"/>
      <w:bookmarkStart w:id="159" w:name="Tc_mRzRtbhha0yILPUtvu51HA_16_0"/>
      <w:bookmarkStart w:id="160" w:name="Tc_KSNajYEIRkyeO7E2l97F3A_15_0"/>
      <w:bookmarkStart w:id="161" w:name="Tc_Om5sPgsV9EuC47HGbh7isQ_13_11"/>
      <w:bookmarkStart w:id="162" w:name="Tc_NQ55welcXEaW5lXm5oKuRg_13_8"/>
      <w:bookmarkStart w:id="163" w:name="Tc_klxgW4U1sEq0wHtYMitxMQ_13_5"/>
      <w:bookmarkStart w:id="164" w:name="Tc__UYMTOYJRk6RP0q5NV0eLQ_13_2"/>
      <w:bookmarkStart w:id="165" w:name="Tc_tlI6_qj53EiiwFentXRGcw_13_0"/>
      <w:bookmarkStart w:id="166" w:name="Tc_cvbLQzQpQ0KTUjSrHeiKLQ_12_0"/>
      <w:bookmarkStart w:id="167" w:name="Tc_zNsonCloTkW0zMH6h9RMog_11_0"/>
      <w:bookmarkStart w:id="168" w:name="Tc_mczFt-MzMUGqCinGhQUIcg_10_0"/>
      <w:bookmarkStart w:id="169" w:name="Tc_RgCxzHUGNUeT6uXUzqwq1Q_9_0"/>
      <w:bookmarkStart w:id="170" w:name="Tc_2JhBZjZ99U69RbMgcBAXEw_8_0"/>
      <w:bookmarkStart w:id="171" w:name="Tc_VgOwOXdhz0iOuQ1h7juVgA_7_0"/>
      <w:bookmarkStart w:id="172" w:name="Tc_IgGzNh6-70i8ShzLcubzgQ_6_0"/>
      <w:bookmarkStart w:id="173" w:name="Tc_r44dYHQ9LkyyGk8Lis285w_5_11"/>
      <w:bookmarkStart w:id="174" w:name="Tc_25bEbaAm-kSP2NbyULy3ZQ_5_8"/>
      <w:bookmarkStart w:id="175" w:name="Tc_LNbQPeksJE2PAOJg8GVRfQ_5_5"/>
      <w:bookmarkStart w:id="176" w:name="Tc_ejI7gvHgsUWrUamjzG1adQ_5_2"/>
      <w:bookmarkStart w:id="177" w:name="Tc_7msa2pSFjUiGNFNkfmrChQ_5_0"/>
      <w:bookmarkStart w:id="178" w:name="Tc_gxFv5BWC3UO52-mhGT-HUA_4_2"/>
      <w:bookmarkStart w:id="179" w:name="Tc_izVwgjcgS0GBUuVH2JB7yg_3_11"/>
      <w:bookmarkStart w:id="180" w:name="Tc_qdDgP3sIPUG2fwDwwhusNw_3_8"/>
      <w:bookmarkStart w:id="181" w:name="Tc_uka2yPBCLUmBRPITWedV4Q_3_5"/>
      <w:bookmarkStart w:id="182" w:name="Tc_X4CInXaSFUCClFJ0uGgBBA_3_2"/>
      <w:bookmarkStart w:id="183" w:name="Tc_q51c22xN506u7QNLxThG1Q_2_8"/>
      <w:bookmarkStart w:id="184" w:name="Tc__7TH14lCvkC0Om88MPIU8w_2_2"/>
      <w:bookmarkStart w:id="185" w:name="Tc_e7ybHOIVxE2x2S1zJvDnNA_1_8"/>
      <w:bookmarkStart w:id="186" w:name="Tc_9Fd9U5D30USuVU2L_ZPXQA_1_2"/>
      <w:bookmarkStart w:id="187" w:name="_1bb9a386_f534_4ef4_bdda_41776febe312"/>
      <w:bookmarkStart w:id="188" w:name="Tc_PPoS8abksk-1btAK_MlynQ_21_0"/>
      <w:bookmarkStart w:id="189" w:name="Tc_pNFyPbyUB0O41tP1dKXCuA_19_0"/>
      <w:bookmarkStart w:id="190" w:name="Tc_pYhVn7etGEmu3g7yyfn8BA_17_11"/>
      <w:bookmarkStart w:id="191" w:name="Tc_zTVmUM3Oc0mSungWXqatGQ_17_8"/>
      <w:bookmarkStart w:id="192" w:name="Tc_QfeQfX85FUOZ9DXEhrnc7A_17_5"/>
      <w:bookmarkStart w:id="193" w:name="Tc_4ofNCHxAVEKXpVuTNuEWGA_17_2"/>
      <w:bookmarkStart w:id="194" w:name="Tc_ys6F4gOFSUmn82rWbDNlGw_17_0"/>
      <w:bookmarkStart w:id="195" w:name="Tc_COPK-aJTbky3mO8Zf4A1Pg_16_9"/>
      <w:bookmarkStart w:id="196" w:name="Tc_tAr5G8zsuEekQwQaoZmZ5A_16_3"/>
      <w:bookmarkStart w:id="197" w:name="Tc_mRzRtbhha0yILPUtvu51HA_16_0"/>
      <w:bookmarkStart w:id="198" w:name="Tc_KSNajYEIRkyeO7E2l97F3A_15_0"/>
      <w:bookmarkStart w:id="199" w:name="Tc_Om5sPgsV9EuC47HGbh7isQ_13_11"/>
      <w:bookmarkStart w:id="200" w:name="Tc_NQ55welcXEaW5lXm5oKuRg_13_8"/>
      <w:bookmarkStart w:id="201" w:name="Tc_klxgW4U1sEq0wHtYMitxMQ_13_5"/>
      <w:bookmarkStart w:id="202" w:name="Tc__UYMTOYJRk6RP0q5NV0eLQ_13_2"/>
      <w:bookmarkStart w:id="203" w:name="Tc_tlI6_qj53EiiwFentXRGcw_13_0"/>
      <w:bookmarkStart w:id="204" w:name="Tc_cvbLQzQpQ0KTUjSrHeiKLQ_12_0"/>
      <w:bookmarkStart w:id="205" w:name="Tc_zNsonCloTkW0zMH6h9RMog_11_0"/>
      <w:bookmarkStart w:id="206" w:name="Tc_mczFt-MzMUGqCinGhQUIcg_10_0"/>
      <w:bookmarkStart w:id="207" w:name="Tc_RgCxzHUGNUeT6uXUzqwq1Q_9_0"/>
      <w:bookmarkStart w:id="208" w:name="Tc_2JhBZjZ99U69RbMgcBAXEw_8_0"/>
      <w:bookmarkStart w:id="209" w:name="Tc_VgOwOXdhz0iOuQ1h7juVgA_7_0"/>
      <w:bookmarkStart w:id="210" w:name="Tc_IgGzNh6-70i8ShzLcubzgQ_6_0"/>
      <w:bookmarkStart w:id="211" w:name="Tc_r44dYHQ9LkyyGk8Lis285w_5_11"/>
      <w:bookmarkStart w:id="212" w:name="Tc_25bEbaAm-kSP2NbyULy3ZQ_5_8"/>
      <w:bookmarkStart w:id="213" w:name="Tc_LNbQPeksJE2PAOJg8GVRfQ_5_5"/>
      <w:bookmarkStart w:id="214" w:name="Tc_ejI7gvHgsUWrUamjzG1adQ_5_2"/>
      <w:bookmarkStart w:id="215" w:name="Tc_7msa2pSFjUiGNFNkfmrChQ_5_0"/>
      <w:bookmarkStart w:id="216" w:name="Tc_gxFv5BWC3UO52-mhGT-HUA_4_2"/>
      <w:bookmarkStart w:id="217" w:name="Tc_izVwgjcgS0GBUuVH2JB7yg_3_11"/>
      <w:bookmarkStart w:id="218" w:name="Tc_qdDgP3sIPUG2fwDwwhusNw_3_8"/>
      <w:bookmarkStart w:id="219" w:name="Tc_uka2yPBCLUmBRPITWedV4Q_3_5"/>
      <w:bookmarkStart w:id="220" w:name="Tc_X4CInXaSFUCClFJ0uGgBBA_3_2"/>
      <w:bookmarkStart w:id="221" w:name="Tc_q51c22xN506u7QNLxThG1Q_2_8"/>
      <w:bookmarkStart w:id="222" w:name="Tc__7TH14lCvkC0Om88MPIU8w_2_2"/>
      <w:bookmarkStart w:id="223" w:name="Tc_e7ybHOIVxE2x2S1zJvDnNA_1_8"/>
      <w:bookmarkStart w:id="224" w:name="Tc_9Fd9U5D30USuVU2L_ZPXQA_1_2"/>
      <w:bookmarkStart w:id="225" w:name="_1bb9a386_f534_4ef4_bdda_41776febe312"/>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tbl>
      <w:tblPr>
        <w:tblW w:w="9968" w:type="dxa"/>
        <w:jc w:val="left"/>
        <w:tblInd w:w="0" w:type="dxa"/>
        <w:tblLayout w:type="fixed"/>
        <w:tblCellMar>
          <w:top w:w="0" w:type="dxa"/>
          <w:left w:w="0" w:type="dxa"/>
          <w:bottom w:w="0" w:type="dxa"/>
          <w:right w:w="0" w:type="dxa"/>
        </w:tblCellMar>
      </w:tblPr>
      <w:tblGrid>
        <w:gridCol w:w="5011"/>
        <w:gridCol w:w="326"/>
        <w:gridCol w:w="211"/>
        <w:gridCol w:w="676"/>
        <w:gridCol w:w="326"/>
        <w:gridCol w:w="211"/>
        <w:gridCol w:w="676"/>
        <w:gridCol w:w="326"/>
        <w:gridCol w:w="211"/>
        <w:gridCol w:w="676"/>
        <w:gridCol w:w="326"/>
        <w:gridCol w:w="211"/>
        <w:gridCol w:w="781"/>
      </w:tblGrid>
      <w:tr>
        <w:trPr/>
        <w:tc>
          <w:tcPr>
            <w:tcW w:w="5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181985" cy="175260"/>
                      <wp:effectExtent l="0" t="0" r="0" b="0"/>
                      <wp:wrapNone/>
                      <wp:docPr id="9" name="Frame9"/>
                      <a:graphic xmlns:a="http://schemas.openxmlformats.org/drawingml/2006/main">
                        <a:graphicData uri="http://schemas.microsoft.com/office/word/2010/wordprocessingShape">
                          <wps:wsp>
                            <wps:cNvSpPr txBox="1"/>
                            <wps:spPr>
                              <a:xfrm>
                                <a:off x="0" y="0"/>
                                <a:ext cx="3181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29260" cy="175260"/>
                      <wp:effectExtent l="0" t="0" r="0" b="0"/>
                      <wp:wrapNone/>
                      <wp:docPr id="12" name="Frame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29260" cy="175260"/>
                      <wp:effectExtent l="0" t="0" r="0" b="0"/>
                      <wp:wrapNone/>
                      <wp:docPr id="15" name="Frame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29260" cy="175260"/>
                      <wp:effectExtent l="0" t="0" r="0" b="0"/>
                      <wp:wrapNone/>
                      <wp:docPr id="18" name="Frame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95935" cy="175260"/>
                      <wp:effectExtent l="0" t="0" r="0" b="0"/>
                      <wp:wrapNone/>
                      <wp:docPr id="21" name="Frame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20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5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center"/>
              <w:rPr/>
            </w:pPr>
            <w:r>
              <w:rPr/>
              <w:t>​</w:t>
            </w:r>
          </w:p>
        </w:tc>
        <w:tc>
          <w:tcPr>
            <w:tcW w:w="22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5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996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631"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36,616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77,767</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28,046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26,343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58,016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54,790</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22,977</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5,906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11,570</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11,407</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1,939</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13,346</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3,206</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10,140</w:t>
            </w:r>
          </w:p>
        </w:tc>
      </w:tr>
      <w:tr>
        <w:trPr/>
        <w:tc>
          <w:tcPr>
            <w:tcW w:w="5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marketable securities adjustment: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arising during year,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10,038</w:t>
            </w:r>
          </w:p>
        </w:tc>
      </w:tr>
      <w:tr>
        <w:trPr/>
        <w:tc>
          <w:tcPr>
            <w:tcW w:w="5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income per common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w:t>
            </w:r>
          </w:p>
        </w:tc>
      </w:tr>
      <w:tr>
        <w:trPr/>
        <w:tc>
          <w:tcPr>
            <w:tcW w:w="5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12,309</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26" w:name="_f5a32728_4692_45f4_a97b_ae16fdc10ca2"/>
      <w:bookmarkEnd w:id="226"/>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227" w:name="CONDENSEDCONSOLIDATEDSTATEMENTSOFSTOCKHO"/>
      <w:bookmarkEnd w:id="227"/>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28" w:name="Tc_JcdMnd-mLUyHVW5hbWVNFw_20_18"/>
      <w:bookmarkStart w:id="229" w:name="Tc_o-6_YatA2UqjSrgQkwo8qw_20_15"/>
      <w:bookmarkStart w:id="230" w:name="Tc_gIdtguX2nECVSHumuWgtiw_20_14"/>
      <w:bookmarkStart w:id="231" w:name="Tc_DqTGxMbphEKfFiwGjR1KCA_20_11"/>
      <w:bookmarkStart w:id="232" w:name="Tc_VnbmsQ2kCU6AZcX5nE-Zqg_20_8"/>
      <w:bookmarkStart w:id="233" w:name="Tc_hLk266Cy30uO2QGx3nh_GQ_20_5"/>
      <w:bookmarkStart w:id="234" w:name="Tc__pIKPqzqnEy8RxcU_8BrLg_20_2"/>
      <w:bookmarkStart w:id="235" w:name="Tc_1EsTM1iAhUS2di9vtHyUCA_20_0"/>
      <w:bookmarkStart w:id="236" w:name="Tc_fNfeThcLFEyvvGA9Zx8USw_19_15"/>
      <w:bookmarkStart w:id="237" w:name="Tc_fldj2CnwXEuoF54eGBE-fw_19_9"/>
      <w:bookmarkStart w:id="238" w:name="Tc_TfY3NDGZAkiaiQ8b3tC2Hg_19_6"/>
      <w:bookmarkStart w:id="239" w:name="Tc_G4FmmwQJJUKtq2lh3EHe0Q_19_3"/>
      <w:bookmarkStart w:id="240" w:name="Tc_wtV20p5iy0yZ0Wm8JNUu8Q_19_0"/>
      <w:bookmarkStart w:id="241" w:name="Tc_sq7IpduqKUG8OJ8cSSFaag_18_15"/>
      <w:bookmarkStart w:id="242" w:name="Tc_tAogTJXxnUW-uFgngTOPNA_18_12"/>
      <w:bookmarkStart w:id="243" w:name="Tc_-jcHHp_SQU-VrlA9vO0Khg_18_6"/>
      <w:bookmarkStart w:id="244" w:name="Tc_jmLjRfz5l0O1hWWigM3kuw_18_3"/>
      <w:bookmarkStart w:id="245" w:name="Tc_7s3rXA9cd0mLTyVpuU9x5Q_18_0"/>
      <w:bookmarkStart w:id="246" w:name="Tc_BiciOPZWPEOY2HJBzSWNtg_17_15"/>
      <w:bookmarkStart w:id="247" w:name="Tc_hmbG-TiB40KFM5S6vF-z7g_17_12"/>
      <w:bookmarkStart w:id="248" w:name="Tc_T7CYMy0pLEup7HA8Y5Mz7A_17_9"/>
      <w:bookmarkStart w:id="249" w:name="Tc_ces-te1o4kiBgRn0MX34zg_17_3"/>
      <w:bookmarkStart w:id="250" w:name="Tc_knCpz-yfn0i_4DMyWzT3_g_17_0"/>
      <w:bookmarkStart w:id="251" w:name="Tc_sVWfcsr2DkeZgT52AhjUNQ_16_15"/>
      <w:bookmarkStart w:id="252" w:name="Tc_Jqod4siOPk-IjOiaaKLxXA_16_12"/>
      <w:bookmarkStart w:id="253" w:name="Tc_YCDi5wiUh06E7xaoJmaXSw_16_6"/>
      <w:bookmarkStart w:id="254" w:name="Tc_52jUfQHBekySIGWRfdaNIw_16_3"/>
      <w:bookmarkStart w:id="255" w:name="Tc_IuJBWj3sTk6FD28nP5vkwQ_16_0"/>
      <w:bookmarkStart w:id="256" w:name="Tc_X3GZTZDcXUyOXbkvQF85Ug_15_18"/>
      <w:bookmarkStart w:id="257" w:name="Tc_8UwfC9R4m0q1_ChxMlaYxg_15_15"/>
      <w:bookmarkStart w:id="258" w:name="Tc_yVxE4gIoNEy6Ge-weYU7mw_15_14"/>
      <w:bookmarkStart w:id="259" w:name="Tc_aONbiu6Fdkq_0JQIuRyaZQ_15_11"/>
      <w:bookmarkStart w:id="260" w:name="Tc_HY4__5WkqEGna9-foh4hWg_15_8"/>
      <w:bookmarkStart w:id="261" w:name="Tc_twG92wLur0i1rwoRwSC8FA_15_5"/>
      <w:bookmarkStart w:id="262" w:name="Tc_6qp-aVoA_U-q7APGCAdSmQ_15_2"/>
      <w:bookmarkStart w:id="263" w:name="Tc_IU2YKcPlF0yFkyDel614yw_15_0"/>
      <w:bookmarkStart w:id="264" w:name="Tc_mNcQvhnRJkWA1pEJdLGFtw_13_18"/>
      <w:bookmarkStart w:id="265" w:name="Tc_zP0xCIcr8kWA2ooE-AoGBQ_13_15"/>
      <w:bookmarkStart w:id="266" w:name="Tc_gWbAYztFgEmykqmYqggrXQ_13_14"/>
      <w:bookmarkStart w:id="267" w:name="Tc_vDIvjbcKVEmyH7iA6Dcsbg_13_12"/>
      <w:bookmarkStart w:id="268" w:name="Tc_PJM3iq5fmECwCmFezWHVxg_13_11"/>
      <w:bookmarkStart w:id="269" w:name="Tc_Q-ZhkQKq70GEyc_Y1N-kKA_13_8"/>
      <w:bookmarkStart w:id="270" w:name="Tc_iB-mAMfjpEST7puE0DT3hQ_13_5"/>
      <w:bookmarkStart w:id="271" w:name="Tc_pLsbPch5I0qFa3UlD9ucHA_13_2"/>
      <w:bookmarkStart w:id="272" w:name="Tc_IaZPOyQk4EOUGWPGyWDICw_13_0"/>
      <w:bookmarkStart w:id="273" w:name="Tc_7DviGaV8u0S2ACXfC58U7Q_12_15"/>
      <w:bookmarkStart w:id="274" w:name="Tc_1ZVBWvjCHUe3XWHzbZuZpQ_12_12"/>
      <w:bookmarkStart w:id="275" w:name="Tc_ee_tANU8HU22z2sILRStUQ_12_6"/>
      <w:bookmarkStart w:id="276" w:name="Tc_kQ2sFsYl7USEzP_5w4fz6w_12_3"/>
      <w:bookmarkStart w:id="277" w:name="Tc_yUn0A3palkWCqYLYCSZ0iA_12_0"/>
      <w:bookmarkStart w:id="278" w:name="Tc_pGJFIx3B8EK6zO7M_6r80Q_11_19"/>
      <w:bookmarkStart w:id="279" w:name="Tc_0MUuUTsnNkqPXOwhzgZFDw_11_12"/>
      <w:bookmarkStart w:id="280" w:name="Tc__EJvvzouWEeX8NdBmTP6lw_11_9"/>
      <w:bookmarkStart w:id="281" w:name="Tc_O-deeEG8VEGHFSBYpu8BDg_11_0"/>
      <w:bookmarkStart w:id="282" w:name="Tc_6Ken5fsMdk2xPC7rY9798g_10_12"/>
      <w:bookmarkStart w:id="283" w:name="Tc_QXBE43jS9katMnf-zPquow_10_9"/>
      <w:bookmarkStart w:id="284" w:name="Tc_X9tk6tQmB0-808-7THdDSg_10_6"/>
      <w:bookmarkStart w:id="285" w:name="Tc_oOLsJO47oEmw-cwnaKyl1Q_10_3"/>
      <w:bookmarkStart w:id="286" w:name="Tc_YSaP9aL8vEevw90zmXXwkQ_10_0"/>
      <w:bookmarkStart w:id="287" w:name="Tc_WGZ-kG5dsEeFrnDNL-ujgA_9_0"/>
      <w:bookmarkStart w:id="288" w:name="Tc_hpJHXdZJyUCwv3LabgXK7w_8_15"/>
      <w:bookmarkStart w:id="289" w:name="Tc_XwT3HQwCmkWUFtaTYBWM1w_8_12"/>
      <w:bookmarkStart w:id="290" w:name="Tc_6mc1wdWRikCsOjIHQDcITw_8_9"/>
      <w:bookmarkStart w:id="291" w:name="Tc_M_KjUk-MikilQfzAQ9mNwA_8_3"/>
      <w:bookmarkStart w:id="292" w:name="Tc_cinS7RXNTkixzyBPy_URdg_8_0"/>
      <w:bookmarkStart w:id="293" w:name="Tc_Gw_YNOPaTUOfZ-h1iP2Qnw_7_15"/>
      <w:bookmarkStart w:id="294" w:name="Tc_AvL0yKWwvkewHDMSdXLtzQ_7_12"/>
      <w:bookmarkStart w:id="295" w:name="Tc_rGO0O6lfr0Oe_7R7E2BAxQ_7_6"/>
      <w:bookmarkStart w:id="296" w:name="Tc_gJeWUDLH3UqibfOOhvEAPQ_7_3"/>
      <w:bookmarkStart w:id="297" w:name="Tc_JNdphRPN-Eict9CxnxGr1Q_7_0"/>
      <w:bookmarkStart w:id="298" w:name="Tc_GZ4NmSLCukmjUTxF_XBtwA_6_18"/>
      <w:bookmarkStart w:id="299" w:name="Tc_3PR1d5tLoUicoXjHdE2jAw_6_15"/>
      <w:bookmarkStart w:id="300" w:name="Tc_KdQ8eObZEE-iImZKl4ybPw_6_14"/>
      <w:bookmarkStart w:id="301" w:name="Tc_n2ujgSaJgECs_Sj2rQMapQ_6_12"/>
      <w:bookmarkStart w:id="302" w:name="Tc_wYWj-RQa7UqMYV4TvHZxEg_6_11"/>
      <w:bookmarkStart w:id="303" w:name="Tc_zgeuEdIKykOs5jokZdP9WA_6_8"/>
      <w:bookmarkStart w:id="304" w:name="Tc_z9hsBdKuHEqiuR3bLrlf_g_6_5"/>
      <w:bookmarkStart w:id="305" w:name="Tc_8DTdJcqP4kKzj66eXZyTyQ_6_2"/>
      <w:bookmarkStart w:id="306" w:name="Tc_ORIGebQhIk6k2b3bzfa2wg_6_0"/>
      <w:bookmarkStart w:id="307" w:name="Tc_k30fzKgndkmvYfpLSUomuA_5_18"/>
      <w:bookmarkStart w:id="308" w:name="Tc_fyzJcIAiMUOccoOwTEaz1w_5_14"/>
      <w:bookmarkStart w:id="309" w:name="Tc_9GK8MiBQe0y4opC0H-YSGA_5_11"/>
      <w:bookmarkStart w:id="310" w:name="Tc_kA1QMgIsDU2tqOG208l9ng_5_8"/>
      <w:bookmarkStart w:id="311" w:name="Tc_jam0m2r53ES8ioazIwVkFg_5_5"/>
      <w:bookmarkStart w:id="312" w:name="Tc_ANGoZ7mwG0Cz_MlQMna58g_5_2"/>
      <w:bookmarkStart w:id="313" w:name="Tc_8gaH1d1DBUWYcsk9MZ_1-w_4_18"/>
      <w:bookmarkStart w:id="314" w:name="Tc_ygaFCY5qak-9LnFVuqd6Iw_4_14"/>
      <w:bookmarkStart w:id="315" w:name="Tc_Tsusu0WggkOwAeyrjSIygQ_4_11"/>
      <w:bookmarkStart w:id="316" w:name="Tc_687iKRAQmUiucUHddLGUSg_4_8"/>
      <w:bookmarkStart w:id="317" w:name="Tc_sQytFfWKwUqF2kdvSvvF0Q_4_5"/>
      <w:bookmarkStart w:id="318" w:name="Tc_U4idXLwnw06mTD6o_noOaQ_4_2"/>
      <w:bookmarkStart w:id="319" w:name="Tc_e994k00ePUyQHuVtbtIhrw_3_18"/>
      <w:bookmarkStart w:id="320" w:name="Tc_elCNHOkSukmaMr1NxiJrvw_3_11"/>
      <w:bookmarkStart w:id="321" w:name="Tc_sM-e65QD7UqMZigLpOB-GA_3_5"/>
      <w:bookmarkStart w:id="322" w:name="Tc_IqMxp-_cT0mcWiIvURxg2w_3_2"/>
      <w:bookmarkStart w:id="323" w:name="Tc_5v2RU9rwoEu554EB7y20YA_2_11"/>
      <w:bookmarkStart w:id="324" w:name="Tc_GhNvfI-mCk6F9dv-ODL-rw_1_2"/>
      <w:bookmarkStart w:id="325" w:name="_32cc6987_7d18_47b2_bc2a_e24eabd5e118"/>
      <w:bookmarkStart w:id="326" w:name="Tc_JcdMnd-mLUyHVW5hbWVNFw_20_18"/>
      <w:bookmarkStart w:id="327" w:name="Tc_o-6_YatA2UqjSrgQkwo8qw_20_15"/>
      <w:bookmarkStart w:id="328" w:name="Tc_gIdtguX2nECVSHumuWgtiw_20_14"/>
      <w:bookmarkStart w:id="329" w:name="Tc_DqTGxMbphEKfFiwGjR1KCA_20_11"/>
      <w:bookmarkStart w:id="330" w:name="Tc_VnbmsQ2kCU6AZcX5nE-Zqg_20_8"/>
      <w:bookmarkStart w:id="331" w:name="Tc_hLk266Cy30uO2QGx3nh_GQ_20_5"/>
      <w:bookmarkStart w:id="332" w:name="Tc__pIKPqzqnEy8RxcU_8BrLg_20_2"/>
      <w:bookmarkStart w:id="333" w:name="Tc_1EsTM1iAhUS2di9vtHyUCA_20_0"/>
      <w:bookmarkStart w:id="334" w:name="Tc_fNfeThcLFEyvvGA9Zx8USw_19_15"/>
      <w:bookmarkStart w:id="335" w:name="Tc_fldj2CnwXEuoF54eGBE-fw_19_9"/>
      <w:bookmarkStart w:id="336" w:name="Tc_TfY3NDGZAkiaiQ8b3tC2Hg_19_6"/>
      <w:bookmarkStart w:id="337" w:name="Tc_G4FmmwQJJUKtq2lh3EHe0Q_19_3"/>
      <w:bookmarkStart w:id="338" w:name="Tc_wtV20p5iy0yZ0Wm8JNUu8Q_19_0"/>
      <w:bookmarkStart w:id="339" w:name="Tc_sq7IpduqKUG8OJ8cSSFaag_18_15"/>
      <w:bookmarkStart w:id="340" w:name="Tc_tAogTJXxnUW-uFgngTOPNA_18_12"/>
      <w:bookmarkStart w:id="341" w:name="Tc_-jcHHp_SQU-VrlA9vO0Khg_18_6"/>
      <w:bookmarkStart w:id="342" w:name="Tc_jmLjRfz5l0O1hWWigM3kuw_18_3"/>
      <w:bookmarkStart w:id="343" w:name="Tc_7s3rXA9cd0mLTyVpuU9x5Q_18_0"/>
      <w:bookmarkStart w:id="344" w:name="Tc_BiciOPZWPEOY2HJBzSWNtg_17_15"/>
      <w:bookmarkStart w:id="345" w:name="Tc_hmbG-TiB40KFM5S6vF-z7g_17_12"/>
      <w:bookmarkStart w:id="346" w:name="Tc_T7CYMy0pLEup7HA8Y5Mz7A_17_9"/>
      <w:bookmarkStart w:id="347" w:name="Tc_ces-te1o4kiBgRn0MX34zg_17_3"/>
      <w:bookmarkStart w:id="348" w:name="Tc_knCpz-yfn0i_4DMyWzT3_g_17_0"/>
      <w:bookmarkStart w:id="349" w:name="Tc_sVWfcsr2DkeZgT52AhjUNQ_16_15"/>
      <w:bookmarkStart w:id="350" w:name="Tc_Jqod4siOPk-IjOiaaKLxXA_16_12"/>
      <w:bookmarkStart w:id="351" w:name="Tc_YCDi5wiUh06E7xaoJmaXSw_16_6"/>
      <w:bookmarkStart w:id="352" w:name="Tc_52jUfQHBekySIGWRfdaNIw_16_3"/>
      <w:bookmarkStart w:id="353" w:name="Tc_IuJBWj3sTk6FD28nP5vkwQ_16_0"/>
      <w:bookmarkStart w:id="354" w:name="Tc_X3GZTZDcXUyOXbkvQF85Ug_15_18"/>
      <w:bookmarkStart w:id="355" w:name="Tc_8UwfC9R4m0q1_ChxMlaYxg_15_15"/>
      <w:bookmarkStart w:id="356" w:name="Tc_yVxE4gIoNEy6Ge-weYU7mw_15_14"/>
      <w:bookmarkStart w:id="357" w:name="Tc_aONbiu6Fdkq_0JQIuRyaZQ_15_11"/>
      <w:bookmarkStart w:id="358" w:name="Tc_HY4__5WkqEGna9-foh4hWg_15_8"/>
      <w:bookmarkStart w:id="359" w:name="Tc_twG92wLur0i1rwoRwSC8FA_15_5"/>
      <w:bookmarkStart w:id="360" w:name="Tc_6qp-aVoA_U-q7APGCAdSmQ_15_2"/>
      <w:bookmarkStart w:id="361" w:name="Tc_IU2YKcPlF0yFkyDel614yw_15_0"/>
      <w:bookmarkStart w:id="362" w:name="Tc_mNcQvhnRJkWA1pEJdLGFtw_13_18"/>
      <w:bookmarkStart w:id="363" w:name="Tc_zP0xCIcr8kWA2ooE-AoGBQ_13_15"/>
      <w:bookmarkStart w:id="364" w:name="Tc_gWbAYztFgEmykqmYqggrXQ_13_14"/>
      <w:bookmarkStart w:id="365" w:name="Tc_vDIvjbcKVEmyH7iA6Dcsbg_13_12"/>
      <w:bookmarkStart w:id="366" w:name="Tc_PJM3iq5fmECwCmFezWHVxg_13_11"/>
      <w:bookmarkStart w:id="367" w:name="Tc_Q-ZhkQKq70GEyc_Y1N-kKA_13_8"/>
      <w:bookmarkStart w:id="368" w:name="Tc_iB-mAMfjpEST7puE0DT3hQ_13_5"/>
      <w:bookmarkStart w:id="369" w:name="Tc_pLsbPch5I0qFa3UlD9ucHA_13_2"/>
      <w:bookmarkStart w:id="370" w:name="Tc_IaZPOyQk4EOUGWPGyWDICw_13_0"/>
      <w:bookmarkStart w:id="371" w:name="Tc_7DviGaV8u0S2ACXfC58U7Q_12_15"/>
      <w:bookmarkStart w:id="372" w:name="Tc_1ZVBWvjCHUe3XWHzbZuZpQ_12_12"/>
      <w:bookmarkStart w:id="373" w:name="Tc_ee_tANU8HU22z2sILRStUQ_12_6"/>
      <w:bookmarkStart w:id="374" w:name="Tc_kQ2sFsYl7USEzP_5w4fz6w_12_3"/>
      <w:bookmarkStart w:id="375" w:name="Tc_yUn0A3palkWCqYLYCSZ0iA_12_0"/>
      <w:bookmarkStart w:id="376" w:name="Tc_pGJFIx3B8EK6zO7M_6r80Q_11_19"/>
      <w:bookmarkStart w:id="377" w:name="Tc_0MUuUTsnNkqPXOwhzgZFDw_11_12"/>
      <w:bookmarkStart w:id="378" w:name="Tc__EJvvzouWEeX8NdBmTP6lw_11_9"/>
      <w:bookmarkStart w:id="379" w:name="Tc_O-deeEG8VEGHFSBYpu8BDg_11_0"/>
      <w:bookmarkStart w:id="380" w:name="Tc_6Ken5fsMdk2xPC7rY9798g_10_12"/>
      <w:bookmarkStart w:id="381" w:name="Tc_QXBE43jS9katMnf-zPquow_10_9"/>
      <w:bookmarkStart w:id="382" w:name="Tc_X9tk6tQmB0-808-7THdDSg_10_6"/>
      <w:bookmarkStart w:id="383" w:name="Tc_oOLsJO47oEmw-cwnaKyl1Q_10_3"/>
      <w:bookmarkStart w:id="384" w:name="Tc_YSaP9aL8vEevw90zmXXwkQ_10_0"/>
      <w:bookmarkStart w:id="385" w:name="Tc_WGZ-kG5dsEeFrnDNL-ujgA_9_0"/>
      <w:bookmarkStart w:id="386" w:name="Tc_hpJHXdZJyUCwv3LabgXK7w_8_15"/>
      <w:bookmarkStart w:id="387" w:name="Tc_XwT3HQwCmkWUFtaTYBWM1w_8_12"/>
      <w:bookmarkStart w:id="388" w:name="Tc_6mc1wdWRikCsOjIHQDcITw_8_9"/>
      <w:bookmarkStart w:id="389" w:name="Tc_M_KjUk-MikilQfzAQ9mNwA_8_3"/>
      <w:bookmarkStart w:id="390" w:name="Tc_cinS7RXNTkixzyBPy_URdg_8_0"/>
      <w:bookmarkStart w:id="391" w:name="Tc_Gw_YNOPaTUOfZ-h1iP2Qnw_7_15"/>
      <w:bookmarkStart w:id="392" w:name="Tc_AvL0yKWwvkewHDMSdXLtzQ_7_12"/>
      <w:bookmarkStart w:id="393" w:name="Tc_rGO0O6lfr0Oe_7R7E2BAxQ_7_6"/>
      <w:bookmarkStart w:id="394" w:name="Tc_gJeWUDLH3UqibfOOhvEAPQ_7_3"/>
      <w:bookmarkStart w:id="395" w:name="Tc_JNdphRPN-Eict9CxnxGr1Q_7_0"/>
      <w:bookmarkStart w:id="396" w:name="Tc_GZ4NmSLCukmjUTxF_XBtwA_6_18"/>
      <w:bookmarkStart w:id="397" w:name="Tc_3PR1d5tLoUicoXjHdE2jAw_6_15"/>
      <w:bookmarkStart w:id="398" w:name="Tc_KdQ8eObZEE-iImZKl4ybPw_6_14"/>
      <w:bookmarkStart w:id="399" w:name="Tc_n2ujgSaJgECs_Sj2rQMapQ_6_12"/>
      <w:bookmarkStart w:id="400" w:name="Tc_wYWj-RQa7UqMYV4TvHZxEg_6_11"/>
      <w:bookmarkStart w:id="401" w:name="Tc_zgeuEdIKykOs5jokZdP9WA_6_8"/>
      <w:bookmarkStart w:id="402" w:name="Tc_z9hsBdKuHEqiuR3bLrlf_g_6_5"/>
      <w:bookmarkStart w:id="403" w:name="Tc_8DTdJcqP4kKzj66eXZyTyQ_6_2"/>
      <w:bookmarkStart w:id="404" w:name="Tc_ORIGebQhIk6k2b3bzfa2wg_6_0"/>
      <w:bookmarkStart w:id="405" w:name="Tc_k30fzKgndkmvYfpLSUomuA_5_18"/>
      <w:bookmarkStart w:id="406" w:name="Tc_fyzJcIAiMUOccoOwTEaz1w_5_14"/>
      <w:bookmarkStart w:id="407" w:name="Tc_9GK8MiBQe0y4opC0H-YSGA_5_11"/>
      <w:bookmarkStart w:id="408" w:name="Tc_kA1QMgIsDU2tqOG208l9ng_5_8"/>
      <w:bookmarkStart w:id="409" w:name="Tc_jam0m2r53ES8ioazIwVkFg_5_5"/>
      <w:bookmarkStart w:id="410" w:name="Tc_ANGoZ7mwG0Cz_MlQMna58g_5_2"/>
      <w:bookmarkStart w:id="411" w:name="Tc_8gaH1d1DBUWYcsk9MZ_1-w_4_18"/>
      <w:bookmarkStart w:id="412" w:name="Tc_ygaFCY5qak-9LnFVuqd6Iw_4_14"/>
      <w:bookmarkStart w:id="413" w:name="Tc_Tsusu0WggkOwAeyrjSIygQ_4_11"/>
      <w:bookmarkStart w:id="414" w:name="Tc_687iKRAQmUiucUHddLGUSg_4_8"/>
      <w:bookmarkStart w:id="415" w:name="Tc_sQytFfWKwUqF2kdvSvvF0Q_4_5"/>
      <w:bookmarkStart w:id="416" w:name="Tc_U4idXLwnw06mTD6o_noOaQ_4_2"/>
      <w:bookmarkStart w:id="417" w:name="Tc_e994k00ePUyQHuVtbtIhrw_3_18"/>
      <w:bookmarkStart w:id="418" w:name="Tc_elCNHOkSukmaMr1NxiJrvw_3_11"/>
      <w:bookmarkStart w:id="419" w:name="Tc_sM-e65QD7UqMZigLpOB-GA_3_5"/>
      <w:bookmarkStart w:id="420" w:name="Tc_IqMxp-_cT0mcWiIvURxg2w_3_2"/>
      <w:bookmarkStart w:id="421" w:name="Tc_5v2RU9rwoEu554EB7y20YA_2_11"/>
      <w:bookmarkStart w:id="422" w:name="Tc_GhNvfI-mCk6F9dv-ODL-rw_1_2"/>
      <w:bookmarkStart w:id="423" w:name="_32cc6987_7d18_47b2_bc2a_e24eabd5e118"/>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tbl>
      <w:tblPr>
        <w:tblW w:w="10205" w:type="dxa"/>
        <w:jc w:val="left"/>
        <w:tblInd w:w="0" w:type="dxa"/>
        <w:tblLayout w:type="fixed"/>
        <w:tblCellMar>
          <w:top w:w="0" w:type="dxa"/>
          <w:left w:w="0" w:type="dxa"/>
          <w:bottom w:w="0" w:type="dxa"/>
          <w:right w:w="0" w:type="dxa"/>
        </w:tblCellMar>
      </w:tblPr>
      <w:tblGrid>
        <w:gridCol w:w="2163"/>
        <w:gridCol w:w="326"/>
        <w:gridCol w:w="280"/>
        <w:gridCol w:w="561"/>
        <w:gridCol w:w="326"/>
        <w:gridCol w:w="239"/>
        <w:gridCol w:w="767"/>
        <w:gridCol w:w="326"/>
        <w:gridCol w:w="211"/>
        <w:gridCol w:w="781"/>
        <w:gridCol w:w="326"/>
        <w:gridCol w:w="420"/>
        <w:gridCol w:w="961"/>
        <w:gridCol w:w="109"/>
        <w:gridCol w:w="211"/>
        <w:gridCol w:w="690"/>
        <w:gridCol w:w="146"/>
        <w:gridCol w:w="109"/>
        <w:gridCol w:w="239"/>
        <w:gridCol w:w="1014"/>
      </w:tblGrid>
      <w:tr>
        <w:trPr/>
        <w:tc>
          <w:tcPr>
            <w:tcW w:w="2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73505" cy="175260"/>
                      <wp:effectExtent l="0" t="0" r="0" b="0"/>
                      <wp:wrapNone/>
                      <wp:docPr id="22" name="Frame22"/>
                      <a:graphic xmlns:a="http://schemas.openxmlformats.org/drawingml/2006/main">
                        <a:graphicData uri="http://schemas.microsoft.com/office/word/2010/wordprocessingShape">
                          <wps:wsp>
                            <wps:cNvSpPr txBox="1"/>
                            <wps:spPr>
                              <a:xfrm>
                                <a:off x="0" y="0"/>
                                <a:ext cx="1373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77800" cy="175260"/>
                      <wp:effectExtent l="0" t="0" r="0" b="0"/>
                      <wp:wrapNone/>
                      <wp:docPr id="24" name="Frame24"/>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56235" cy="175260"/>
                      <wp:effectExtent l="0" t="0" r="0" b="0"/>
                      <wp:wrapNone/>
                      <wp:docPr id="25" name="Frame25"/>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51765" cy="175260"/>
                      <wp:effectExtent l="0" t="0" r="0" b="0"/>
                      <wp:wrapNone/>
                      <wp:docPr id="27" name="Frame2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87045" cy="175260"/>
                      <wp:effectExtent l="0" t="0" r="0" b="0"/>
                      <wp:wrapNone/>
                      <wp:docPr id="28" name="Frame28"/>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95935" cy="175260"/>
                      <wp:effectExtent l="0" t="0" r="0" b="0"/>
                      <wp:wrapNone/>
                      <wp:docPr id="31" name="Frame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66700" cy="175260"/>
                      <wp:effectExtent l="0" t="0" r="0" b="0"/>
                      <wp:wrapNone/>
                      <wp:docPr id="33" name="Frame33"/>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10235" cy="175260"/>
                      <wp:effectExtent l="0" t="0" r="0" b="0"/>
                      <wp:wrapNone/>
                      <wp:docPr id="34" name="Frame3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38150" cy="175260"/>
                      <wp:effectExtent l="0" t="0" r="0" b="0"/>
                      <wp:wrapNone/>
                      <wp:docPr id="37" name="Frame3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92710" cy="175260"/>
                      <wp:effectExtent l="0" t="0" r="0" b="0"/>
                      <wp:wrapNone/>
                      <wp:docPr id="38" name="Frame3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51765" cy="175260"/>
                      <wp:effectExtent l="0" t="0" r="0" b="0"/>
                      <wp:wrapNone/>
                      <wp:docPr id="40" name="Frame4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3890" cy="175260"/>
                      <wp:effectExtent l="0" t="0" r="0" b="0"/>
                      <wp:wrapNone/>
                      <wp:docPr id="41" name="Frame41"/>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716" w:type="dxa"/>
            <w:gridSpan w:val="1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Three months ended June 30, 2022 and 2023 (unaudited)</w:t>
            </w:r>
          </w:p>
        </w:tc>
      </w:tr>
      <w:tr>
        <w:trPr/>
        <w:tc>
          <w:tcPr>
            <w:tcW w:w="21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center"/>
              <w:rPr/>
            </w:pPr>
            <w:r>
              <w:rPr/>
              <w:t>​</w:t>
            </w:r>
          </w:p>
        </w:tc>
        <w:tc>
          <w:tcPr>
            <w:tcW w:w="5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9" w:type="dxa"/>
            <w:tcBorders/>
            <w:vAlign w:val="center"/>
          </w:tcPr>
          <w:p>
            <w:pPr>
              <w:pStyle w:val="TableContents"/>
              <w:bidi w:val="0"/>
              <w:spacing w:before="0" w:after="1"/>
              <w:ind w:left="0" w:right="0" w:hanging="0"/>
              <w:jc w:val="center"/>
              <w:rPr/>
            </w:pPr>
            <w:r>
              <w:rPr/>
              <w:t>​</w:t>
            </w:r>
          </w:p>
        </w:tc>
        <w:tc>
          <w:tcPr>
            <w:tcW w:w="7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Accumulated</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39" w:type="dxa"/>
            <w:tcBorders/>
            <w:vAlign w:val="center"/>
          </w:tcPr>
          <w:p>
            <w:pPr>
              <w:pStyle w:val="TableContents"/>
              <w:bidi w:val="0"/>
              <w:spacing w:before="0" w:after="1"/>
              <w:ind w:left="0" w:right="0" w:hanging="0"/>
              <w:jc w:val="center"/>
              <w:rPr/>
            </w:pPr>
            <w:r>
              <w:rPr/>
              <w:t>​</w:t>
            </w:r>
          </w:p>
        </w:tc>
        <w:tc>
          <w:tcPr>
            <w:tcW w:w="1014" w:type="dxa"/>
            <w:tcBorders/>
            <w:vAlign w:val="center"/>
          </w:tcPr>
          <w:p>
            <w:pPr>
              <w:pStyle w:val="TableContents"/>
              <w:bidi w:val="0"/>
              <w:spacing w:before="0" w:after="1"/>
              <w:ind w:left="0" w:right="0" w:hanging="0"/>
              <w:jc w:val="center"/>
              <w:rPr/>
            </w:pPr>
            <w:r>
              <w:rPr/>
              <w:t>​</w:t>
            </w:r>
          </w:p>
        </w:tc>
      </w:tr>
      <w:tr>
        <w:trPr/>
        <w:tc>
          <w:tcPr>
            <w:tcW w:w="21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Class A</w:t>
            </w:r>
          </w:p>
        </w:tc>
        <w:tc>
          <w:tcPr>
            <w:tcW w:w="32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Additional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other</w:t>
            </w:r>
          </w:p>
        </w:tc>
        <w:tc>
          <w:tcPr>
            <w:tcW w:w="109"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1253"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Total</w:t>
            </w:r>
          </w:p>
        </w:tc>
      </w:tr>
      <w:tr>
        <w:trPr/>
        <w:tc>
          <w:tcPr>
            <w:tcW w:w="21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2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paid-in</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Retained</w:t>
            </w:r>
          </w:p>
        </w:tc>
        <w:tc>
          <w:tcPr>
            <w:tcW w:w="32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comprehensive</w:t>
            </w:r>
          </w:p>
        </w:tc>
        <w:tc>
          <w:tcPr>
            <w:tcW w:w="109"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Treasury</w:t>
            </w:r>
          </w:p>
        </w:tc>
        <w:tc>
          <w:tcPr>
            <w:tcW w:w="146"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1253"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stockholders'</w:t>
            </w:r>
          </w:p>
        </w:tc>
      </w:tr>
      <w:tr>
        <w:trPr/>
        <w:tc>
          <w:tcPr>
            <w:tcW w:w="21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capital</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earnings</w:t>
            </w:r>
          </w:p>
        </w:tc>
        <w:tc>
          <w:tcPr>
            <w:tcW w:w="326" w:type="dxa"/>
            <w:tcBorders/>
            <w:vAlign w:val="center"/>
          </w:tcPr>
          <w:p>
            <w:pPr>
              <w:pStyle w:val="TableContents"/>
              <w:bidi w:val="0"/>
              <w:spacing w:before="0" w:after="1"/>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loss</w:t>
            </w:r>
          </w:p>
        </w:tc>
        <w:tc>
          <w:tcPr>
            <w:tcW w:w="109" w:type="dxa"/>
            <w:tcBorders/>
            <w:vAlign w:val="center"/>
          </w:tcPr>
          <w:p>
            <w:pPr>
              <w:pStyle w:val="TableContents"/>
              <w:bidi w:val="0"/>
              <w:spacing w:before="0" w:after="1"/>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146"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12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equity</w:t>
            </w:r>
          </w:p>
        </w:tc>
      </w:tr>
      <w:tr>
        <w:trPr/>
        <w:tc>
          <w:tcPr>
            <w:tcW w:w="21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March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120,073</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174,977</w:t>
            </w:r>
          </w:p>
        </w:tc>
      </w:tr>
      <w:tr>
        <w:trPr/>
        <w:tc>
          <w:tcPr>
            <w:tcW w:w="21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5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6,176</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9" w:type="dxa"/>
            <w:tcBorders/>
            <w:vAlign w:val="center"/>
          </w:tcPr>
          <w:p>
            <w:pPr>
              <w:pStyle w:val="TableContents"/>
              <w:bidi w:val="0"/>
              <w:spacing w:before="0" w:after="1"/>
              <w:ind w:left="0" w:right="0" w:hanging="0"/>
              <w:jc w:val="left"/>
              <w:rPr/>
            </w:pPr>
            <w:r>
              <w:rPr/>
              <w:t> </w:t>
            </w:r>
          </w:p>
        </w:tc>
        <w:tc>
          <w:tcPr>
            <w:tcW w:w="10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6,176</w:t>
            </w:r>
          </w:p>
        </w:tc>
      </w:tr>
      <w:tr>
        <w:trPr/>
        <w:tc>
          <w:tcPr>
            <w:tcW w:w="21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21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stock:</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9"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r>
      <w:tr>
        <w:trPr/>
        <w:tc>
          <w:tcPr>
            <w:tcW w:w="21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w:t>
            </w:r>
          </w:p>
        </w:tc>
      </w:tr>
      <w:tr>
        <w:trPr/>
        <w:tc>
          <w:tcPr>
            <w:tcW w:w="21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Retired</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9"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r>
      <w:tr>
        <w:trPr/>
        <w:tc>
          <w:tcPr>
            <w:tcW w:w="21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($.25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(3,094)</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(3,094)</w:t>
            </w:r>
          </w:p>
        </w:tc>
      </w:tr>
      <w:tr>
        <w:trPr/>
        <w:tc>
          <w:tcPr>
            <w:tcW w:w="21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2022</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53,155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123,155</w:t>
            </w:r>
          </w:p>
        </w:tc>
        <w:tc>
          <w:tcPr>
            <w:tcW w:w="326" w:type="dxa"/>
            <w:tcBorders/>
            <w:vAlign w:val="center"/>
          </w:tcPr>
          <w:p>
            <w:pPr>
              <w:pStyle w:val="TableContents"/>
              <w:bidi w:val="0"/>
              <w:spacing w:before="0" w:after="1"/>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176,433</w:t>
            </w:r>
          </w:p>
        </w:tc>
      </w:tr>
      <w:tr>
        <w:trPr/>
        <w:tc>
          <w:tcPr>
            <w:tcW w:w="21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left"/>
              <w:rPr/>
            </w:pPr>
            <w:r>
              <w:rPr/>
              <w:t>​</w:t>
            </w:r>
          </w:p>
        </w:tc>
      </w:tr>
      <w:tr>
        <w:trPr/>
        <w:tc>
          <w:tcPr>
            <w:tcW w:w="21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March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108,166</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161,397</w:t>
            </w:r>
          </w:p>
        </w:tc>
      </w:tr>
      <w:tr>
        <w:trPr/>
        <w:tc>
          <w:tcPr>
            <w:tcW w:w="21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5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4,072</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9" w:type="dxa"/>
            <w:tcBorders/>
            <w:vAlign w:val="center"/>
          </w:tcPr>
          <w:p>
            <w:pPr>
              <w:pStyle w:val="TableContents"/>
              <w:bidi w:val="0"/>
              <w:spacing w:before="0" w:after="1"/>
              <w:ind w:left="0" w:right="0" w:hanging="0"/>
              <w:jc w:val="left"/>
              <w:rPr/>
            </w:pPr>
            <w:r>
              <w:rPr/>
              <w:t> </w:t>
            </w:r>
          </w:p>
        </w:tc>
        <w:tc>
          <w:tcPr>
            <w:tcW w:w="101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4,072</w:t>
            </w:r>
          </w:p>
        </w:tc>
      </w:tr>
      <w:tr>
        <w:trPr/>
        <w:tc>
          <w:tcPr>
            <w:tcW w:w="21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w:t>
            </w:r>
          </w:p>
        </w:tc>
      </w:tr>
      <w:tr>
        <w:trPr/>
        <w:tc>
          <w:tcPr>
            <w:tcW w:w="21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($.25 per share)</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5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(3,078)</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9" w:type="dxa"/>
            <w:tcBorders/>
            <w:vAlign w:val="center"/>
          </w:tcPr>
          <w:p>
            <w:pPr>
              <w:pStyle w:val="TableContents"/>
              <w:bidi w:val="0"/>
              <w:spacing w:before="0" w:after="1"/>
              <w:ind w:left="0" w:right="0" w:hanging="0"/>
              <w:jc w:val="left"/>
              <w:rPr/>
            </w:pPr>
            <w:r>
              <w:rPr/>
              <w:t> </w:t>
            </w:r>
          </w:p>
        </w:tc>
        <w:tc>
          <w:tcPr>
            <w:tcW w:w="101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(3,078)</w:t>
            </w:r>
          </w:p>
        </w:tc>
      </w:tr>
      <w:tr>
        <w:trPr/>
        <w:tc>
          <w:tcPr>
            <w:tcW w:w="21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w:t>
            </w:r>
          </w:p>
        </w:tc>
      </w:tr>
      <w:tr>
        <w:trPr/>
        <w:tc>
          <w:tcPr>
            <w:tcW w:w="216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2023</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53,275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109,160</w:t>
            </w:r>
          </w:p>
        </w:tc>
        <w:tc>
          <w:tcPr>
            <w:tcW w:w="326" w:type="dxa"/>
            <w:tcBorders/>
            <w:vAlign w:val="center"/>
          </w:tcPr>
          <w:p>
            <w:pPr>
              <w:pStyle w:val="TableContents"/>
              <w:bidi w:val="0"/>
              <w:spacing w:before="0" w:after="1"/>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1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162,439</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24" w:name="Tc_T5cyBr_DpEaDaBoe7CWqpw_20_18"/>
      <w:bookmarkStart w:id="425" w:name="Tc_a9SD9rr5hEO4an0uhjaWJA_20_15"/>
      <w:bookmarkStart w:id="426" w:name="Tc_LRf0K_UbIUG2wBy2MlQtug_20_14"/>
      <w:bookmarkStart w:id="427" w:name="Tc_GL0mvZ971ka2BP6xp7oOSQ_20_11"/>
      <w:bookmarkStart w:id="428" w:name="Tc_SBR76zSw00eQVaCDIdwx-g_20_8"/>
      <w:bookmarkStart w:id="429" w:name="Tc_jAkBduXzZEmdYM7v1YqbsA_20_5"/>
      <w:bookmarkStart w:id="430" w:name="Tc_lCZc2jvff0yTKd4CVZN7sw_20_2"/>
      <w:bookmarkStart w:id="431" w:name="Tc_z3Pm45fKkU6vS4EHZ1Gq4w_20_0"/>
      <w:bookmarkStart w:id="432" w:name="Tc_Xi7Pe6oB9kq5EuovQVliMQ_19_15"/>
      <w:bookmarkStart w:id="433" w:name="Tc_l4mC8wL6s0aYC5XcSbOzLQ_19_9"/>
      <w:bookmarkStart w:id="434" w:name="Tc_t6gX1e6qeUKPNTufFjyoKQ_19_6"/>
      <w:bookmarkStart w:id="435" w:name="Tc_PrbCgcQtmUC4iB6K4MrjvQ_19_3"/>
      <w:bookmarkStart w:id="436" w:name="Tc_gpDtdyd1NU6UYMZQtuICzQ_19_0"/>
      <w:bookmarkStart w:id="437" w:name="Tc_j3bVUNCoS0qi4Ay51lWQCw_18_15"/>
      <w:bookmarkStart w:id="438" w:name="Tc_4APnMxlsbESsdNzESgqyBg_18_12"/>
      <w:bookmarkStart w:id="439" w:name="Tc_I1g8WPeQBUOPm7pWS726FA_18_6"/>
      <w:bookmarkStart w:id="440" w:name="Tc_s1TNPzDA90GpaOwF8LOIkg_18_3"/>
      <w:bookmarkStart w:id="441" w:name="Tc_lxr8mSPa3UKvpCEJjwBNaw_18_0"/>
      <w:bookmarkStart w:id="442" w:name="Tc_RYie6ERV30-46V1aOi5iTg_17_15"/>
      <w:bookmarkStart w:id="443" w:name="Tc_iYV_24fiFEST-_BR9hredw_17_12"/>
      <w:bookmarkStart w:id="444" w:name="Tc_HMO2mKm3pUycJ2El91QtKQ_17_9"/>
      <w:bookmarkStart w:id="445" w:name="Tc_zepCGnmiQEOXUjP4jSklbQ_17_3"/>
      <w:bookmarkStart w:id="446" w:name="Tc_r_5o95YWp0O4cCCipBGvpg_17_0"/>
      <w:bookmarkStart w:id="447" w:name="Tc_w9tLmExpOU2X1kWGEt0u4A_16_15"/>
      <w:bookmarkStart w:id="448" w:name="Tc_qZgmSdS41UKzCg4kx2g9sA_16_12"/>
      <w:bookmarkStart w:id="449" w:name="Tc_7PAZxU7Z6kWlSi6JY7M6xQ_16_6"/>
      <w:bookmarkStart w:id="450" w:name="Tc_kdaZ6Vf_1UqZUluDNrq-7Q_16_3"/>
      <w:bookmarkStart w:id="451" w:name="Tc_13iza-nq2ECqfuRqpoQ-3Q_16_0"/>
      <w:bookmarkStart w:id="452" w:name="Tc_FYt3e3g6_0GOT9IBDdFXYg_15_18"/>
      <w:bookmarkStart w:id="453" w:name="Tc_-5G_YwgIQ0iumEMKNNzEMw_15_15"/>
      <w:bookmarkStart w:id="454" w:name="Tc_vi633VThzkyQjxcYpxHHAw_15_14"/>
      <w:bookmarkStart w:id="455" w:name="Tc_iZmFkXzh30m1Kp_ec8b13w_15_11"/>
      <w:bookmarkStart w:id="456" w:name="Tc_f9rzvSNaZEmDJUx4JT-5oA_15_8"/>
      <w:bookmarkStart w:id="457" w:name="Tc_PekxnizhykC1T9PDwbFZLQ_15_5"/>
      <w:bookmarkStart w:id="458" w:name="Tc_fe_MQy372UyoqJqEbyVwDg_15_2"/>
      <w:bookmarkStart w:id="459" w:name="Tc_ecOiV4qHl0qAZqD7U-2owA_15_0"/>
      <w:bookmarkStart w:id="460" w:name="Tc_nFI-_-R-CkiZuGnNCJmkdg_13_18"/>
      <w:bookmarkStart w:id="461" w:name="Tc_canbIfABwkebg2nerN1z9w_13_15"/>
      <w:bookmarkStart w:id="462" w:name="Tc_zwSP4IZGXEKsL4UtQYH8wA_13_14"/>
      <w:bookmarkStart w:id="463" w:name="Tc_58vU1kEvzEeOKve-z6Nwag_13_12"/>
      <w:bookmarkStart w:id="464" w:name="Tc_g6idKTOMxESMHJxuo9U3Rw_13_11"/>
      <w:bookmarkStart w:id="465" w:name="Tc_LiKd_4t_ckuWJkUdnYCd8g_13_8"/>
      <w:bookmarkStart w:id="466" w:name="Tc_x4xA6TRHoEmL4nBMBOkIOA_13_5"/>
      <w:bookmarkStart w:id="467" w:name="Tc_-k6Pz4W8IEiC0v_jum87WA_13_2"/>
      <w:bookmarkStart w:id="468" w:name="Tc_wURhfc9wekS7kG6W7NYn2w_13_0"/>
      <w:bookmarkStart w:id="469" w:name="Tc_FFB99pDyD0edraRwnvhNsQ_12_15"/>
      <w:bookmarkStart w:id="470" w:name="Tc_15hP43hT7kqtSrISi3kCnQ_12_12"/>
      <w:bookmarkStart w:id="471" w:name="Tc_RGdiuuEm1kCDeobDbaRM-g_12_6"/>
      <w:bookmarkStart w:id="472" w:name="Tc_hXM_fhFqCU2KBhIJF8SiEw_12_3"/>
      <w:bookmarkStart w:id="473" w:name="Tc_qt5qgvm-_Uq4NIuMsTXQqw_12_0"/>
      <w:bookmarkStart w:id="474" w:name="Tc_s2UoME5OJkqwwJ-0fyeI2w_11_19"/>
      <w:bookmarkStart w:id="475" w:name="Tc_4wloyQ294ki7VYwoBnnVyQ_11_12"/>
      <w:bookmarkStart w:id="476" w:name="Tc_whuVeSZli0Wcs3x7ctV3Zg_11_9"/>
      <w:bookmarkStart w:id="477" w:name="Tc_OEVsF5Ab802S5t7zLiryyg_11_0"/>
      <w:bookmarkStart w:id="478" w:name="Tc_6WLlriAsLE6rHjMauEKlmQ_10_12"/>
      <w:bookmarkStart w:id="479" w:name="Tc_T7H7QosQN0a4Jr6Apqqxkg_10_9"/>
      <w:bookmarkStart w:id="480" w:name="Tc_3KuMkeoLZ0yU31FBSSjQTQ_10_6"/>
      <w:bookmarkStart w:id="481" w:name="Tc_8sQV6eoEA0C9ZPxc3hcWWA_10_3"/>
      <w:bookmarkStart w:id="482" w:name="Tc_Jnga4pk3YE2TLU9kD4Os-A_10_0"/>
      <w:bookmarkStart w:id="483" w:name="Tc_KYKa-cxyHUKHK3cJzSRCZg_9_0"/>
      <w:bookmarkStart w:id="484" w:name="Tc_Y3Ma3VPrYkmzCN1WBLdmyQ_8_15"/>
      <w:bookmarkStart w:id="485" w:name="Tc_0xMTT9PfwUKVdjwRL55F6w_8_12"/>
      <w:bookmarkStart w:id="486" w:name="Tc_p1hRVkkbgUKMmEZ4SvKNNg_8_9"/>
      <w:bookmarkStart w:id="487" w:name="Tc_a3_Fx8xhR0af1SA4qiqtdQ_8_3"/>
      <w:bookmarkStart w:id="488" w:name="Tc_fqkgsno4hkujS_OkqO3WIg_8_0"/>
      <w:bookmarkStart w:id="489" w:name="Tc_0hWUiiuo_E63uIOJ1OZFDw_7_15"/>
      <w:bookmarkStart w:id="490" w:name="Tc_23wMA3YGHUSN9cjywxzouA_7_12"/>
      <w:bookmarkStart w:id="491" w:name="Tc_pVTf48N8k0iLTcX8Sa1Ehw_7_6"/>
      <w:bookmarkStart w:id="492" w:name="Tc_tczIAom-r0emk7vDvDEwng_7_3"/>
      <w:bookmarkStart w:id="493" w:name="Tc_UYWZFfpQqEue2LZSzqGqfQ_7_0"/>
      <w:bookmarkStart w:id="494" w:name="Tc_fQRAuyCRhEa9d40K54p-Ww_6_18"/>
      <w:bookmarkStart w:id="495" w:name="Tc_X7Sv_H20BEin6xzJjF2stw_6_15"/>
      <w:bookmarkStart w:id="496" w:name="Tc_x4fdK7fIi0-S1PY8-LmApQ_6_14"/>
      <w:bookmarkStart w:id="497" w:name="Tc_Q8V92TaNe0eTimh2Ra2NNQ_6_12"/>
      <w:bookmarkStart w:id="498" w:name="Tc_Mqf5S1StEEWXphWUprk67A_6_11"/>
      <w:bookmarkStart w:id="499" w:name="Tc_OeggrA3MLE6d-0Dl2ogCtA_6_8"/>
      <w:bookmarkStart w:id="500" w:name="Tc_OZRw3XB61k6sFFIK7HOzJw_6_5"/>
      <w:bookmarkStart w:id="501" w:name="Tc_0ZOCTW86Iku-JPM0U4XJYw_6_2"/>
      <w:bookmarkStart w:id="502" w:name="Tc_wVZEsv-c006_y8Ss0jmjkQ_6_0"/>
      <w:bookmarkStart w:id="503" w:name="Tc_EpLQ2xBZIUSO-iucHmVXGg_5_18"/>
      <w:bookmarkStart w:id="504" w:name="Tc_NiZ418tSp0iJTPF4QyNZCQ_5_14"/>
      <w:bookmarkStart w:id="505" w:name="Tc_XksO6JghGk2FauruUsunqg_5_11"/>
      <w:bookmarkStart w:id="506" w:name="Tc_X1iWANE1pEKAeosQeIxPmg_5_8"/>
      <w:bookmarkStart w:id="507" w:name="Tc_ZzVj2qPlEECrjxjhYs5TUw_5_5"/>
      <w:bookmarkStart w:id="508" w:name="Tc_OtRTt2K4wUqjv_ZRVUAoJg_5_2"/>
      <w:bookmarkStart w:id="509" w:name="Tc_OT3qTiIw5EWvDUM5xjUUew_4_18"/>
      <w:bookmarkStart w:id="510" w:name="Tc_PF_3Bw_dKEW7Bf1csSvueA_4_14"/>
      <w:bookmarkStart w:id="511" w:name="Tc_BeEfhDjWz0intJ7H0Tv5fw_4_11"/>
      <w:bookmarkStart w:id="512" w:name="Tc_d6IKaLuU7EObeyC29Q-OcA_4_8"/>
      <w:bookmarkStart w:id="513" w:name="Tc_mHszQW0qiEO9VqJuHkTrsQ_4_5"/>
      <w:bookmarkStart w:id="514" w:name="Tc_txIpsYTiUkeryVvt3m6c7Q_4_2"/>
      <w:bookmarkStart w:id="515" w:name="Tc_DSDfaD9lnU6M0i7x1b4xjA_3_18"/>
      <w:bookmarkStart w:id="516" w:name="Tc_5YJsJ2wJs0eEdFP8f8XAQA_3_11"/>
      <w:bookmarkStart w:id="517" w:name="Tc_dJTmP0EmpUWShavZCS02pQ_3_5"/>
      <w:bookmarkStart w:id="518" w:name="Tc_7yO_8MRs_kuv5qzfuEHUvw_3_2"/>
      <w:bookmarkStart w:id="519" w:name="Tc_DbqXQN_EekSy__5VHy0xeg_2_11"/>
      <w:bookmarkStart w:id="520" w:name="Tc_hHsTDk-NIU6WHPKbjFdJ7w_1_2"/>
      <w:bookmarkStart w:id="521" w:name="_854f1e9f_172d_4cf1_9480_ec290d287929"/>
      <w:bookmarkStart w:id="522" w:name="Tc_T5cyBr_DpEaDaBoe7CWqpw_20_18"/>
      <w:bookmarkStart w:id="523" w:name="Tc_a9SD9rr5hEO4an0uhjaWJA_20_15"/>
      <w:bookmarkStart w:id="524" w:name="Tc_LRf0K_UbIUG2wBy2MlQtug_20_14"/>
      <w:bookmarkStart w:id="525" w:name="Tc_GL0mvZ971ka2BP6xp7oOSQ_20_11"/>
      <w:bookmarkStart w:id="526" w:name="Tc_SBR76zSw00eQVaCDIdwx-g_20_8"/>
      <w:bookmarkStart w:id="527" w:name="Tc_jAkBduXzZEmdYM7v1YqbsA_20_5"/>
      <w:bookmarkStart w:id="528" w:name="Tc_lCZc2jvff0yTKd4CVZN7sw_20_2"/>
      <w:bookmarkStart w:id="529" w:name="Tc_z3Pm45fKkU6vS4EHZ1Gq4w_20_0"/>
      <w:bookmarkStart w:id="530" w:name="Tc_Xi7Pe6oB9kq5EuovQVliMQ_19_15"/>
      <w:bookmarkStart w:id="531" w:name="Tc_l4mC8wL6s0aYC5XcSbOzLQ_19_9"/>
      <w:bookmarkStart w:id="532" w:name="Tc_t6gX1e6qeUKPNTufFjyoKQ_19_6"/>
      <w:bookmarkStart w:id="533" w:name="Tc_PrbCgcQtmUC4iB6K4MrjvQ_19_3"/>
      <w:bookmarkStart w:id="534" w:name="Tc_gpDtdyd1NU6UYMZQtuICzQ_19_0"/>
      <w:bookmarkStart w:id="535" w:name="Tc_j3bVUNCoS0qi4Ay51lWQCw_18_15"/>
      <w:bookmarkStart w:id="536" w:name="Tc_4APnMxlsbESsdNzESgqyBg_18_12"/>
      <w:bookmarkStart w:id="537" w:name="Tc_I1g8WPeQBUOPm7pWS726FA_18_6"/>
      <w:bookmarkStart w:id="538" w:name="Tc_s1TNPzDA90GpaOwF8LOIkg_18_3"/>
      <w:bookmarkStart w:id="539" w:name="Tc_lxr8mSPa3UKvpCEJjwBNaw_18_0"/>
      <w:bookmarkStart w:id="540" w:name="Tc_RYie6ERV30-46V1aOi5iTg_17_15"/>
      <w:bookmarkStart w:id="541" w:name="Tc_iYV_24fiFEST-_BR9hredw_17_12"/>
      <w:bookmarkStart w:id="542" w:name="Tc_HMO2mKm3pUycJ2El91QtKQ_17_9"/>
      <w:bookmarkStart w:id="543" w:name="Tc_zepCGnmiQEOXUjP4jSklbQ_17_3"/>
      <w:bookmarkStart w:id="544" w:name="Tc_r_5o95YWp0O4cCCipBGvpg_17_0"/>
      <w:bookmarkStart w:id="545" w:name="Tc_w9tLmExpOU2X1kWGEt0u4A_16_15"/>
      <w:bookmarkStart w:id="546" w:name="Tc_qZgmSdS41UKzCg4kx2g9sA_16_12"/>
      <w:bookmarkStart w:id="547" w:name="Tc_7PAZxU7Z6kWlSi6JY7M6xQ_16_6"/>
      <w:bookmarkStart w:id="548" w:name="Tc_kdaZ6Vf_1UqZUluDNrq-7Q_16_3"/>
      <w:bookmarkStart w:id="549" w:name="Tc_13iza-nq2ECqfuRqpoQ-3Q_16_0"/>
      <w:bookmarkStart w:id="550" w:name="Tc_FYt3e3g6_0GOT9IBDdFXYg_15_18"/>
      <w:bookmarkStart w:id="551" w:name="Tc_-5G_YwgIQ0iumEMKNNzEMw_15_15"/>
      <w:bookmarkStart w:id="552" w:name="Tc_vi633VThzkyQjxcYpxHHAw_15_14"/>
      <w:bookmarkStart w:id="553" w:name="Tc_iZmFkXzh30m1Kp_ec8b13w_15_11"/>
      <w:bookmarkStart w:id="554" w:name="Tc_f9rzvSNaZEmDJUx4JT-5oA_15_8"/>
      <w:bookmarkStart w:id="555" w:name="Tc_PekxnizhykC1T9PDwbFZLQ_15_5"/>
      <w:bookmarkStart w:id="556" w:name="Tc_fe_MQy372UyoqJqEbyVwDg_15_2"/>
      <w:bookmarkStart w:id="557" w:name="Tc_ecOiV4qHl0qAZqD7U-2owA_15_0"/>
      <w:bookmarkStart w:id="558" w:name="Tc_nFI-_-R-CkiZuGnNCJmkdg_13_18"/>
      <w:bookmarkStart w:id="559" w:name="Tc_canbIfABwkebg2nerN1z9w_13_15"/>
      <w:bookmarkStart w:id="560" w:name="Tc_zwSP4IZGXEKsL4UtQYH8wA_13_14"/>
      <w:bookmarkStart w:id="561" w:name="Tc_58vU1kEvzEeOKve-z6Nwag_13_12"/>
      <w:bookmarkStart w:id="562" w:name="Tc_g6idKTOMxESMHJxuo9U3Rw_13_11"/>
      <w:bookmarkStart w:id="563" w:name="Tc_LiKd_4t_ckuWJkUdnYCd8g_13_8"/>
      <w:bookmarkStart w:id="564" w:name="Tc_x4xA6TRHoEmL4nBMBOkIOA_13_5"/>
      <w:bookmarkStart w:id="565" w:name="Tc_-k6Pz4W8IEiC0v_jum87WA_13_2"/>
      <w:bookmarkStart w:id="566" w:name="Tc_wURhfc9wekS7kG6W7NYn2w_13_0"/>
      <w:bookmarkStart w:id="567" w:name="Tc_FFB99pDyD0edraRwnvhNsQ_12_15"/>
      <w:bookmarkStart w:id="568" w:name="Tc_15hP43hT7kqtSrISi3kCnQ_12_12"/>
      <w:bookmarkStart w:id="569" w:name="Tc_RGdiuuEm1kCDeobDbaRM-g_12_6"/>
      <w:bookmarkStart w:id="570" w:name="Tc_hXM_fhFqCU2KBhIJF8SiEw_12_3"/>
      <w:bookmarkStart w:id="571" w:name="Tc_qt5qgvm-_Uq4NIuMsTXQqw_12_0"/>
      <w:bookmarkStart w:id="572" w:name="Tc_s2UoME5OJkqwwJ-0fyeI2w_11_19"/>
      <w:bookmarkStart w:id="573" w:name="Tc_4wloyQ294ki7VYwoBnnVyQ_11_12"/>
      <w:bookmarkStart w:id="574" w:name="Tc_whuVeSZli0Wcs3x7ctV3Zg_11_9"/>
      <w:bookmarkStart w:id="575" w:name="Tc_OEVsF5Ab802S5t7zLiryyg_11_0"/>
      <w:bookmarkStart w:id="576" w:name="Tc_6WLlriAsLE6rHjMauEKlmQ_10_12"/>
      <w:bookmarkStart w:id="577" w:name="Tc_T7H7QosQN0a4Jr6Apqqxkg_10_9"/>
      <w:bookmarkStart w:id="578" w:name="Tc_3KuMkeoLZ0yU31FBSSjQTQ_10_6"/>
      <w:bookmarkStart w:id="579" w:name="Tc_8sQV6eoEA0C9ZPxc3hcWWA_10_3"/>
      <w:bookmarkStart w:id="580" w:name="Tc_Jnga4pk3YE2TLU9kD4Os-A_10_0"/>
      <w:bookmarkStart w:id="581" w:name="Tc_KYKa-cxyHUKHK3cJzSRCZg_9_0"/>
      <w:bookmarkStart w:id="582" w:name="Tc_Y3Ma3VPrYkmzCN1WBLdmyQ_8_15"/>
      <w:bookmarkStart w:id="583" w:name="Tc_0xMTT9PfwUKVdjwRL55F6w_8_12"/>
      <w:bookmarkStart w:id="584" w:name="Tc_p1hRVkkbgUKMmEZ4SvKNNg_8_9"/>
      <w:bookmarkStart w:id="585" w:name="Tc_a3_Fx8xhR0af1SA4qiqtdQ_8_3"/>
      <w:bookmarkStart w:id="586" w:name="Tc_fqkgsno4hkujS_OkqO3WIg_8_0"/>
      <w:bookmarkStart w:id="587" w:name="Tc_0hWUiiuo_E63uIOJ1OZFDw_7_15"/>
      <w:bookmarkStart w:id="588" w:name="Tc_23wMA3YGHUSN9cjywxzouA_7_12"/>
      <w:bookmarkStart w:id="589" w:name="Tc_pVTf48N8k0iLTcX8Sa1Ehw_7_6"/>
      <w:bookmarkStart w:id="590" w:name="Tc_tczIAom-r0emk7vDvDEwng_7_3"/>
      <w:bookmarkStart w:id="591" w:name="Tc_UYWZFfpQqEue2LZSzqGqfQ_7_0"/>
      <w:bookmarkStart w:id="592" w:name="Tc_fQRAuyCRhEa9d40K54p-Ww_6_18"/>
      <w:bookmarkStart w:id="593" w:name="Tc_X7Sv_H20BEin6xzJjF2stw_6_15"/>
      <w:bookmarkStart w:id="594" w:name="Tc_x4fdK7fIi0-S1PY8-LmApQ_6_14"/>
      <w:bookmarkStart w:id="595" w:name="Tc_Q8V92TaNe0eTimh2Ra2NNQ_6_12"/>
      <w:bookmarkStart w:id="596" w:name="Tc_Mqf5S1StEEWXphWUprk67A_6_11"/>
      <w:bookmarkStart w:id="597" w:name="Tc_OeggrA3MLE6d-0Dl2ogCtA_6_8"/>
      <w:bookmarkStart w:id="598" w:name="Tc_OZRw3XB61k6sFFIK7HOzJw_6_5"/>
      <w:bookmarkStart w:id="599" w:name="Tc_0ZOCTW86Iku-JPM0U4XJYw_6_2"/>
      <w:bookmarkStart w:id="600" w:name="Tc_wVZEsv-c006_y8Ss0jmjkQ_6_0"/>
      <w:bookmarkStart w:id="601" w:name="Tc_EpLQ2xBZIUSO-iucHmVXGg_5_18"/>
      <w:bookmarkStart w:id="602" w:name="Tc_NiZ418tSp0iJTPF4QyNZCQ_5_14"/>
      <w:bookmarkStart w:id="603" w:name="Tc_XksO6JghGk2FauruUsunqg_5_11"/>
      <w:bookmarkStart w:id="604" w:name="Tc_X1iWANE1pEKAeosQeIxPmg_5_8"/>
      <w:bookmarkStart w:id="605" w:name="Tc_ZzVj2qPlEECrjxjhYs5TUw_5_5"/>
      <w:bookmarkStart w:id="606" w:name="Tc_OtRTt2K4wUqjv_ZRVUAoJg_5_2"/>
      <w:bookmarkStart w:id="607" w:name="Tc_OT3qTiIw5EWvDUM5xjUUew_4_18"/>
      <w:bookmarkStart w:id="608" w:name="Tc_PF_3Bw_dKEW7Bf1csSvueA_4_14"/>
      <w:bookmarkStart w:id="609" w:name="Tc_BeEfhDjWz0intJ7H0Tv5fw_4_11"/>
      <w:bookmarkStart w:id="610" w:name="Tc_d6IKaLuU7EObeyC29Q-OcA_4_8"/>
      <w:bookmarkStart w:id="611" w:name="Tc_mHszQW0qiEO9VqJuHkTrsQ_4_5"/>
      <w:bookmarkStart w:id="612" w:name="Tc_txIpsYTiUkeryVvt3m6c7Q_4_2"/>
      <w:bookmarkStart w:id="613" w:name="Tc_DSDfaD9lnU6M0i7x1b4xjA_3_18"/>
      <w:bookmarkStart w:id="614" w:name="Tc_5YJsJ2wJs0eEdFP8f8XAQA_3_11"/>
      <w:bookmarkStart w:id="615" w:name="Tc_dJTmP0EmpUWShavZCS02pQ_3_5"/>
      <w:bookmarkStart w:id="616" w:name="Tc_7yO_8MRs_kuv5qzfuEHUvw_3_2"/>
      <w:bookmarkStart w:id="617" w:name="Tc_DbqXQN_EekSy__5VHy0xeg_2_11"/>
      <w:bookmarkStart w:id="618" w:name="Tc_hHsTDk-NIU6WHPKbjFdJ7w_1_2"/>
      <w:bookmarkStart w:id="619" w:name="_854f1e9f_172d_4cf1_9480_ec290d287929"/>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tbl>
      <w:tblPr>
        <w:tblW w:w="10205" w:type="dxa"/>
        <w:jc w:val="left"/>
        <w:tblInd w:w="0" w:type="dxa"/>
        <w:tblLayout w:type="fixed"/>
        <w:tblCellMar>
          <w:top w:w="0" w:type="dxa"/>
          <w:left w:w="0" w:type="dxa"/>
          <w:bottom w:w="0" w:type="dxa"/>
          <w:right w:w="0" w:type="dxa"/>
        </w:tblCellMar>
      </w:tblPr>
      <w:tblGrid>
        <w:gridCol w:w="2170"/>
        <w:gridCol w:w="326"/>
        <w:gridCol w:w="280"/>
        <w:gridCol w:w="561"/>
        <w:gridCol w:w="326"/>
        <w:gridCol w:w="239"/>
        <w:gridCol w:w="767"/>
        <w:gridCol w:w="326"/>
        <w:gridCol w:w="211"/>
        <w:gridCol w:w="781"/>
        <w:gridCol w:w="326"/>
        <w:gridCol w:w="420"/>
        <w:gridCol w:w="961"/>
        <w:gridCol w:w="109"/>
        <w:gridCol w:w="211"/>
        <w:gridCol w:w="690"/>
        <w:gridCol w:w="146"/>
        <w:gridCol w:w="109"/>
        <w:gridCol w:w="238"/>
        <w:gridCol w:w="1008"/>
      </w:tblGrid>
      <w:tr>
        <w:trPr/>
        <w:tc>
          <w:tcPr>
            <w:tcW w:w="2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77950" cy="175260"/>
                      <wp:effectExtent l="0" t="0" r="0" b="0"/>
                      <wp:wrapNone/>
                      <wp:docPr id="42" name="Frame42"/>
                      <a:graphic xmlns:a="http://schemas.openxmlformats.org/drawingml/2006/main">
                        <a:graphicData uri="http://schemas.microsoft.com/office/word/2010/wordprocessingShape">
                          <wps:wsp>
                            <wps:cNvSpPr txBox="1"/>
                            <wps:spPr>
                              <a:xfrm>
                                <a:off x="0" y="0"/>
                                <a:ext cx="1377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77800" cy="175260"/>
                      <wp:effectExtent l="0" t="0" r="0" b="0"/>
                      <wp:wrapNone/>
                      <wp:docPr id="44" name="Frame44"/>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56235" cy="175260"/>
                      <wp:effectExtent l="0" t="0" r="0" b="0"/>
                      <wp:wrapNone/>
                      <wp:docPr id="45" name="Frame45"/>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51765" cy="175260"/>
                      <wp:effectExtent l="0" t="0" r="0" b="0"/>
                      <wp:wrapNone/>
                      <wp:docPr id="47" name="Frame4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87045" cy="175260"/>
                      <wp:effectExtent l="0" t="0" r="0" b="0"/>
                      <wp:wrapNone/>
                      <wp:docPr id="48" name="Frame48"/>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95935" cy="175260"/>
                      <wp:effectExtent l="0" t="0" r="0" b="0"/>
                      <wp:wrapNone/>
                      <wp:docPr id="51" name="Frame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66700" cy="175260"/>
                      <wp:effectExtent l="0" t="0" r="0" b="0"/>
                      <wp:wrapNone/>
                      <wp:docPr id="53" name="Frame53"/>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10235" cy="175260"/>
                      <wp:effectExtent l="0" t="0" r="0" b="0"/>
                      <wp:wrapNone/>
                      <wp:docPr id="54" name="Frame5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38150" cy="175260"/>
                      <wp:effectExtent l="0" t="0" r="0" b="0"/>
                      <wp:wrapNone/>
                      <wp:docPr id="57" name="Frame5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92710" cy="175260"/>
                      <wp:effectExtent l="0" t="0" r="0" b="0"/>
                      <wp:wrapNone/>
                      <wp:docPr id="58" name="Frame5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51130" cy="175260"/>
                      <wp:effectExtent l="0" t="0" r="0" b="0"/>
                      <wp:wrapNone/>
                      <wp:docPr id="60" name="Frame60"/>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0080" cy="175260"/>
                      <wp:effectExtent l="0" t="0" r="0" b="0"/>
                      <wp:wrapNone/>
                      <wp:docPr id="61" name="Frame61"/>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709" w:type="dxa"/>
            <w:gridSpan w:val="1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2022 and 2023 (unaudited)</w: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center"/>
              <w:rPr/>
            </w:pPr>
            <w:r>
              <w:rPr/>
              <w:t>​</w:t>
            </w:r>
          </w:p>
        </w:tc>
        <w:tc>
          <w:tcPr>
            <w:tcW w:w="5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9" w:type="dxa"/>
            <w:tcBorders/>
            <w:vAlign w:val="center"/>
          </w:tcPr>
          <w:p>
            <w:pPr>
              <w:pStyle w:val="TableContents"/>
              <w:bidi w:val="0"/>
              <w:spacing w:before="0" w:after="1"/>
              <w:ind w:left="0" w:right="0" w:hanging="0"/>
              <w:jc w:val="center"/>
              <w:rPr/>
            </w:pPr>
            <w:r>
              <w:rPr/>
              <w:t>​</w:t>
            </w:r>
          </w:p>
        </w:tc>
        <w:tc>
          <w:tcPr>
            <w:tcW w:w="7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Accumulated</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38" w:type="dxa"/>
            <w:tcBorders/>
            <w:vAlign w:val="center"/>
          </w:tcPr>
          <w:p>
            <w:pPr>
              <w:pStyle w:val="TableContents"/>
              <w:bidi w:val="0"/>
              <w:spacing w:before="0" w:after="1"/>
              <w:ind w:left="0" w:right="0" w:hanging="0"/>
              <w:jc w:val="center"/>
              <w:rPr/>
            </w:pPr>
            <w:r>
              <w:rPr/>
              <w:t>​</w:t>
            </w:r>
          </w:p>
        </w:tc>
        <w:tc>
          <w:tcPr>
            <w:tcW w:w="1008" w:type="dxa"/>
            <w:tcBorders/>
            <w:vAlign w:val="center"/>
          </w:tcPr>
          <w:p>
            <w:pPr>
              <w:pStyle w:val="TableContents"/>
              <w:bidi w:val="0"/>
              <w:spacing w:before="0" w:after="1"/>
              <w:ind w:left="0" w:right="0" w:hanging="0"/>
              <w:jc w:val="center"/>
              <w:rPr/>
            </w:pPr>
            <w:r>
              <w:rPr/>
              <w:t>​</w: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Class A</w:t>
            </w:r>
          </w:p>
        </w:tc>
        <w:tc>
          <w:tcPr>
            <w:tcW w:w="32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Additional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other</w:t>
            </w:r>
          </w:p>
        </w:tc>
        <w:tc>
          <w:tcPr>
            <w:tcW w:w="109"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common</w:t>
            </w:r>
          </w:p>
        </w:tc>
        <w:tc>
          <w:tcPr>
            <w:tcW w:w="32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paid-in</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Retained</w:t>
            </w:r>
          </w:p>
        </w:tc>
        <w:tc>
          <w:tcPr>
            <w:tcW w:w="32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comprehensive</w:t>
            </w:r>
          </w:p>
        </w:tc>
        <w:tc>
          <w:tcPr>
            <w:tcW w:w="109"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Treasury</w:t>
            </w:r>
          </w:p>
        </w:tc>
        <w:tc>
          <w:tcPr>
            <w:tcW w:w="146"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stockholders'</w: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stock</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capital</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earnings</w:t>
            </w:r>
          </w:p>
        </w:tc>
        <w:tc>
          <w:tcPr>
            <w:tcW w:w="326" w:type="dxa"/>
            <w:tcBorders/>
            <w:vAlign w:val="center"/>
          </w:tcPr>
          <w:p>
            <w:pPr>
              <w:pStyle w:val="TableContents"/>
              <w:bidi w:val="0"/>
              <w:spacing w:before="0" w:after="1"/>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loss</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stock</w:t>
            </w:r>
          </w:p>
        </w:tc>
        <w:tc>
          <w:tcPr>
            <w:tcW w:w="146" w:type="dxa"/>
            <w:tcBorders/>
            <w:vAlign w:val="center"/>
          </w:tcPr>
          <w:p>
            <w:pPr>
              <w:pStyle w:val="TableContents"/>
              <w:bidi w:val="0"/>
              <w:spacing w:before="0" w:after="1"/>
              <w:ind w:left="0" w:right="0" w:hanging="0"/>
              <w:jc w:val="center"/>
              <w:rPr/>
            </w:pPr>
            <w:r>
              <w:rPr/>
              <w:t> </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equity</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118,184</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173,088</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5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11,160</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left"/>
              <w:rPr/>
            </w:pPr>
            <w:r>
              <w:rPr/>
              <w:t> </w:t>
            </w:r>
          </w:p>
        </w:tc>
        <w:tc>
          <w:tcPr>
            <w:tcW w:w="10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11,160</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0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stock:</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left"/>
              <w:rPr/>
            </w:pPr>
            <w:r>
              <w:rPr/>
              <w:t>​</w:t>
            </w:r>
          </w:p>
        </w:tc>
        <w:tc>
          <w:tcPr>
            <w:tcW w:w="1008" w:type="dxa"/>
            <w:tcBorders/>
            <w:vAlign w:val="center"/>
          </w:tcPr>
          <w:p>
            <w:pPr>
              <w:pStyle w:val="TableContents"/>
              <w:bidi w:val="0"/>
              <w:spacing w:before="0" w:after="1"/>
              <w:ind w:left="0" w:right="0" w:hanging="0"/>
              <w:jc w:val="right"/>
              <w:rPr/>
            </w:pPr>
            <w:r>
              <w:rPr/>
              <w:t>​</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0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Retired</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left"/>
              <w:rPr/>
            </w:pPr>
            <w:r>
              <w:rPr/>
              <w:t>​</w:t>
            </w:r>
          </w:p>
        </w:tc>
        <w:tc>
          <w:tcPr>
            <w:tcW w:w="1008" w:type="dxa"/>
            <w:tcBorders/>
            <w:vAlign w:val="center"/>
          </w:tcPr>
          <w:p>
            <w:pPr>
              <w:pStyle w:val="TableContents"/>
              <w:bidi w:val="0"/>
              <w:spacing w:before="0" w:after="1"/>
              <w:ind w:left="0" w:right="0" w:hanging="0"/>
              <w:jc w:val="right"/>
              <w:rPr/>
            </w:pPr>
            <w:r>
              <w:rPr/>
              <w:t>—</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($.50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(6,189)</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(6,189)</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2022</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53,155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123,155</w:t>
            </w:r>
          </w:p>
        </w:tc>
        <w:tc>
          <w:tcPr>
            <w:tcW w:w="326" w:type="dxa"/>
            <w:tcBorders/>
            <w:vAlign w:val="center"/>
          </w:tcPr>
          <w:p>
            <w:pPr>
              <w:pStyle w:val="TableContents"/>
              <w:bidi w:val="0"/>
              <w:spacing w:before="0" w:after="1"/>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176,433</w:t>
            </w:r>
          </w:p>
        </w:tc>
      </w:tr>
      <w:tr>
        <w:trPr/>
        <w:tc>
          <w:tcPr>
            <w:tcW w:w="217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008" w:type="dxa"/>
            <w:tcBorders/>
            <w:shd w:fill="CCEEFF" w:val="clear"/>
            <w:vAlign w:val="center"/>
          </w:tcPr>
          <w:p>
            <w:pPr>
              <w:pStyle w:val="TableContents"/>
              <w:bidi w:val="0"/>
              <w:spacing w:before="0" w:after="1"/>
              <w:ind w:left="0" w:right="0" w:hanging="0"/>
              <w:jc w:val="right"/>
              <w:rPr/>
            </w:pPr>
            <w:r>
              <w:rPr/>
              <w:t>​</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105,175</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158,436</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5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10,140</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10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10,140</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left"/>
              <w:rPr/>
            </w:pPr>
            <w:r>
              <w:rPr/>
              <w:t>​</w:t>
            </w:r>
          </w:p>
        </w:tc>
        <w:tc>
          <w:tcPr>
            <w:tcW w:w="10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($.50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5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(6,155)</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10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(6,155)</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53,275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109,160</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162,439</w:t>
            </w:r>
          </w:p>
        </w:tc>
      </w:tr>
    </w:tbl>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620" w:name="_6709d3d2_4332_43ec_bb42_b8b6f78d9442"/>
      <w:bookmarkEnd w:id="620"/>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621" w:name="CONDENSEDCONSOLIDATEDSTATEMENTSOFCASHFLO"/>
      <w:bookmarkEnd w:id="621"/>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22" w:name="Tc_2TPqeuKL5UqocxYmhS10xw_40_5"/>
      <w:bookmarkStart w:id="623" w:name="Tc_RpRzirOrbUSUv2LSWwV3zg_40_2"/>
      <w:bookmarkStart w:id="624" w:name="Tc_1LvAHq3uj0a3l1hjlaNhnA_40_0"/>
      <w:bookmarkStart w:id="625" w:name="Tc_0-cT_LfyRkGNHX6L81LxoA_39_0"/>
      <w:bookmarkStart w:id="626" w:name="Tc_Q3-qtQVBMk-XUYYy4qjlDw_37_5"/>
      <w:bookmarkStart w:id="627" w:name="Tc_on0bWli5XkGTvd_Sy9IVKA_37_2"/>
      <w:bookmarkStart w:id="628" w:name="Tc_NfFkD274g0G4p3W8ovYRsg_37_0"/>
      <w:bookmarkStart w:id="629" w:name="Tc_yJLugdQXC0G8b-tMUn6Mmw_36_0"/>
      <w:bookmarkStart w:id="630" w:name="Tc_agrXhFiDgkCW75aUuOguBA_35_0"/>
      <w:bookmarkStart w:id="631" w:name="Tc_tMplwBl3V0eE_wKB5F_-Sg_34_0"/>
      <w:bookmarkStart w:id="632" w:name="Tc_dJkSJf3VUEaXaWdv-tkjHA_32_0"/>
      <w:bookmarkStart w:id="633" w:name="Tc_PPXTVrH6ikuNyYcfpPiBcg_31_6"/>
      <w:bookmarkStart w:id="634" w:name="Tc_rsmYdU2og0SsgwmtkkO3xg_31_0"/>
      <w:bookmarkStart w:id="635" w:name="Tc_ldtqXfNPZkSbhQBauvUPeg_30_0"/>
      <w:bookmarkStart w:id="636" w:name="Tc_TweauT-pTk-kVZtNVbeVWQ_29_0"/>
      <w:bookmarkStart w:id="637" w:name="Tc_CsmLGchankKUbDCBFjXPFw_27_0"/>
      <w:bookmarkStart w:id="638" w:name="Tc_47-R783-IU-QcxrsTA3oPA_26_0"/>
      <w:bookmarkStart w:id="639" w:name="Tc_2j_kMfOkNUqPgbAXAF9Tvw_25_0"/>
      <w:bookmarkStart w:id="640" w:name="Tc_ugSRyOZ910KdW8Asjolu7w_24_0"/>
      <w:bookmarkStart w:id="641" w:name="Tc_cE_KpIDF3E--M5waT-IPJg_23_3"/>
      <w:bookmarkStart w:id="642" w:name="Tc_cOTCORnog0uZ53ChwsGbjg_23_0"/>
      <w:bookmarkStart w:id="643" w:name="Tc_6dXwkjtCnkCe96LSPKoDEA_22_3"/>
      <w:bookmarkStart w:id="644" w:name="Tc_My4SXqdERki_sZQbsJQlhQ_22_0"/>
      <w:bookmarkStart w:id="645" w:name="Tc_65r7m9fDnk6dl7aj0t_m2w_21_0"/>
      <w:bookmarkStart w:id="646" w:name="Tc_TFUwyhv2lE6OHZ2MWCAn6w_20_0"/>
      <w:bookmarkStart w:id="647" w:name="Tc_ba2omthIoEi_u_Hqj48gvg_19_0"/>
      <w:bookmarkStart w:id="648" w:name="Tc_oRIdE_O3eUSXPBcdyOQOEw_17_0"/>
      <w:bookmarkStart w:id="649" w:name="Tc_2L_8PsjgxU69w3JnLdF9aw_16_0"/>
      <w:bookmarkStart w:id="650" w:name="Tc_JkPy17vEWku37QM1gLpBjg_15_0"/>
      <w:bookmarkStart w:id="651" w:name="Tc_-PVEeNN4DkS1zGRk2B6e6A_14_0"/>
      <w:bookmarkStart w:id="652" w:name="Tc_C62yDTl9lEK-Uh1RafExww_13_0"/>
      <w:bookmarkStart w:id="653" w:name="Tc_jg1nvqwkFk2aRVUIksoyqg_12_0"/>
      <w:bookmarkStart w:id="654" w:name="Tc_IaQV9H8vOUWcqamHd-9BlA_11_0"/>
      <w:bookmarkStart w:id="655" w:name="Tc_XRIrRWh6PU6nz63Hyd_eLQ_10_0"/>
      <w:bookmarkStart w:id="656" w:name="Tc_EKQ-4jLUoEuEjeQMLZSPaw_9_3"/>
      <w:bookmarkStart w:id="657" w:name="Tc_K-mFjsHMtU-8XjNgUXtpxg_9_0"/>
      <w:bookmarkStart w:id="658" w:name="Tc_km1tLtdAfkmmwueheqoTiA_8_0"/>
      <w:bookmarkStart w:id="659" w:name="Tc_AGW0y2nrrUSIIyIHpDzi0g_7_0"/>
      <w:bookmarkStart w:id="660" w:name="Tc_VANdjSx5bUWjp4sXvsFU2A_6_5"/>
      <w:bookmarkStart w:id="661" w:name="Tc_qglEdMF-3kugf8xAhY3E7g_6_2"/>
      <w:bookmarkStart w:id="662" w:name="Tc_nfdh1u1OW0m5vfHKX_54oA_6_0"/>
      <w:bookmarkStart w:id="663" w:name="Tc_w6eYfYI2_0OFQyAVw97qRA_5_0"/>
      <w:bookmarkStart w:id="664" w:name="Tc_ic4NeM8MM0ao8A-TMaRgjw_4_2"/>
      <w:bookmarkStart w:id="665" w:name="Tc_BN7363owcUS4IyOqTwYp6g_3_5"/>
      <w:bookmarkStart w:id="666" w:name="Tc_YFLPufqlFUynqPeWGuAuwg_3_2"/>
      <w:bookmarkStart w:id="667" w:name="Tc_lgX9A7yoWEGbXyX-3ad6zQ_2_2"/>
      <w:bookmarkStart w:id="668" w:name="Tc_7FBOoQzmqEaa9ftI3x11Yw_1_2"/>
      <w:bookmarkStart w:id="669" w:name="_71b36366_a6a4_4b45_8676_bf1089dfb3ad"/>
      <w:bookmarkStart w:id="670" w:name="Tc_2TPqeuKL5UqocxYmhS10xw_40_5"/>
      <w:bookmarkStart w:id="671" w:name="Tc_RpRzirOrbUSUv2LSWwV3zg_40_2"/>
      <w:bookmarkStart w:id="672" w:name="Tc_1LvAHq3uj0a3l1hjlaNhnA_40_0"/>
      <w:bookmarkStart w:id="673" w:name="Tc_0-cT_LfyRkGNHX6L81LxoA_39_0"/>
      <w:bookmarkStart w:id="674" w:name="Tc_Q3-qtQVBMk-XUYYy4qjlDw_37_5"/>
      <w:bookmarkStart w:id="675" w:name="Tc_on0bWli5XkGTvd_Sy9IVKA_37_2"/>
      <w:bookmarkStart w:id="676" w:name="Tc_NfFkD274g0G4p3W8ovYRsg_37_0"/>
      <w:bookmarkStart w:id="677" w:name="Tc_yJLugdQXC0G8b-tMUn6Mmw_36_0"/>
      <w:bookmarkStart w:id="678" w:name="Tc_agrXhFiDgkCW75aUuOguBA_35_0"/>
      <w:bookmarkStart w:id="679" w:name="Tc_tMplwBl3V0eE_wKB5F_-Sg_34_0"/>
      <w:bookmarkStart w:id="680" w:name="Tc_dJkSJf3VUEaXaWdv-tkjHA_32_0"/>
      <w:bookmarkStart w:id="681" w:name="Tc_PPXTVrH6ikuNyYcfpPiBcg_31_6"/>
      <w:bookmarkStart w:id="682" w:name="Tc_rsmYdU2og0SsgwmtkkO3xg_31_0"/>
      <w:bookmarkStart w:id="683" w:name="Tc_ldtqXfNPZkSbhQBauvUPeg_30_0"/>
      <w:bookmarkStart w:id="684" w:name="Tc_TweauT-pTk-kVZtNVbeVWQ_29_0"/>
      <w:bookmarkStart w:id="685" w:name="Tc_CsmLGchankKUbDCBFjXPFw_27_0"/>
      <w:bookmarkStart w:id="686" w:name="Tc_47-R783-IU-QcxrsTA3oPA_26_0"/>
      <w:bookmarkStart w:id="687" w:name="Tc_2j_kMfOkNUqPgbAXAF9Tvw_25_0"/>
      <w:bookmarkStart w:id="688" w:name="Tc_ugSRyOZ910KdW8Asjolu7w_24_0"/>
      <w:bookmarkStart w:id="689" w:name="Tc_cE_KpIDF3E--M5waT-IPJg_23_3"/>
      <w:bookmarkStart w:id="690" w:name="Tc_cOTCORnog0uZ53ChwsGbjg_23_0"/>
      <w:bookmarkStart w:id="691" w:name="Tc_6dXwkjtCnkCe96LSPKoDEA_22_3"/>
      <w:bookmarkStart w:id="692" w:name="Tc_My4SXqdERki_sZQbsJQlhQ_22_0"/>
      <w:bookmarkStart w:id="693" w:name="Tc_65r7m9fDnk6dl7aj0t_m2w_21_0"/>
      <w:bookmarkStart w:id="694" w:name="Tc_TFUwyhv2lE6OHZ2MWCAn6w_20_0"/>
      <w:bookmarkStart w:id="695" w:name="Tc_ba2omthIoEi_u_Hqj48gvg_19_0"/>
      <w:bookmarkStart w:id="696" w:name="Tc_oRIdE_O3eUSXPBcdyOQOEw_17_0"/>
      <w:bookmarkStart w:id="697" w:name="Tc_2L_8PsjgxU69w3JnLdF9aw_16_0"/>
      <w:bookmarkStart w:id="698" w:name="Tc_JkPy17vEWku37QM1gLpBjg_15_0"/>
      <w:bookmarkStart w:id="699" w:name="Tc_-PVEeNN4DkS1zGRk2B6e6A_14_0"/>
      <w:bookmarkStart w:id="700" w:name="Tc_C62yDTl9lEK-Uh1RafExww_13_0"/>
      <w:bookmarkStart w:id="701" w:name="Tc_jg1nvqwkFk2aRVUIksoyqg_12_0"/>
      <w:bookmarkStart w:id="702" w:name="Tc_IaQV9H8vOUWcqamHd-9BlA_11_0"/>
      <w:bookmarkStart w:id="703" w:name="Tc_XRIrRWh6PU6nz63Hyd_eLQ_10_0"/>
      <w:bookmarkStart w:id="704" w:name="Tc_EKQ-4jLUoEuEjeQMLZSPaw_9_3"/>
      <w:bookmarkStart w:id="705" w:name="Tc_K-mFjsHMtU-8XjNgUXtpxg_9_0"/>
      <w:bookmarkStart w:id="706" w:name="Tc_km1tLtdAfkmmwueheqoTiA_8_0"/>
      <w:bookmarkStart w:id="707" w:name="Tc_AGW0y2nrrUSIIyIHpDzi0g_7_0"/>
      <w:bookmarkStart w:id="708" w:name="Tc_VANdjSx5bUWjp4sXvsFU2A_6_5"/>
      <w:bookmarkStart w:id="709" w:name="Tc_qglEdMF-3kugf8xAhY3E7g_6_2"/>
      <w:bookmarkStart w:id="710" w:name="Tc_nfdh1u1OW0m5vfHKX_54oA_6_0"/>
      <w:bookmarkStart w:id="711" w:name="Tc_w6eYfYI2_0OFQyAVw97qRA_5_0"/>
      <w:bookmarkStart w:id="712" w:name="Tc_ic4NeM8MM0ao8A-TMaRgjw_4_2"/>
      <w:bookmarkStart w:id="713" w:name="Tc_BN7363owcUS4IyOqTwYp6g_3_5"/>
      <w:bookmarkStart w:id="714" w:name="Tc_YFLPufqlFUynqPeWGuAuwg_3_2"/>
      <w:bookmarkStart w:id="715" w:name="Tc_lgX9A7yoWEGbXyX-3ad6zQ_2_2"/>
      <w:bookmarkStart w:id="716" w:name="Tc_7FBOoQzmqEaa9ftI3x11Yw_1_2"/>
      <w:bookmarkStart w:id="717" w:name="_71b36366_a6a4_4b45_8676_bf1089dfb3ad"/>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tbl>
      <w:tblPr>
        <w:tblW w:w="6492" w:type="dxa"/>
        <w:jc w:val="left"/>
        <w:tblInd w:w="0" w:type="dxa"/>
        <w:tblLayout w:type="fixed"/>
        <w:tblCellMar>
          <w:top w:w="0" w:type="dxa"/>
          <w:left w:w="0" w:type="dxa"/>
          <w:bottom w:w="0" w:type="dxa"/>
          <w:right w:w="0" w:type="dxa"/>
        </w:tblCellMar>
      </w:tblPr>
      <w:tblGrid>
        <w:gridCol w:w="3781"/>
        <w:gridCol w:w="326"/>
        <w:gridCol w:w="211"/>
        <w:gridCol w:w="796"/>
        <w:gridCol w:w="326"/>
        <w:gridCol w:w="211"/>
        <w:gridCol w:w="841"/>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400935" cy="175260"/>
                      <wp:effectExtent l="0" t="0" r="0" b="0"/>
                      <wp:wrapNone/>
                      <wp:docPr id="62" name="Frame62"/>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05460" cy="175260"/>
                      <wp:effectExtent l="0" t="0" r="0" b="0"/>
                      <wp:wrapNone/>
                      <wp:docPr id="65" name="Frame6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34035" cy="175260"/>
                      <wp:effectExtent l="0" t="0" r="0" b="0"/>
                      <wp:wrapNone/>
                      <wp:docPr id="68" name="Frame6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8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649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8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10,140</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2,009</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(421)</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(855)</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232</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2,794</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(2,585)</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(1,619)</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with affiliates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(208)</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Prepaids and other,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281</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9,768</w: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(478)</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(24,925)</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maturities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12,000</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Collections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14,700</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Advances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(13,700)</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(12,403)</w: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(6,155)</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stock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(6,155)</w:t>
            </w:r>
          </w:p>
        </w:tc>
      </w:tr>
      <w:tr>
        <w:trPr/>
        <w:tc>
          <w:tcPr>
            <w:tcW w:w="3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net change from:</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investing and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(8,790)</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76,579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26,748</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17,958</w: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vAlign w:val="center"/>
          </w:tcPr>
          <w:p>
            <w:pPr>
              <w:pStyle w:val="TableContents"/>
              <w:bidi w:val="0"/>
              <w:spacing w:before="0" w:after="1"/>
              <w:ind w:left="0" w:right="180" w:hanging="0"/>
              <w:jc w:val="right"/>
              <w:rPr>
                <w:rFonts w:ascii="Times New Roman;Times;serif" w:hAnsi="Times New Roman;Times;serif"/>
                <w:b/>
                <w:sz w:val="20"/>
              </w:rPr>
            </w:pPr>
            <w:r>
              <w:rPr>
                <w:rFonts w:ascii="Times New Roman;Times;serif" w:hAnsi="Times New Roman;Times;serif"/>
                <w:b/>
                <w:sz w:val="20"/>
              </w:rPr>
              <w:t>3,847</w:t>
            </w:r>
          </w:p>
        </w:tc>
      </w:tr>
    </w:tbl>
    <w:p>
      <w:pPr>
        <w:pStyle w:val="TextBody"/>
        <w:bidi w:val="0"/>
        <w:spacing w:before="0" w:after="24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718" w:name="_a79ea079_c888_47f7_82b8_4cbc8958cb08"/>
      <w:bookmarkEnd w:id="718"/>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719" w:name="NOTESTOCONDENSEDCONSOLIDATEDFINANCIALSTA"/>
      <w:bookmarkEnd w:id="719"/>
      <w:r>
        <w:rPr>
          <w:rFonts w:ascii="Times New Roman;Times;serif" w:hAnsi="Times New Roman;Times;serif"/>
          <w:b/>
          <w:sz w:val="20"/>
        </w:rPr>
        <w:t>NOTES TO CONDENSED CONSOLIDATED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June 30,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Organization and basis of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Organization</w:t>
      </w:r>
      <w:r>
        <w:rPr>
          <w:rFonts w:ascii="Times New Roman;Times;serif" w:hAnsi="Times New Roman;Times;serif"/>
          <w:sz w:val="20"/>
        </w:rPr>
        <w:t>. We (NYSE American: CIX) were approximately 87% owned by NL Industries, Inc. (NYSE: NL) at June 30, 2023. At June 30, 2023, Valhi, Inc. (NYSE: VHI) owned approximately 83% of NL’s outstanding common stock and a wholly-owned subsidiary of Contran Corporation owned approximately 91% of Valhi’s outstanding common stock. A majority of Contran’s outstanding voting stock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June 30, 2023 Ms. Simmons and the Family Trust may be deemed to control Contran, and therefore may be deemed to indirectly control the wholly-owned subsidiary of Contran, Valhi, NL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Basis of presentation.</w:t>
      </w:r>
      <w:r>
        <w:rPr>
          <w:rFonts w:ascii="Times New Roman;Times;serif" w:hAnsi="Times New Roman;Times;serif"/>
          <w:sz w:val="20"/>
        </w:rPr>
        <w:t xml:space="preserve"> Consolidated in this Quarterly Report are the results of CompX International Inc. and its subsidiaries. The unaudited Condensed Consolidated Financial Statements contained in this Quarterly Report have been prepared on the same basis as the audited Consolidated Financial Statements included in our Annual Report on Form 10-K for the year ended December 31, 2022 that we filed with the Securities and Exchange Commission (“SEC”) on March 1, 2023 (the “2022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2022 contained in this Quarterly Report as compared to our audited Consolidated Financial Statements at that date, and we have omitted certain information and footnote disclosures (including those related to the Consolidated Balance Sheet at December 31, 2022) normally included in financial statements prepared in accordance with accounting principles generally accepted in the United States of America (“GAAP”). Our results of operations for the interim periods ended June 30, 2023 may not be indicative of our operating results for the full year. The Condensed Consolidated Financial Statements contained in this Quarterly Report should be read in conjunction with our 2022 Consolidated Financial Statements contained in our 2022 Annual Report.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operations are reported on a 52 or 53-week year. For presentation purposes, annual and quarterly information in the Condensed Consolidated Financial Statements and accompanying notes are presented as ended June 30, 2022, December 31, 2022 and June 30, 2023. The actual dates of our annual and quarterly periods are July 3, 2022, January 1, 2023 and July 2, 2023, respectively. Unless otherwise indicated, references in this report to “we”, “us” or “our” refer to CompX International Inc. and its subsidiaries, taken as a whole.</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20" w:name="Tc_-dmwNQQwukSpNhdEE6hwSw_16_11"/>
      <w:bookmarkStart w:id="721" w:name="Tc__M002NMOaESEQlMuKJihUw_16_8"/>
      <w:bookmarkStart w:id="722" w:name="Tc_G1F8iOGJZki2Rjm4-oTUQQ_16_5"/>
      <w:bookmarkStart w:id="723" w:name="Tc_dXntthkGgkW7JYfG9IXp_g_16_2"/>
      <w:bookmarkStart w:id="724" w:name="Tc_0Q_FdgwJ50uO4FvsTJTggg_16_0"/>
      <w:bookmarkStart w:id="725" w:name="Tc_xY37Hj_uNkOFIE3T0vMv1Q_15_0"/>
      <w:bookmarkStart w:id="726" w:name="Tc_23ROFmJMTESPe5fW9PPgoA_14_0"/>
      <w:bookmarkStart w:id="727" w:name="Tc_sB7bfNa-aECTsFXZbwmESA_13_0"/>
      <w:bookmarkStart w:id="728" w:name="Tc_HYHwT1dI_0ycU0ae3aFpvA_12_0"/>
      <w:bookmarkStart w:id="729" w:name="Tc_Xmmvx3McKkaXcJ1hTPmRcw_11_11"/>
      <w:bookmarkStart w:id="730" w:name="Tc_6Q_MsmB9B0ucov9hOuM1YA_11_8"/>
      <w:bookmarkStart w:id="731" w:name="Tc_rmjPeKvHRkWzlj06-vPLqQ_11_5"/>
      <w:bookmarkStart w:id="732" w:name="Tc_1Aa5GckqN0GuRlukpAqbHQ_11_2"/>
      <w:bookmarkStart w:id="733" w:name="Tc_0_FX52veoECIWa2LdoLWCg_11_0"/>
      <w:bookmarkStart w:id="734" w:name="Tc_OsiBH3YfeEaOpYfDgENzjg_10_0"/>
      <w:bookmarkStart w:id="735" w:name="Tc_XWSJQBV6UEiaEbEz9Sdb7g_8_11"/>
      <w:bookmarkStart w:id="736" w:name="Tc_E0j1VIukHE-BcMwpYZyeZQ_8_8"/>
      <w:bookmarkStart w:id="737" w:name="Tc_N3BOF48kV0uKC3fQD9mVFg_8_5"/>
      <w:bookmarkStart w:id="738" w:name="Tc_Z6N2O3XHyE2F65xo9ekmcA_8_2"/>
      <w:bookmarkStart w:id="739" w:name="Tc_6IhwOG32aEKn3ftGRnv8uw_8_0"/>
      <w:bookmarkStart w:id="740" w:name="Tc_zTMQkjlJdESJ21xQL7R9Tw_7_0"/>
      <w:bookmarkStart w:id="741" w:name="Tc_uFEKN6wwAU-2sIHWLKr55A_6_11"/>
      <w:bookmarkStart w:id="742" w:name="Tc_XtgPqxXhVEq3TrLY-Upo4w_6_8"/>
      <w:bookmarkStart w:id="743" w:name="Tc_imVA-Jzbskuq9TfhRFH8Fg_6_5"/>
      <w:bookmarkStart w:id="744" w:name="Tc_JjLU8Ktzb0WTZKaLQMM94Q_6_2"/>
      <w:bookmarkStart w:id="745" w:name="Tc_19_n6-IgGUyW0H6UwZiZ2w_6_0"/>
      <w:bookmarkStart w:id="746" w:name="Tc_uq1S_qwbH0i_qvlRIIWB4A_5_0"/>
      <w:bookmarkStart w:id="747" w:name="Tc_CaGxm4kzlEuUpLWWzKPSjg_4_2"/>
      <w:bookmarkStart w:id="748" w:name="Tc_zklkcTxPJ0yIhnmgmcDAkg_3_11"/>
      <w:bookmarkStart w:id="749" w:name="Tc_edL8QzwygUGELogvAqcoIg_3_8"/>
      <w:bookmarkStart w:id="750" w:name="Tc__N-vpQ5ZqUCcqU5F7WCN2g_3_5"/>
      <w:bookmarkStart w:id="751" w:name="Tc_p3MJ13enWUGBR-pdhqL8QQ_3_2"/>
      <w:bookmarkStart w:id="752" w:name="Tc_wUjYgg2vg0eyYHn6YiKt0A_2_8"/>
      <w:bookmarkStart w:id="753" w:name="Tc_VFIpM3FzUkeKRSN3VWCDHw_2_2"/>
      <w:bookmarkStart w:id="754" w:name="Tc__s-evpfDE02JXGMPqYL7zA_1_8"/>
      <w:bookmarkStart w:id="755" w:name="Tc_jf3Z9JdC_0CNI8Lrjw3VHQ_1_2"/>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r>
        <w:rPr>
          <w:rFonts w:ascii="Times New Roman;Times;serif" w:hAnsi="Times New Roman;Times;serif"/>
          <w:b/>
          <w:sz w:val="20"/>
        </w:rPr>
        <w:t>Note 2 – Business segment information:</w:t>
      </w:r>
    </w:p>
    <w:p>
      <w:pPr>
        <w:pStyle w:val="TextBody"/>
        <w:bidi w:val="0"/>
        <w:spacing w:before="0" w:after="0"/>
        <w:ind w:left="0" w:right="0" w:hanging="0"/>
        <w:jc w:val="left"/>
        <w:rPr/>
      </w:pPr>
      <w:r>
        <w:rPr/>
        <w:t>​</w:t>
      </w:r>
    </w:p>
    <w:tbl>
      <w:tblPr>
        <w:tblW w:w="7538" w:type="dxa"/>
        <w:jc w:val="left"/>
        <w:tblInd w:w="0" w:type="dxa"/>
        <w:tblLayout w:type="fixed"/>
        <w:tblCellMar>
          <w:top w:w="0" w:type="dxa"/>
          <w:left w:w="0" w:type="dxa"/>
          <w:bottom w:w="0" w:type="dxa"/>
          <w:right w:w="0" w:type="dxa"/>
        </w:tblCellMar>
      </w:tblPr>
      <w:tblGrid>
        <w:gridCol w:w="2536"/>
        <w:gridCol w:w="326"/>
        <w:gridCol w:w="211"/>
        <w:gridCol w:w="691"/>
        <w:gridCol w:w="326"/>
        <w:gridCol w:w="211"/>
        <w:gridCol w:w="691"/>
        <w:gridCol w:w="326"/>
        <w:gridCol w:w="211"/>
        <w:gridCol w:w="691"/>
        <w:gridCol w:w="326"/>
        <w:gridCol w:w="211"/>
        <w:gridCol w:w="781"/>
      </w:tblGrid>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38785" cy="175260"/>
                      <wp:effectExtent l="0" t="0" r="0" b="0"/>
                      <wp:wrapNone/>
                      <wp:docPr id="71" name="Frame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38785" cy="175260"/>
                      <wp:effectExtent l="0" t="0" r="0" b="0"/>
                      <wp:wrapNone/>
                      <wp:docPr id="74" name="Frame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38785" cy="175260"/>
                      <wp:effectExtent l="0" t="0" r="0" b="0"/>
                      <wp:wrapNone/>
                      <wp:docPr id="77" name="Frame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5935" cy="175260"/>
                      <wp:effectExtent l="0" t="0" r="0" b="0"/>
                      <wp:wrapNone/>
                      <wp:docPr id="80" name="Frame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22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22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753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76"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25,672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58,418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53,014</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10,944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24,753</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36,616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83,725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77,767</w:t>
            </w:r>
          </w:p>
        </w:tc>
      </w:tr>
      <w:tr>
        <w:trPr/>
        <w:tc>
          <w:tcPr>
            <w:tcW w:w="25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9,513</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1,943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5,260</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(3,366)</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11,407</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1,939</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5,359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14,602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13,346</w:t>
            </w:r>
          </w:p>
        </w:tc>
      </w:tr>
    </w:tbl>
    <w:p>
      <w:pPr>
        <w:pStyle w:val="TextBody"/>
        <w:bidi w:val="0"/>
        <w:spacing w:before="0" w:after="0"/>
        <w:ind w:left="0" w:right="0" w:hanging="0"/>
        <w:jc w:val="left"/>
        <w:rPr/>
      </w:pPr>
      <w:r>
        <w:rPr/>
        <w:t>​</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Intersegment sales are not material.</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n</w:t>
      </w:r>
    </w:p>
    <w:p>
      <w:pPr>
        <w:pStyle w:val="TextBody"/>
        <w:bidi w:val="0"/>
        <w:spacing w:before="0" w:after="240"/>
        <w:ind w:left="0" w:right="0" w:hanging="0"/>
        <w:jc w:val="left"/>
        <w:rPr>
          <w:rFonts w:ascii="Times New Roman;Times;serif" w:hAnsi="Times New Roman;Times;serif"/>
          <w:b/>
          <w:sz w:val="20"/>
        </w:rPr>
      </w:pPr>
      <w:bookmarkStart w:id="756" w:name="Tc_DHxPRKvxw02BB4jPJs9yIQ_8_8"/>
      <w:bookmarkStart w:id="757" w:name="Tc_xy9MjKSYMEicIyGo9yqaeA_8_5"/>
      <w:bookmarkStart w:id="758" w:name="Tc_AZ3-xh3pXky1ouH4TCjF5A_8_2"/>
      <w:bookmarkStart w:id="759" w:name="Tc_THq9H0rn6EScws0iX-Fsew_8_0"/>
      <w:bookmarkStart w:id="760" w:name="Tc_rEQq7oOXPEaOvDz1ybxAtg_7_0"/>
      <w:bookmarkStart w:id="761" w:name="Tc_kjUOsb9vwUqrETJ7Q-qUYQ_5_8"/>
      <w:bookmarkStart w:id="762" w:name="Tc_5da_9WmIikiZ8yxWeRDqvg_5_5"/>
      <w:bookmarkStart w:id="763" w:name="Tc_iODoK4zPbEGu7eyeNywylg_5_2"/>
      <w:bookmarkStart w:id="764" w:name="Tc_f0PL2IPh1EO0B-ORRu4M2g_5_0"/>
      <w:bookmarkStart w:id="765" w:name="Tc_kLE-EnRg0UCw7_FmuCAiFQ_4_0"/>
      <w:bookmarkStart w:id="766" w:name="Tc_MJLzzuxa60GAP6_Xiz8ccQ_3_2"/>
      <w:bookmarkStart w:id="767" w:name="Tc_ddiL0k1aoUGvkD2sE7F-Fg_2_8"/>
      <w:bookmarkStart w:id="768" w:name="Tc_inYZkhHRrUSnBf6irzmDHg_2_5"/>
      <w:bookmarkStart w:id="769" w:name="Tc_n9XORBNnb0mEp7DWHg5EpQ_2_2"/>
      <w:bookmarkStart w:id="770" w:name="Tc_wHJkLuxCjUKH9s8ZpdPP3A_1_8"/>
      <w:bookmarkStart w:id="771" w:name="Tc_tRulqCUoE0OUYzQREfB6aQ_1_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r>
        <w:rPr>
          <w:rFonts w:ascii="Times New Roman;Times;serif" w:hAnsi="Times New Roman;Times;serif"/>
          <w:b/>
          <w:sz w:val="20"/>
        </w:rPr>
        <w:t>Note 3 – Marketable securities:</w:t>
      </w:r>
    </w:p>
    <w:p>
      <w:pPr>
        <w:pStyle w:val="TextBody"/>
        <w:bidi w:val="0"/>
        <w:spacing w:before="0" w:after="0"/>
        <w:ind w:left="0" w:right="0" w:hanging="0"/>
        <w:jc w:val="left"/>
        <w:rPr/>
      </w:pPr>
      <w:r>
        <w:rPr/>
        <w:t>​</w:t>
      </w:r>
    </w:p>
    <w:tbl>
      <w:tblPr>
        <w:tblW w:w="6066" w:type="dxa"/>
        <w:jc w:val="left"/>
        <w:tblInd w:w="0" w:type="dxa"/>
        <w:tblLayout w:type="fixed"/>
        <w:tblCellMar>
          <w:top w:w="0" w:type="dxa"/>
          <w:left w:w="0" w:type="dxa"/>
          <w:bottom w:w="0" w:type="dxa"/>
          <w:right w:w="0" w:type="dxa"/>
        </w:tblCellMar>
      </w:tblPr>
      <w:tblGrid>
        <w:gridCol w:w="1756"/>
        <w:gridCol w:w="326"/>
        <w:gridCol w:w="296"/>
        <w:gridCol w:w="949"/>
        <w:gridCol w:w="326"/>
        <w:gridCol w:w="239"/>
        <w:gridCol w:w="767"/>
        <w:gridCol w:w="326"/>
        <w:gridCol w:w="309"/>
        <w:gridCol w:w="772"/>
      </w:tblGrid>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87960" cy="175260"/>
                      <wp:effectExtent l="0" t="0" r="0" b="0"/>
                      <wp:wrapNone/>
                      <wp:docPr id="82" name="Frame82"/>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02615" cy="175260"/>
                      <wp:effectExtent l="0" t="0" r="0" b="0"/>
                      <wp:wrapNone/>
                      <wp:docPr id="83" name="Frame83"/>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51765" cy="175260"/>
                      <wp:effectExtent l="0" t="0" r="0" b="0"/>
                      <wp:wrapNone/>
                      <wp:docPr id="85" name="Frame8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87045" cy="175260"/>
                      <wp:effectExtent l="0" t="0" r="0" b="0"/>
                      <wp:wrapNone/>
                      <wp:docPr id="86" name="Frame86"/>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96215" cy="175260"/>
                      <wp:effectExtent l="0" t="0" r="0" b="0"/>
                      <wp:wrapNone/>
                      <wp:docPr id="88" name="Frame88"/>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90220" cy="175260"/>
                      <wp:effectExtent l="0" t="0" r="0" b="0"/>
                      <wp:wrapNone/>
                      <wp:docPr id="89" name="Frame89"/>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5"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Amortized</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Unrealized</w: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Market value</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cost basis</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loss, net</w:t>
            </w:r>
          </w:p>
        </w:tc>
      </w:tr>
      <w:tr>
        <w:trPr/>
        <w:tc>
          <w:tcPr>
            <w:tcW w:w="6066"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84"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09"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  </w:t>
            </w:r>
          </w:p>
        </w:tc>
      </w:tr>
      <w:tr>
        <w:trPr/>
        <w:tc>
          <w:tcPr>
            <w:tcW w:w="1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33,147</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33,164</w:t>
            </w:r>
          </w:p>
        </w:tc>
        <w:tc>
          <w:tcPr>
            <w:tcW w:w="326" w:type="dxa"/>
            <w:tcBorders/>
            <w:vAlign w:val="center"/>
          </w:tcPr>
          <w:p>
            <w:pPr>
              <w:pStyle w:val="TableContents"/>
              <w:bidi w:val="0"/>
              <w:spacing w:before="0" w:after="1"/>
              <w:ind w:left="0" w:right="0" w:hanging="0"/>
              <w:jc w:val="left"/>
              <w:rPr/>
            </w:pPr>
            <w:r>
              <w:rPr/>
              <w:t>​</w:t>
            </w:r>
          </w:p>
        </w:tc>
        <w:tc>
          <w:tcPr>
            <w:tcW w:w="30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1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9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pPr>
            <w:r>
              <w:rPr/>
              <w:t>​</w:t>
            </w:r>
          </w:p>
        </w:tc>
      </w:tr>
      <w:tr>
        <w:trPr/>
        <w:tc>
          <w:tcPr>
            <w:tcW w:w="1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30, 2023:</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r>
      <w:tr>
        <w:trPr/>
        <w:tc>
          <w:tcPr>
            <w:tcW w:w="1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46,794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46,944</w:t>
            </w:r>
          </w:p>
        </w:tc>
        <w:tc>
          <w:tcPr>
            <w:tcW w:w="326" w:type="dxa"/>
            <w:tcBorders/>
            <w:shd w:fill="CCEEFF" w:val="clear"/>
            <w:vAlign w:val="center"/>
          </w:tcPr>
          <w:p>
            <w:pPr>
              <w:pStyle w:val="TableContents"/>
              <w:bidi w:val="0"/>
              <w:spacing w:before="0" w:after="1"/>
              <w:ind w:left="0" w:right="0" w:hanging="0"/>
              <w:jc w:val="left"/>
              <w:rPr/>
            </w:pPr>
            <w:r>
              <w:rPr/>
              <w:t>​</w:t>
            </w:r>
          </w:p>
        </w:tc>
        <w:tc>
          <w:tcPr>
            <w:tcW w:w="3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marketable securities consist of investments in debt securities, currently U.S. government treasuries. We classify our marketable securities as available-for-sale. The fair value of our marketable securities is generally determined using Level 2 inputs because although these securities are traded, in many cases the market is not active and the quarter-end valuation is generally based on the last trade of the quarter, which may be several days prior to quarter end. We accumulate unrealized gains and losses on marketable debt securities as part of accumulated other comprehensive income (loss), net of related deferred income taxes.</w:t>
      </w:r>
    </w:p>
    <w:p>
      <w:pPr>
        <w:pStyle w:val="TextBody"/>
        <w:bidi w:val="0"/>
        <w:spacing w:before="0" w:after="240"/>
        <w:ind w:left="0" w:right="0" w:hanging="0"/>
        <w:jc w:val="left"/>
        <w:rPr>
          <w:rFonts w:ascii="Times New Roman;Times;serif" w:hAnsi="Times New Roman;Times;serif"/>
          <w:b/>
          <w:sz w:val="20"/>
        </w:rPr>
      </w:pPr>
      <w:bookmarkStart w:id="772" w:name="Tc_OjhTM-q0oEeRO7xG_ACztg_8_5"/>
      <w:bookmarkStart w:id="773" w:name="Tc_cHYrp7_AwE6NiH1U0a6Rbw_8_2"/>
      <w:bookmarkStart w:id="774" w:name="Tc_BopfUgV3cU2gmmo9551mLg_8_0"/>
      <w:bookmarkStart w:id="775" w:name="Tc_sXQ79ZCAKUy3LBwE674h9A_7_0"/>
      <w:bookmarkStart w:id="776" w:name="Tc_q4njEUSLEkid3WaC9C5URQ_6_0"/>
      <w:bookmarkStart w:id="777" w:name="Tc_hS9RWp87Mk6-b2VKkj_rHw_5_5"/>
      <w:bookmarkStart w:id="778" w:name="Tc_D2vON_Z7AEKUJN_JDI9jwQ_5_2"/>
      <w:bookmarkStart w:id="779" w:name="Tc_oPJi0Z2twEqiOPZyIroxOw_5_0"/>
      <w:bookmarkStart w:id="780" w:name="Tc_i-ml1HTnUkyC1ylgC430Yg_4_0"/>
      <w:bookmarkStart w:id="781" w:name="Tc_jpQcp53RoUaxy3npHmLvqg_3_2"/>
      <w:bookmarkStart w:id="782" w:name="Tc_5w-fkcMuMU23hyxUZxXkUA_2_5"/>
      <w:bookmarkStart w:id="783" w:name="Tc_dgV96A8l50aQNcHgbSHiOA_2_2"/>
      <w:bookmarkStart w:id="784" w:name="Tc__x85wU6DfEyaB__CzsmUJg_1_5"/>
      <w:bookmarkStart w:id="785" w:name="Tc_sjpCWGh8G0W6R4K-XeQeSA_1_2"/>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r>
        <w:rPr>
          <w:rFonts w:ascii="Times New Roman;Times;serif" w:hAnsi="Times New Roman;Times;serif"/>
          <w:b/>
          <w:sz w:val="20"/>
        </w:rPr>
        <w:t>Note 4 – Accounts receivable, net:</w:t>
      </w:r>
    </w:p>
    <w:p>
      <w:pPr>
        <w:pStyle w:val="TextBody"/>
        <w:bidi w:val="0"/>
        <w:spacing w:before="0" w:after="0"/>
        <w:ind w:left="0" w:right="0" w:hanging="0"/>
        <w:jc w:val="left"/>
        <w:rPr/>
      </w:pPr>
      <w:r>
        <w:rPr/>
        <w:t>​</w:t>
      </w:r>
    </w:p>
    <w:tbl>
      <w:tblPr>
        <w:tblW w:w="5725" w:type="dxa"/>
        <w:jc w:val="left"/>
        <w:tblInd w:w="0" w:type="dxa"/>
        <w:tblLayout w:type="fixed"/>
        <w:tblCellMar>
          <w:top w:w="0" w:type="dxa"/>
          <w:left w:w="0" w:type="dxa"/>
          <w:bottom w:w="0" w:type="dxa"/>
          <w:right w:w="0" w:type="dxa"/>
        </w:tblCellMar>
      </w:tblPr>
      <w:tblGrid>
        <w:gridCol w:w="2776"/>
        <w:gridCol w:w="326"/>
        <w:gridCol w:w="310"/>
        <w:gridCol w:w="995"/>
        <w:gridCol w:w="326"/>
        <w:gridCol w:w="211"/>
        <w:gridCol w:w="781"/>
      </w:tblGrid>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72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2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11,462</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3,652</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15,044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86" w:name="Tc__hPvHpM5W0-sbUaOTt7L8w_16_5"/>
      <w:bookmarkStart w:id="787" w:name="Tc_B5_bplUcgkqWXgCh7f9YJQ_16_2"/>
      <w:bookmarkStart w:id="788" w:name="Tc_HLEE1kyGVkO9Bf2qGG8Fig_16_0"/>
      <w:bookmarkStart w:id="789" w:name="Tc_QIgzwS-uDk2uWlAYLVZNWw_15_0"/>
      <w:bookmarkStart w:id="790" w:name="Tc_EN9ars0-2EKQH5FEt_05xg_14_0"/>
      <w:bookmarkStart w:id="791" w:name="Tc_Dcif9JX7NEuNeeIm5saxWg_13_0"/>
      <w:bookmarkStart w:id="792" w:name="Tc_7x6QB-oob0apfIpWiR-nWw_12_0"/>
      <w:bookmarkStart w:id="793" w:name="Tc_sOlQJbbX0kSn_2vkOMSXVg_11_0"/>
      <w:bookmarkStart w:id="794" w:name="Tc_uPS3XfIahEWFRN50797MsA_10_0"/>
      <w:bookmarkStart w:id="795" w:name="Tc_IBIbUFcH0Uu_vvTelyTQnQ_9_0"/>
      <w:bookmarkStart w:id="796" w:name="Tc_Cw93MN6h80CLhFZpgK-9VA_8_0"/>
      <w:bookmarkStart w:id="797" w:name="Tc_E41EsJGOE0CDlfxQzlzz4Q_7_0"/>
      <w:bookmarkStart w:id="798" w:name="Tc_rL0HoxvA80SXcF9xrXmNcw_6_0"/>
      <w:bookmarkStart w:id="799" w:name="Tc_Oq35uaN8b0iw35bBeM1p8g_5_5"/>
      <w:bookmarkStart w:id="800" w:name="Tc_cF22BAo7vUO8Lyyk2Bd3gQ_5_2"/>
      <w:bookmarkStart w:id="801" w:name="Tc_joZaSCmB1EuWpeEVWVeDvQ_5_0"/>
      <w:bookmarkStart w:id="802" w:name="Tc_q14sl5hWbEachKJLN_mn3g_4_0"/>
      <w:bookmarkStart w:id="803" w:name="Tc_-1uKLXEbsU6FLUiqB3TTMg_3_2"/>
      <w:bookmarkStart w:id="804" w:name="Tc_NX4wrJ16yUSUPgQKFriK8A_2_5"/>
      <w:bookmarkStart w:id="805" w:name="Tc_oTlrVX7LD0Kkl_Od8OSK8A_2_2"/>
      <w:bookmarkStart w:id="806" w:name="Tc_RpryCE3axkyNoHSTamY2SQ_1_5"/>
      <w:bookmarkStart w:id="807" w:name="Tc_vxbAdwvWQEC_005yHA-7BA_1_2"/>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r>
        <w:rPr>
          <w:rFonts w:ascii="Times New Roman;Times;serif" w:hAnsi="Times New Roman;Times;serif"/>
          <w:b/>
          <w:sz w:val="20"/>
        </w:rPr>
        <w:t>Note 5 – Inventories, net:</w:t>
      </w:r>
    </w:p>
    <w:p>
      <w:pPr>
        <w:pStyle w:val="TextBody"/>
        <w:bidi w:val="0"/>
        <w:spacing w:before="0" w:after="0"/>
        <w:ind w:left="0" w:right="0" w:hanging="0"/>
        <w:jc w:val="left"/>
        <w:rPr/>
      </w:pPr>
      <w:r>
        <w:rPr/>
        <w:t>​</w:t>
      </w:r>
    </w:p>
    <w:tbl>
      <w:tblPr>
        <w:tblW w:w="4840" w:type="dxa"/>
        <w:jc w:val="left"/>
        <w:tblInd w:w="0" w:type="dxa"/>
        <w:tblLayout w:type="fixed"/>
        <w:tblCellMar>
          <w:top w:w="0" w:type="dxa"/>
          <w:left w:w="0" w:type="dxa"/>
          <w:bottom w:w="0" w:type="dxa"/>
          <w:right w:w="0" w:type="dxa"/>
        </w:tblCellMar>
      </w:tblPr>
      <w:tblGrid>
        <w:gridCol w:w="1891"/>
        <w:gridCol w:w="326"/>
        <w:gridCol w:w="310"/>
        <w:gridCol w:w="995"/>
        <w:gridCol w:w="326"/>
        <w:gridCol w:w="211"/>
        <w:gridCol w:w="781"/>
      </w:tblGrid>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96850" cy="175260"/>
                      <wp:effectExtent l="0" t="0" r="0" b="0"/>
                      <wp:wrapNone/>
                      <wp:docPr id="91" name="Frame91"/>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31825" cy="175260"/>
                      <wp:effectExtent l="0" t="0" r="0" b="0"/>
                      <wp:wrapNone/>
                      <wp:docPr id="92" name="Frame92"/>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95935" cy="175260"/>
                      <wp:effectExtent l="0" t="0" r="0" b="0"/>
                      <wp:wrapNone/>
                      <wp:docPr id="95" name="Frame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484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2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4,548</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2,000</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raw materials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6,548</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16,032</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5,992</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work-in-process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22,024</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3,332</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1,861</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finished goods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5,193</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 net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33,765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08" w:name="Tc_aI2_pT5Rtk-Z8cbffOizJQ_15_5"/>
      <w:bookmarkStart w:id="809" w:name="Tc_AwgHNvnLmEur9ZwkJfNmKQ_15_2"/>
      <w:bookmarkStart w:id="810" w:name="Tc_aq3PmDZ9JEiX-6JkyH9kbQ_15_0"/>
      <w:bookmarkStart w:id="811" w:name="Tc_sKtolUnmHE-3qLQ6Q9_mbw_14_0"/>
      <w:bookmarkStart w:id="812" w:name="Tc_owNUVkSzjUiMqgTYuCNAMg_13_0"/>
      <w:bookmarkStart w:id="813" w:name="Tc_sgX-OXF5IkGDQiEDZa0Uug_12_0"/>
      <w:bookmarkStart w:id="814" w:name="Tc_LXWx9pMg-keMDa5YqFeoJQ_11_0"/>
      <w:bookmarkStart w:id="815" w:name="Tc_nEfy8ITJiUmiUgk_Nl45Ug_10_0"/>
      <w:bookmarkStart w:id="816" w:name="Tc_eLJbrNDhvEmuvaObFHXz7Q_9_0"/>
      <w:bookmarkStart w:id="817" w:name="Tc_0oqr4ucfHEid3idIrpmBgg_8_0"/>
      <w:bookmarkStart w:id="818" w:name="Tc_3OXHjkCVfEKHG5aLact-Og_7_0"/>
      <w:bookmarkStart w:id="819" w:name="Tc_G3cuYrsLvE6tid-9UtzQsA_6_0"/>
      <w:bookmarkStart w:id="820" w:name="Tc_9jLgx8JwnU-REnBV60uttQ_5_5"/>
      <w:bookmarkStart w:id="821" w:name="Tc_hEV6UG-5x0S4RvkzqXbGug_5_2"/>
      <w:bookmarkStart w:id="822" w:name="Tc_4JXXf3dZb0up05XhEeUW3g_5_0"/>
      <w:bookmarkStart w:id="823" w:name="Tc_trr-8ISzoUiPunhrk7ZEcg_4_0"/>
      <w:bookmarkStart w:id="824" w:name="Tc_7AFBv9xTmk-d6fxN7TdrSA_3_2"/>
      <w:bookmarkStart w:id="825" w:name="Tc_G6gAXDO9VEeOg98odYFzvA_2_5"/>
      <w:bookmarkStart w:id="826" w:name="Tc_Liuq4LWSXEuMdKVXmuLdlg_2_2"/>
      <w:bookmarkStart w:id="827" w:name="Tc_MHdGc8L6YESIqFHfeHpv-w_1_5"/>
      <w:bookmarkStart w:id="828" w:name="Tc_TRlBp-UNNUCQpu8wpkAwVw_1_2"/>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r>
        <w:rPr>
          <w:rFonts w:ascii="Times New Roman;Times;serif" w:hAnsi="Times New Roman;Times;serif"/>
          <w:b/>
          <w:sz w:val="20"/>
        </w:rPr>
        <w:t>Note 6 – Accounts payable and accrued liabilities:</w:t>
      </w:r>
    </w:p>
    <w:p>
      <w:pPr>
        <w:pStyle w:val="TextBody"/>
        <w:bidi w:val="0"/>
        <w:spacing w:before="0" w:after="0"/>
        <w:ind w:left="0" w:right="0" w:hanging="0"/>
        <w:jc w:val="left"/>
        <w:rPr/>
      </w:pPr>
      <w:r>
        <w:rPr/>
        <w:t>​</w:t>
      </w:r>
    </w:p>
    <w:tbl>
      <w:tblPr>
        <w:tblW w:w="6805" w:type="dxa"/>
        <w:jc w:val="left"/>
        <w:tblInd w:w="0" w:type="dxa"/>
        <w:tblLayout w:type="fixed"/>
        <w:tblCellMar>
          <w:top w:w="0" w:type="dxa"/>
          <w:left w:w="0" w:type="dxa"/>
          <w:bottom w:w="0" w:type="dxa"/>
          <w:right w:w="0" w:type="dxa"/>
        </w:tblCellMar>
      </w:tblPr>
      <w:tblGrid>
        <w:gridCol w:w="3856"/>
        <w:gridCol w:w="326"/>
        <w:gridCol w:w="310"/>
        <w:gridCol w:w="995"/>
        <w:gridCol w:w="326"/>
        <w:gridCol w:w="211"/>
        <w:gridCol w:w="781"/>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96850" cy="175260"/>
                      <wp:effectExtent l="0" t="0" r="0" b="0"/>
                      <wp:wrapNone/>
                      <wp:docPr id="97" name="Frame9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31825" cy="175260"/>
                      <wp:effectExtent l="0" t="0" r="0" b="0"/>
                      <wp:wrapNone/>
                      <wp:docPr id="98" name="Frame98"/>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95935" cy="175260"/>
                      <wp:effectExtent l="0" t="0" r="0" b="0"/>
                      <wp:wrapNone/>
                      <wp:docPr id="101" name="Frame10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68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2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4,018</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1,206</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7,220</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other than on income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339</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268</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189</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tooling</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178</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from customers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380</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13,954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29" w:name="Tc_nFBwsG2AXEq3VfMefZbfyg_14_11"/>
      <w:bookmarkStart w:id="830" w:name="Tc_pvOqya-GuEOpjZGa1M6a-A_14_8"/>
      <w:bookmarkStart w:id="831" w:name="Tc_3fRN72vH2UKugZ_AyzohKw_14_5"/>
      <w:bookmarkStart w:id="832" w:name="Tc_rMa9yS1vbkWjzPWvno2IuQ_14_2"/>
      <w:bookmarkStart w:id="833" w:name="Tc_E_vYt8Car0G4mMKtXm8MWw_14_0"/>
      <w:bookmarkStart w:id="834" w:name="Tc_HCKqwD3UnEa7ceGanwSrkQ_13_9"/>
      <w:bookmarkStart w:id="835" w:name="Tc_U1cenLWzgU-G3RmOuGwJ0w_13_3"/>
      <w:bookmarkStart w:id="836" w:name="Tc_tkSAz6g4HEubVMtjzlhcfw_13_0"/>
      <w:bookmarkStart w:id="837" w:name="Tc_9xO-I5SP8UWl4Gy7cLN1ig_12_11"/>
      <w:bookmarkStart w:id="838" w:name="Tc_XKqMAAzU9UO_6lh7qO_h6g_12_8"/>
      <w:bookmarkStart w:id="839" w:name="Tc_25XYbLuO-kOg7bxcWj9IwA_12_5"/>
      <w:bookmarkStart w:id="840" w:name="Tc_EVqmCLAPNEezKSA0NgMa6Q_12_2"/>
      <w:bookmarkStart w:id="841" w:name="Tc_RGWcKaq2lEGjAI3UZ6ALOQ_12_0"/>
      <w:bookmarkStart w:id="842" w:name="Tc_o5k72MAm206_Y_00hAj4zw_11_0"/>
      <w:bookmarkStart w:id="843" w:name="Tc_W5bYUHI8HESIoWKRj6Bfxw_9_11"/>
      <w:bookmarkStart w:id="844" w:name="Tc_ds_QvjxH7Uq-vPZiCzt_Rg_9_8"/>
      <w:bookmarkStart w:id="845" w:name="Tc_CtmQwNwQBUOLoyDOKaqtvw_9_5"/>
      <w:bookmarkStart w:id="846" w:name="Tc_Wd4spjDpbUGDlmm1i_tGvQ_9_2"/>
      <w:bookmarkStart w:id="847" w:name="Tc_ae0Bg4QNC0yhoEM9G3X-oA_9_0"/>
      <w:bookmarkStart w:id="848" w:name="Tc_xGVIk3UYW0KxAULVRhVmLg_8_0"/>
      <w:bookmarkStart w:id="849" w:name="Tc_3vXKc_MSYkyAZoH2pdf-_g_7_0"/>
      <w:bookmarkStart w:id="850" w:name="Tc_K6Yf64xUUkSf52CbIkX63A_6_0"/>
      <w:bookmarkStart w:id="851" w:name="Tc_FybZDlztBkisCTur7GJOQA_5_11"/>
      <w:bookmarkStart w:id="852" w:name="Tc_ORNaFtjbwUeOm2YchMBcKg_5_8"/>
      <w:bookmarkStart w:id="853" w:name="Tc_aW87gVuZtkClXydo5o_R0Q_5_5"/>
      <w:bookmarkStart w:id="854" w:name="Tc_DqnSSCwMfku-Vi-gSYl0VA_5_2"/>
      <w:bookmarkStart w:id="855" w:name="Tc__YhQdWnpQkCTtIhTplAwRQ_5_0"/>
      <w:bookmarkStart w:id="856" w:name="Tc_T9A-iLLFtUCoE0rP31RDmA_4_2"/>
      <w:bookmarkStart w:id="857" w:name="Tc_2-Fp1Zw-xkakJRD3AcsvpQ_3_11"/>
      <w:bookmarkStart w:id="858" w:name="Tc_r-2w41mVoEeqvAFJzaZ_RQ_3_8"/>
      <w:bookmarkStart w:id="859" w:name="Tc_REO33yaycEibUxk2TdGX2Q_3_5"/>
      <w:bookmarkStart w:id="860" w:name="Tc_paBfntzyokeeI8hz2_Cb6Q_3_2"/>
      <w:bookmarkStart w:id="861" w:name="Tc_CE5_Hco9CEyLQ5SIt27dcA_2_8"/>
      <w:bookmarkStart w:id="862" w:name="Tc_kQgTRuqUjEGqCVD5zdZEYg_2_2"/>
      <w:bookmarkStart w:id="863" w:name="Tc_CJ82N-m0aUm-NeuvV9Xu0Q_1_8"/>
      <w:bookmarkStart w:id="864" w:name="Tc_-9Vf8n2pGkuVpzyznttmqw_1_2"/>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r>
        <w:rPr>
          <w:rFonts w:ascii="Times New Roman;Times;serif" w:hAnsi="Times New Roman;Times;serif"/>
          <w:b/>
          <w:sz w:val="20"/>
        </w:rPr>
        <w:t>Note 7 – Provision for income taxes:</w:t>
      </w:r>
    </w:p>
    <w:p>
      <w:pPr>
        <w:pStyle w:val="TextBody"/>
        <w:bidi w:val="0"/>
        <w:spacing w:before="0" w:after="0"/>
        <w:ind w:left="0" w:right="0" w:hanging="0"/>
        <w:jc w:val="left"/>
        <w:rPr/>
      </w:pPr>
      <w:r>
        <w:rPr/>
        <w:t>​</w:t>
      </w:r>
    </w:p>
    <w:tbl>
      <w:tblPr>
        <w:tblW w:w="9203" w:type="dxa"/>
        <w:jc w:val="left"/>
        <w:tblInd w:w="0" w:type="dxa"/>
        <w:tblLayout w:type="fixed"/>
        <w:tblCellMar>
          <w:top w:w="0" w:type="dxa"/>
          <w:left w:w="0" w:type="dxa"/>
          <w:bottom w:w="0" w:type="dxa"/>
          <w:right w:w="0" w:type="dxa"/>
        </w:tblCellMar>
      </w:tblPr>
      <w:tblGrid>
        <w:gridCol w:w="4666"/>
        <w:gridCol w:w="326"/>
        <w:gridCol w:w="211"/>
        <w:gridCol w:w="571"/>
        <w:gridCol w:w="326"/>
        <w:gridCol w:w="211"/>
        <w:gridCol w:w="571"/>
        <w:gridCol w:w="326"/>
        <w:gridCol w:w="211"/>
        <w:gridCol w:w="571"/>
        <w:gridCol w:w="326"/>
        <w:gridCol w:w="211"/>
        <w:gridCol w:w="676"/>
      </w:tblGrid>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62585" cy="175260"/>
                      <wp:effectExtent l="0" t="0" r="0" b="0"/>
                      <wp:wrapNone/>
                      <wp:docPr id="104" name="Frame1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62585" cy="175260"/>
                      <wp:effectExtent l="0" t="0" r="0" b="0"/>
                      <wp:wrapNone/>
                      <wp:docPr id="107" name="Frame1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62585" cy="175260"/>
                      <wp:effectExtent l="0" t="0" r="0" b="0"/>
                      <wp:wrapNone/>
                      <wp:docPr id="110" name="Frame1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29260" cy="175260"/>
                      <wp:effectExtent l="0" t="0" r="0" b="0"/>
                      <wp:wrapNone/>
                      <wp:docPr id="113" name="Frame1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920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1"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Expected tax expense, at the U.S. federal statutory </w:t>
              <w:br/>
              <w:t>  income tax rate of 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2,803</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401</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FDII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3,206</w: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provision for income taxes allocable to:</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3,206</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3,175</w:t>
            </w:r>
          </w:p>
        </w:tc>
      </w:tr>
    </w:tbl>
    <w:p>
      <w:pPr>
        <w:pStyle w:val="TextBody"/>
        <w:bidi w:val="0"/>
        <w:spacing w:before="0" w:after="0"/>
        <w:ind w:left="0" w:right="0" w:firstLine="72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 Stockholders’ equity: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previously authorized the repurchase of our Class A common 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use cash on hand to acquire the shares. Repurchased shares are added to our treasury and cancelled.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made no treasury purchases during the first six months of 2023. During the second quarter of 2022, we acquired 78,900 shares of our Class A common stock for an aggregate amount of approximately $1.7 million under the prior repurchase authorizations.  Of these shares, 70,000 shares were purchased in a market transaction, and 8,900 shares were purchased from two of our affiliates in two separate private transactions that were also approved in advance by our independent directors. At June 30, 2023, 523,647 shares were available for purchase under prior repurchase authorizations.</w:t>
      </w:r>
    </w:p>
    <w:p>
      <w:pPr>
        <w:pStyle w:val="TextBody"/>
        <w:bidi w:val="0"/>
        <w:spacing w:before="240" w:after="240"/>
        <w:ind w:left="0" w:right="0" w:hanging="0"/>
        <w:jc w:val="left"/>
        <w:rPr>
          <w:rFonts w:ascii="Times New Roman;Times;serif" w:hAnsi="Times New Roman;Times;serif"/>
          <w:b/>
          <w:sz w:val="20"/>
        </w:rPr>
      </w:pPr>
      <w:bookmarkStart w:id="865" w:name="Tc_i4mt5hDXrkeBnAakEd1Z4A_5_11"/>
      <w:bookmarkStart w:id="866" w:name="Tc_fhX9E-te7kq9Iqtxx0e1Iw_5_8"/>
      <w:bookmarkStart w:id="867" w:name="Tc_XXQ-12u7SUKhHLE550qsew_5_5"/>
      <w:bookmarkStart w:id="868" w:name="Tc_lq5IvPqQ5U-vISeiU2rEOg_5_2"/>
      <w:bookmarkStart w:id="869" w:name="Tc_TmrthBSNtkq5hliPefftrA_5_0"/>
      <w:bookmarkStart w:id="870" w:name="Tc_jMD7-2EdP0-2LWIr7amw5A_4_2"/>
      <w:bookmarkStart w:id="871" w:name="Tc_y7l6sS4zo0eY2M9nYH-zdw_3_11"/>
      <w:bookmarkStart w:id="872" w:name="Tc_txW2D6bEiUOnr8K9VLHfug_3_8"/>
      <w:bookmarkStart w:id="873" w:name="Tc_ueX37ZjlEkaWLmn5m-C-dQ_3_5"/>
      <w:bookmarkStart w:id="874" w:name="Tc_HGhYiNZL2UqKqhS0PIUX0g_3_2"/>
      <w:bookmarkStart w:id="875" w:name="Tc_-8UhkowsfUipLLdkCBGukg_2_11"/>
      <w:bookmarkStart w:id="876" w:name="Tc_sKaumwVe5EaurNbwmgvHoA_2_8"/>
      <w:bookmarkStart w:id="877" w:name="Tc_Rbx4WdyDpk-orb4Jmy82tQ_2_5"/>
      <w:bookmarkStart w:id="878" w:name="Tc_NaDrL1TjREucZ9KSQJ76Xw_2_2"/>
      <w:bookmarkStart w:id="879" w:name="Tc_wk33UC7odUaOXsWkJTIRHA_1_8"/>
      <w:bookmarkStart w:id="880" w:name="Tc_HGuzEk_RYkePRESLoNHO4w_1_2"/>
      <w:bookmarkStart w:id="881" w:name="_0ec9ecd1_2b8c_44de_bc15_87f40132d8c3"/>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r>
        <w:rPr>
          <w:rFonts w:ascii="Times New Roman;Times;serif" w:hAnsi="Times New Roman;Times;serif"/>
          <w:b/>
          <w:sz w:val="20"/>
        </w:rPr>
        <w:t>Note 9 – Financial instruments: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Note 3 for information on how we determine the fair value of our marketable securities.</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the financial instruments that are not carried at fair value but which require fair value disclosure:</w:t>
      </w:r>
    </w:p>
    <w:p>
      <w:pPr>
        <w:pStyle w:val="TextBody"/>
        <w:bidi w:val="0"/>
        <w:spacing w:before="0" w:after="240"/>
        <w:ind w:left="0" w:right="0" w:firstLine="720"/>
        <w:jc w:val="both"/>
        <w:rPr/>
      </w:pPr>
      <w:r>
        <w:rPr/>
        <w:t>​</w:t>
      </w:r>
    </w:p>
    <w:tbl>
      <w:tblPr>
        <w:tblW w:w="7251" w:type="dxa"/>
        <w:jc w:val="left"/>
        <w:tblInd w:w="0" w:type="dxa"/>
        <w:tblLayout w:type="fixed"/>
        <w:tblCellMar>
          <w:top w:w="0" w:type="dxa"/>
          <w:left w:w="0" w:type="dxa"/>
          <w:bottom w:w="0" w:type="dxa"/>
          <w:right w:w="0" w:type="dxa"/>
        </w:tblCellMar>
      </w:tblPr>
      <w:tblGrid>
        <w:gridCol w:w="2266"/>
        <w:gridCol w:w="326"/>
        <w:gridCol w:w="214"/>
        <w:gridCol w:w="687"/>
        <w:gridCol w:w="326"/>
        <w:gridCol w:w="211"/>
        <w:gridCol w:w="676"/>
        <w:gridCol w:w="326"/>
        <w:gridCol w:w="214"/>
        <w:gridCol w:w="687"/>
        <w:gridCol w:w="326"/>
        <w:gridCol w:w="211"/>
        <w:gridCol w:w="781"/>
      </w:tblGrid>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5890" cy="175260"/>
                      <wp:effectExtent l="0" t="0" r="0" b="0"/>
                      <wp:wrapNone/>
                      <wp:docPr id="115" name="Frame11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36245" cy="175260"/>
                      <wp:effectExtent l="0" t="0" r="0" b="0"/>
                      <wp:wrapNone/>
                      <wp:docPr id="116" name="Frame116"/>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29260" cy="175260"/>
                      <wp:effectExtent l="0" t="0" r="0" b="0"/>
                      <wp:wrapNone/>
                      <wp:docPr id="119" name="Frame1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5890" cy="175260"/>
                      <wp:effectExtent l="0" t="0" r="0" b="0"/>
                      <wp:wrapNone/>
                      <wp:docPr id="121" name="Frame121"/>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36245" cy="175260"/>
                      <wp:effectExtent l="0" t="0" r="0" b="0"/>
                      <wp:wrapNone/>
                      <wp:docPr id="122" name="Frame122"/>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95935" cy="175260"/>
                      <wp:effectExtent l="0" t="0" r="0" b="0"/>
                      <wp:wrapNone/>
                      <wp:docPr id="125" name="Frame1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326" w:type="dxa"/>
            <w:tcBorders/>
            <w:vAlign w:val="center"/>
          </w:tcPr>
          <w:p>
            <w:pPr>
              <w:pStyle w:val="TableContents"/>
              <w:bidi w:val="0"/>
              <w:spacing w:before="0" w:after="0"/>
              <w:ind w:left="0" w:right="0" w:hanging="0"/>
              <w:jc w:val="left"/>
              <w:rPr/>
            </w:pPr>
            <w:r>
              <w:rPr/>
              <w:t>​</w:t>
            </w:r>
          </w:p>
        </w:tc>
        <w:tc>
          <w:tcPr>
            <w:tcW w:w="22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2023</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725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59"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26,748</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17,958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17,958</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Due to their near-term maturities, the carrying amounts of accounts receivable and accounts payable are considered equivalent to fair value.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 Related party transactions: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under which, as amended, we agreed to loan Valhi up to $25 million. Our loan to Valhi, as amended, bears interest at prime plus 1.00%, payable quarterly, with all principal due on demand, but in any event no earlier than December 31, 2024. Loans made to Valhi at any time under the agreement are at our discretion. At June 30, 2023, the outstanding principal balance receivable from Valhi under the promissory note was $12.2 million. Interest income (including unused commitment fees) on our loan to Valhi was $.4 million and $.6 million for the six months ended June 30, 2022 and 2023,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- 10 -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82" w:name="ITEM2MANAGEMENTSDISCUSSIONANDANALYSIS_62"/>
      <w:bookmarkStart w:id="883" w:name="_33cecb26_0ea0_489b_a2b0_ca50c6749cf4"/>
      <w:bookmarkStart w:id="884" w:name="ITEM2MANAGEMENTSDISCUSSIONANDANALYSIS_62"/>
      <w:bookmarkStart w:id="885" w:name="_33cecb26_0ea0_489b_a2b0_ca50c6749cf4"/>
      <w:bookmarkEnd w:id="884"/>
      <w:bookmarkEnd w:id="885"/>
    </w:p>
    <w:tbl>
      <w:tblPr>
        <w:tblW w:w="10205" w:type="dxa"/>
        <w:jc w:val="left"/>
        <w:tblInd w:w="0" w:type="dxa"/>
        <w:tblLayout w:type="fixed"/>
        <w:tblCellMar>
          <w:top w:w="0" w:type="dxa"/>
          <w:left w:w="0" w:type="dxa"/>
          <w:bottom w:w="0" w:type="dxa"/>
          <w:right w:w="0" w:type="dxa"/>
        </w:tblCellMar>
      </w:tblPr>
      <w:tblGrid>
        <w:gridCol w:w="837"/>
        <w:gridCol w:w="9368"/>
      </w:tblGrid>
      <w:tr>
        <w:trPr/>
        <w:tc>
          <w:tcPr>
            <w:tcW w:w="837"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9368"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leading manufacturer of engineered components utilized in a variety of applications and industries. Through our Security Products segment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gauges, throttle controls, trim tabs and related hardware and accessories for the recreational marine and other industries through our Marine Components segment.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raw material and other operating costs (such as zinc, brass, aluminum, steel and energy costs) and our ability to pass those costs on to our customers or offset them with reductions in other operating costs,</w:t>
            </w:r>
          </w:p>
        </w:tc>
      </w:tr>
    </w:tbl>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product competition from low-cost manufacturing sources (such as China),</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 including substitute products,</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the development of new products and product features,</w:t>
            </w:r>
          </w:p>
        </w:tc>
      </w:tr>
    </w:tbl>
    <w:tbl>
      <w:tblPr>
        <w:tblW w:w="1911" w:type="dxa"/>
        <w:jc w:val="left"/>
        <w:tblInd w:w="0" w:type="dxa"/>
        <w:tblLayout w:type="fixed"/>
        <w:tblCellMar>
          <w:top w:w="28" w:type="dxa"/>
          <w:left w:w="28" w:type="dxa"/>
          <w:bottom w:w="28" w:type="dxa"/>
          <w:right w:w="28" w:type="dxa"/>
        </w:tblCellMar>
      </w:tblPr>
      <w:tblGrid>
        <w:gridCol w:w="124"/>
        <w:gridCol w:w="256"/>
        <w:gridCol w:w="1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litigation,</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our intellectual property rights,</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difficulties in integrating future acquisitions,</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emission and discharge standards for existing and new facilities),</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laws and regulations and possible changes therein, including new environmental health and safety or other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global economic and political conditions that disrupt or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- 11 -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interruptions (including, but not limited to, labor disputes, hazardous chemical leaks, natural disasters, fires, explosions, unscheduled or unplanned downtime, transportation interruptions, cyber-attacks and public health crises such as COVID-19);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disruption of our business or increases in the cost of doing business resulting from terrorist activities or global conflicts.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Operating Income Overview </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In the second quarter of 2023 operating income decreased to $4.4 million compared to $7.7 million in the second quarter of 2022. Operating income for the first six months of 2023 was $11.4 million compared to $14.0 million in the first six months of 2022. The decrease in operating income in the second quarter and first six months of 2023 compared to 2022 is primarily due to lower sales and gross margin in the second quarter of 2023 for both Security Products and Marine Components.</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tbl>
      <w:tblPr>
        <w:tblW w:w="6747" w:type="dxa"/>
        <w:jc w:val="left"/>
        <w:tblInd w:w="0" w:type="dxa"/>
        <w:tblLayout w:type="fixed"/>
        <w:tblCellMar>
          <w:top w:w="0" w:type="dxa"/>
          <w:left w:w="0" w:type="dxa"/>
          <w:bottom w:w="0" w:type="dxa"/>
          <w:right w:w="0" w:type="dxa"/>
        </w:tblCellMar>
      </w:tblPr>
      <w:tblGrid>
        <w:gridCol w:w="2506"/>
        <w:gridCol w:w="326"/>
        <w:gridCol w:w="211"/>
        <w:gridCol w:w="676"/>
        <w:gridCol w:w="146"/>
        <w:gridCol w:w="571"/>
        <w:gridCol w:w="361"/>
        <w:gridCol w:w="211"/>
        <w:gridCol w:w="676"/>
        <w:gridCol w:w="146"/>
        <w:gridCol w:w="571"/>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591310" cy="175260"/>
                      <wp:effectExtent l="0" t="0" r="0" b="0"/>
                      <wp:wrapNone/>
                      <wp:docPr id="126" name="Frame12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29260" cy="175260"/>
                      <wp:effectExtent l="0" t="0" r="0" b="0"/>
                      <wp:wrapNone/>
                      <wp:docPr id="129" name="Frame1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92710" cy="175260"/>
                      <wp:effectExtent l="0" t="0" r="0" b="0"/>
                      <wp:wrapNone/>
                      <wp:docPr id="130" name="Frame13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62585" cy="175260"/>
                      <wp:effectExtent l="0" t="0" r="0" b="0"/>
                      <wp:wrapNone/>
                      <wp:docPr id="131" name="Frame13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29235" cy="175260"/>
                      <wp:effectExtent l="0" t="0" r="0" b="0"/>
                      <wp:wrapNone/>
                      <wp:docPr id="132" name="Frame13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29260" cy="175260"/>
                      <wp:effectExtent l="0" t="0" r="0" b="0"/>
                      <wp:wrapNone/>
                      <wp:docPr id="134" name="Frame1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92710" cy="175260"/>
                      <wp:effectExtent l="0" t="0" r="0" b="0"/>
                      <wp:wrapNone/>
                      <wp:docPr id="135" name="Frame13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62585" cy="175260"/>
                      <wp:effectExtent l="0" t="0" r="0" b="0"/>
                      <wp:wrapNone/>
                      <wp:docPr id="136" name="Frame13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569" w:type="dxa"/>
            <w:gridSpan w:val="9"/>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6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0"/>
              <w:ind w:left="0" w:right="0" w:hanging="0"/>
              <w:jc w:val="left"/>
              <w:rPr/>
            </w:pPr>
            <w:r>
              <w:rPr/>
              <w:t>​</w:t>
            </w:r>
          </w:p>
        </w:tc>
      </w:tr>
      <w:tr>
        <w:trPr/>
        <w:tc>
          <w:tcPr>
            <w:tcW w:w="674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69" w:type="dxa"/>
            <w:gridSpan w:val="9"/>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41,675</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36,616</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28,046</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26,343</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71.9</w:t>
            </w:r>
          </w:p>
        </w:tc>
        <w:tc>
          <w:tcPr>
            <w:tcW w:w="34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13,629</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10,273</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28.1</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5,884</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5,906</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w:t>
            </w:r>
          </w:p>
        </w:tc>
        <w:tc>
          <w:tcPr>
            <w:tcW w:w="34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7,745</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4,367</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tbl>
      <w:tblPr>
        <w:tblW w:w="7107" w:type="dxa"/>
        <w:jc w:val="left"/>
        <w:tblInd w:w="0" w:type="dxa"/>
        <w:tblLayout w:type="fixed"/>
        <w:tblCellMar>
          <w:top w:w="0" w:type="dxa"/>
          <w:left w:w="0" w:type="dxa"/>
          <w:bottom w:w="0" w:type="dxa"/>
          <w:right w:w="0" w:type="dxa"/>
        </w:tblCellMar>
      </w:tblPr>
      <w:tblGrid>
        <w:gridCol w:w="2506"/>
        <w:gridCol w:w="326"/>
        <w:gridCol w:w="211"/>
        <w:gridCol w:w="676"/>
        <w:gridCol w:w="326"/>
        <w:gridCol w:w="571"/>
        <w:gridCol w:w="361"/>
        <w:gridCol w:w="211"/>
        <w:gridCol w:w="676"/>
        <w:gridCol w:w="326"/>
        <w:gridCol w:w="571"/>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591310" cy="175260"/>
                      <wp:effectExtent l="0" t="0" r="0" b="0"/>
                      <wp:wrapNone/>
                      <wp:docPr id="138" name="Frame138"/>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29260" cy="175260"/>
                      <wp:effectExtent l="0" t="0" r="0" b="0"/>
                      <wp:wrapNone/>
                      <wp:docPr id="141" name="Frame1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62585" cy="175260"/>
                      <wp:effectExtent l="0" t="0" r="0" b="0"/>
                      <wp:wrapNone/>
                      <wp:docPr id="143" name="Frame14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29235" cy="175260"/>
                      <wp:effectExtent l="0" t="0" r="0" b="0"/>
                      <wp:wrapNone/>
                      <wp:docPr id="144" name="Frame14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29260" cy="175260"/>
                      <wp:effectExtent l="0" t="0" r="0" b="0"/>
                      <wp:wrapNone/>
                      <wp:docPr id="146" name="Frame1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62585" cy="175260"/>
                      <wp:effectExtent l="0" t="0" r="0" b="0"/>
                      <wp:wrapNone/>
                      <wp:docPr id="148" name="Frame1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29" w:type="dxa"/>
            <w:gridSpan w:val="9"/>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2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361"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0"/>
              <w:ind w:left="0" w:right="0" w:hanging="0"/>
              <w:jc w:val="left"/>
              <w:rPr/>
            </w:pPr>
            <w:r>
              <w:rPr/>
              <w:t>​</w:t>
            </w:r>
          </w:p>
        </w:tc>
      </w:tr>
      <w:tr>
        <w:trPr/>
        <w:tc>
          <w:tcPr>
            <w:tcW w:w="710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29" w:type="dxa"/>
            <w:gridSpan w:val="9"/>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83,725</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77,767</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58,016</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54,790</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70.5</w:t>
            </w:r>
          </w:p>
        </w:tc>
        <w:tc>
          <w:tcPr>
            <w:tcW w:w="34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22,977</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29.5</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11,658</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11,570</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w:t>
            </w:r>
          </w:p>
        </w:tc>
        <w:tc>
          <w:tcPr>
            <w:tcW w:w="34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11,407</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 sales</w:t>
      </w:r>
      <w:r>
        <w:rPr>
          <w:rFonts w:ascii="Times New Roman;Times;serif" w:hAnsi="Times New Roman;Times;serif"/>
          <w:sz w:val="20"/>
        </w:rPr>
        <w:t>. Net sales decreased $5.0 million and $5.9 million in the second quarter and for the first six months of 2023, respectively, compared to the same periods in 2022 predominantly due to lower Security Products sales to the government security market and, to a lesser extent, lower Marine Components sales to the towboat market. See segment discussion below.</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 xml:space="preserve">Cost of sales and gross margin. </w:t>
      </w:r>
      <w:r>
        <w:rPr>
          <w:rFonts w:ascii="Times New Roman;Times;serif" w:hAnsi="Times New Roman;Times;serif"/>
          <w:sz w:val="20"/>
        </w:rPr>
        <w:t xml:space="preserve">Cost of sales as a percentage of sales increased 4.6% and 1.2% in the second quarter and for the first six months of 2023, respectively, compared to the same periods in 2022. As a result, gross margin as a percentage of sales decreased over the same periods. Gross margin percentage decreased in the second quarter and for the first six months of 2023 compared to the same periods in 2022 primarily due to lower gross margin at Security Products and Marine Components for the second quarter of 2023. The decrease in gross margin percentage for the six-month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- 12 -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comparative period was partially offset by higher gross margin at Marine Components in the first quarter of 2023. See segment discussion below.</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xml:space="preserve"> Operating costs and expenses consist primarily of sales and administrative-related personnel costs, sales commissions and advertising expenses directly related to product sales and administrative costs relating to business unit and corporate management activities, as well as any gains and losses on property and equipment. Operating costs and expenses for the second quarter of 2023 were comparable to the same period in 2022. Operating costs and expenses for the first six months of 2023 decreased slightly compared to the same period last year primarily due to reduced employee related administrative expenses at Marine Components. Operating costs and expenses as a percentage of net sales increased for the second quarter and the first six months of 2023 due to the effect of lower sales.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Operating income.</w:t>
      </w:r>
      <w:r>
        <w:rPr>
          <w:rFonts w:ascii="Times New Roman;Times;serif" w:hAnsi="Times New Roman;Times;serif"/>
          <w:sz w:val="20"/>
        </w:rPr>
        <w:t xml:space="preserve"> As a percentage of net sales, operating income for the second quarter and first six months of 2023 decreased compared to the same periods of 2022 and was primarily impacted by the factors impacting sales, cost of sales, gross margin and operating costs. See segment discussion below.</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Interest income increased $.7 million and $1.4 million in the second quarter and for the first six months of 2023, respectively, compared to the same periods in 2022 primarily due to higher average interest rates and increased investment balances, somewhat offset by lower average balances on the revolving promissory note receivable from Valhi. See Notes 3 and 10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Provision for income taxes.</w:t>
      </w:r>
      <w:r>
        <w:rPr>
          <w:rFonts w:ascii="Times New Roman;Times;serif" w:hAnsi="Times New Roman;Times;serif"/>
          <w:sz w:val="20"/>
        </w:rPr>
        <w:t xml:space="preserve"> A tabular reconciliation of our actual tax provision to the U.S. federal statutory income tax rate is included in Note 7 to the Condensed Consolidated Financial Statements. Our operations are wholly within the U.S. and therefore our effective income tax rate is primarily reflective of the U.S. federal statutory rate and applicable state taxes.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key performance indicator for our segments is operating income.</w:t>
      </w:r>
    </w:p>
    <w:tbl>
      <w:tblPr>
        <w:tblW w:w="10063" w:type="dxa"/>
        <w:jc w:val="left"/>
        <w:tblInd w:w="0" w:type="dxa"/>
        <w:tblLayout w:type="fixed"/>
        <w:tblCellMar>
          <w:top w:w="0" w:type="dxa"/>
          <w:left w:w="0" w:type="dxa"/>
          <w:bottom w:w="0" w:type="dxa"/>
          <w:right w:w="0" w:type="dxa"/>
        </w:tblCellMar>
      </w:tblPr>
      <w:tblGrid>
        <w:gridCol w:w="2506"/>
        <w:gridCol w:w="326"/>
        <w:gridCol w:w="211"/>
        <w:gridCol w:w="676"/>
        <w:gridCol w:w="361"/>
        <w:gridCol w:w="211"/>
        <w:gridCol w:w="676"/>
        <w:gridCol w:w="391"/>
        <w:gridCol w:w="751"/>
        <w:gridCol w:w="361"/>
        <w:gridCol w:w="211"/>
        <w:gridCol w:w="676"/>
        <w:gridCol w:w="361"/>
        <w:gridCol w:w="211"/>
        <w:gridCol w:w="676"/>
        <w:gridCol w:w="391"/>
        <w:gridCol w:w="75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591310" cy="175260"/>
                      <wp:effectExtent l="0" t="0" r="0" b="0"/>
                      <wp:wrapNone/>
                      <wp:docPr id="150" name="Frame150"/>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29260" cy="175260"/>
                      <wp:effectExtent l="0" t="0" r="0" b="0"/>
                      <wp:wrapNone/>
                      <wp:docPr id="153" name="Frame1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29235" cy="175260"/>
                      <wp:effectExtent l="0" t="0" r="0" b="0"/>
                      <wp:wrapNone/>
                      <wp:docPr id="154" name="Frame1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29260" cy="175260"/>
                      <wp:effectExtent l="0" t="0" r="0" b="0"/>
                      <wp:wrapNone/>
                      <wp:docPr id="156" name="Frame1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48285" cy="175260"/>
                      <wp:effectExtent l="0" t="0" r="0" b="0"/>
                      <wp:wrapNone/>
                      <wp:docPr id="157" name="Frame15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76885" cy="175260"/>
                      <wp:effectExtent l="0" t="0" r="0" b="0"/>
                      <wp:wrapNone/>
                      <wp:docPr id="158" name="Frame15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29235" cy="175260"/>
                      <wp:effectExtent l="0" t="0" r="0" b="0"/>
                      <wp:wrapNone/>
                      <wp:docPr id="159" name="Frame15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29260" cy="175260"/>
                      <wp:effectExtent l="0" t="0" r="0" b="0"/>
                      <wp:wrapNone/>
                      <wp:docPr id="161" name="Frame1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29235" cy="175260"/>
                      <wp:effectExtent l="0" t="0" r="0" b="0"/>
                      <wp:wrapNone/>
                      <wp:docPr id="162" name="Frame16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29260" cy="175260"/>
                      <wp:effectExtent l="0" t="0" r="0" b="0"/>
                      <wp:wrapNone/>
                      <wp:docPr id="164" name="Frame1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48285" cy="175260"/>
                      <wp:effectExtent l="0" t="0" r="0" b="0"/>
                      <wp:wrapNone/>
                      <wp:docPr id="165" name="Frame16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76885" cy="175260"/>
                      <wp:effectExtent l="0" t="0" r="0" b="0"/>
                      <wp:wrapNone/>
                      <wp:docPr id="166" name="Frame16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0660" cy="175260"/>
                      <wp:effectExtent l="0" t="0" r="0" b="0"/>
                      <wp:wrapNone/>
                      <wp:docPr id="167" name="Frame16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left"/>
              <w:rPr/>
            </w:pPr>
            <w:r>
              <w:rPr/>
              <w:t> </w:t>
            </w:r>
          </w:p>
        </w:tc>
      </w:tr>
      <w:tr>
        <w:trPr/>
        <w:tc>
          <w:tcPr>
            <w:tcW w:w="10063"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25,672</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58,418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53,014</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18,888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18,253</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39,388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37,128</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9,949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7,419</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19,030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15,886</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3,285</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6,373</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6,731</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4,134</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12,741</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9,513</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28.9</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16.1</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17.9</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Security Products</w:t>
      </w:r>
      <w:r>
        <w:rPr>
          <w:rFonts w:ascii="Times New Roman;Times;serif" w:hAnsi="Times New Roman;Times;serif"/>
          <w:sz w:val="20"/>
        </w:rPr>
        <w:t>. Security Products net sales decreased 11% in the second quarter of 2023 compared to the same period in 2022. Relative to prior year, second quarter sales were $3.2 million lower to the government security market, (primarily due to non-recurring sales of $2.2 million to a single government security customer in the second quarter of 2022) and $.5 million lower to the office furniture market, partially offset by $1.0 million higher sales to distributors. Security Products net sales decreased 9% in the first six months of 2023 compared to the same period in 2022. Relative to prior year, sales for the first six months were $5.0 million lower to the government security market (primarily due to non-recurring sales of $3.6 million to a single government security customer which shipped in the first and second quarters of 2022), $.8 million lower to the office furniture market and $.5 million lower to the transportation market, partially offset by $1.1 million higher sales to distributors.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Gross margin and operating income as a percentage of net sales for the second quarter and the first six months of 2023 decreased as compared to the same periods in 2022 primarily due to effects of lower sales and decreased coverage of fixed costs and operating costs and expenses as a result of lower sales.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- 13 -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063" w:type="dxa"/>
        <w:jc w:val="left"/>
        <w:tblInd w:w="0" w:type="dxa"/>
        <w:tblLayout w:type="fixed"/>
        <w:tblCellMar>
          <w:top w:w="0" w:type="dxa"/>
          <w:left w:w="0" w:type="dxa"/>
          <w:bottom w:w="0" w:type="dxa"/>
          <w:right w:w="0" w:type="dxa"/>
        </w:tblCellMar>
      </w:tblPr>
      <w:tblGrid>
        <w:gridCol w:w="2506"/>
        <w:gridCol w:w="326"/>
        <w:gridCol w:w="211"/>
        <w:gridCol w:w="676"/>
        <w:gridCol w:w="361"/>
        <w:gridCol w:w="211"/>
        <w:gridCol w:w="676"/>
        <w:gridCol w:w="391"/>
        <w:gridCol w:w="751"/>
        <w:gridCol w:w="361"/>
        <w:gridCol w:w="211"/>
        <w:gridCol w:w="676"/>
        <w:gridCol w:w="361"/>
        <w:gridCol w:w="211"/>
        <w:gridCol w:w="676"/>
        <w:gridCol w:w="391"/>
        <w:gridCol w:w="75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591310" cy="175260"/>
                      <wp:effectExtent l="0" t="0" r="0" b="0"/>
                      <wp:wrapNone/>
                      <wp:docPr id="168" name="Frame168"/>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29260" cy="175260"/>
                      <wp:effectExtent l="0" t="0" r="0" b="0"/>
                      <wp:wrapNone/>
                      <wp:docPr id="171" name="Frame1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29235" cy="175260"/>
                      <wp:effectExtent l="0" t="0" r="0" b="0"/>
                      <wp:wrapNone/>
                      <wp:docPr id="172" name="Frame17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29260" cy="175260"/>
                      <wp:effectExtent l="0" t="0" r="0" b="0"/>
                      <wp:wrapNone/>
                      <wp:docPr id="174" name="Frame1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48285" cy="175260"/>
                      <wp:effectExtent l="0" t="0" r="0" b="0"/>
                      <wp:wrapNone/>
                      <wp:docPr id="175" name="Frame17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76885" cy="175260"/>
                      <wp:effectExtent l="0" t="0" r="0" b="0"/>
                      <wp:wrapNone/>
                      <wp:docPr id="176" name="Frame17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29235" cy="175260"/>
                      <wp:effectExtent l="0" t="0" r="0" b="0"/>
                      <wp:wrapNone/>
                      <wp:docPr id="177" name="Frame17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29260" cy="175260"/>
                      <wp:effectExtent l="0" t="0" r="0" b="0"/>
                      <wp:wrapNone/>
                      <wp:docPr id="179" name="Frame1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29235" cy="175260"/>
                      <wp:effectExtent l="0" t="0" r="0" b="0"/>
                      <wp:wrapNone/>
                      <wp:docPr id="180" name="Frame18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29260" cy="175260"/>
                      <wp:effectExtent l="0" t="0" r="0" b="0"/>
                      <wp:wrapNone/>
                      <wp:docPr id="182" name="Frame1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48285" cy="175260"/>
                      <wp:effectExtent l="0" t="0" r="0" b="0"/>
                      <wp:wrapNone/>
                      <wp:docPr id="183" name="Frame18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76885" cy="175260"/>
                      <wp:effectExtent l="0" t="0" r="0" b="0"/>
                      <wp:wrapNone/>
                      <wp:docPr id="184" name="Frame18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0660" cy="175260"/>
                      <wp:effectExtent l="0" t="0" r="0" b="0"/>
                      <wp:wrapNone/>
                      <wp:docPr id="185" name="Frame18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left"/>
              <w:rPr/>
            </w:pPr>
            <w:r>
              <w:rPr/>
              <w:t> </w:t>
            </w:r>
          </w:p>
        </w:tc>
      </w:tr>
      <w:tr>
        <w:trPr/>
        <w:tc>
          <w:tcPr>
            <w:tcW w:w="10063"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10,944</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25,307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24,753</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8,090</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18,628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17,662</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2,854</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7,091</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911</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1,831</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2,724</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1,943</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4,733</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5,260</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26.1</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28.6</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17.8</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21.2</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Marine Components</w:t>
      </w:r>
      <w:r>
        <w:rPr>
          <w:rFonts w:ascii="Times New Roman;Times;serif" w:hAnsi="Times New Roman;Times;serif"/>
          <w:sz w:val="20"/>
        </w:rPr>
        <w:t xml:space="preserve">. Marine Components net sales decreased 15% in the second quarter of 2023 compared to the same period in 2022. Relative to prior year, second quarter sales were $2.0 million lower to the towboat market, partially offset by $.5 million higher sales to the industrial market. Marine Components net sales decreased 2% in the first six months of 2023 compared to the same period in 2022. Relative to prior year, sales for the first six months were $2.8 million lower to the towboat market, partially offset by $1.7 million higher sales to the industrial market and $.6 million higher sales to marine dealers and distributors.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Gross margin as a percentage of sales decreased in the second quarter of 2023 compared to the same period in 2022 primarily due to lower sales and decreased coverage of fixed costs as a result of lower sales. Operating income as a percentage of net sales decreased in the second quarter of 2023 compared to the same period in 2022 due to the factors impacting gross margin partially offset by reduced operating costs and expenses, including lower employee related administrative expenses of $.1 million. For the first six months of 2023, gross margin as a percentage of net sales increased compared to the same period in 2022 as lower sales and gross margin in the second quarter of 2023 were more than offset by the favorable product mix and, to a lesser extent, increased selling prices and increased production efficiencies experienced in the first quarter of 2023. Operating income as a percentage of net sales increased in the first six months of 2023 compared to the same period in 2022 due to the factors impacting gross margin as well as reduced operating costs and expenses, including lower employee related administrative expenses of $.1 million.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Outlook.</w:t>
      </w:r>
      <w:r>
        <w:rPr>
          <w:rFonts w:ascii="Times New Roman;Times;serif" w:hAnsi="Times New Roman;Times;serif"/>
          <w:sz w:val="20"/>
        </w:rPr>
        <w:t xml:space="preserve"> During the second quarter, we experienced an acceleration in the softening demand we began seeing in the fourth quarter of 2022 at both segments, particularly in Marine Components. Marine Components largely worked through its backlog, primarily related to the towboat market, and Security Products continued to experience declining order rates. During 2023, labor markets have become increasingly more favorable in each of the regions we operate and material prices have either stabilized or, in the case of certain commodity raw materials, started to decline slightly. Our supply chains are stable and transportation and logistical delays are minimal, although we continue to face long lead times related to certain electronic and specialty components. We have adjusted production rates at our facilities to reflect the stability of our raw material supplies and near-term demand levels.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Over the remainder of the year, we expect gross margins at Security Products will be challenged as higher cost inventory works its way through cost of sales and reduced demand limits our ability to implement further price increases. We are in close contact with our key customers and believe reduced order rates will continue through the third quarter. As expected, Marine Components net sales declined during the second quarter due to accelerating weakness in the towboat market. We expect net sales overall will be challenged compared to 2022 as marine demand faces strong headwinds due to higher interest rates and broader market weakness as several original equipment boat manufacturers, including certain of our customers, have publicly announced further reductions to production schedules in 2023 compared to 2022. We have been able to somewhat offset the towboat market sales declines with increased sales to industrial customers but we do not expect increases in sales to the industrial market will fully offset weakened towboat demand. Overall, we expect Marine Components gross margin as a percentage of net sales for the full year of 2023 to be comparable to 2022 as the product mix experienced in the second quarter of 2023 is expected to be more indicative of the product mix for the remainder of the year. Based on the softening demand and general economic conditions in North America, we currently expect to report lower operating income at both segments in 2023 compared to 2022. We are focused on managing inventory levels to align with anticipated near-term demand.  In this regard, we began a planned inventory build during the second quarter at Security Products to fulfill a purchase order received early in the second quarter that is expected to ship over the second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- 14 -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half of the year. Absent this order, inventory balances would have declined at the end of the second quarter in line with current demand. With raw materials and other components more readily available, we believe we will be able to achieve additional operating efficiencies during the year although the extent and impact of such efficiencies is not yet known.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Our expectations for our operations and the markets we serve are based on a number of factors outside our control. As noted above, there continue to be some global and domestic supply chain challenges and any future impacts on our operations will depend on, among other things, any future disruption in our operations or our suppliers’ operations, the impact of economic conditions and geopolitical events on demand for our products or our customers’ and suppliers’ operations, all of which remain uncertain and cannot be predicted.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Consolidated cash flows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Operating activities</w:t>
      </w:r>
      <w:r>
        <w:rPr>
          <w:rFonts w:ascii="Times New Roman;Times;serif" w:hAnsi="Times New Roman;Times;serif"/>
          <w:sz w:val="20"/>
        </w:rPr>
        <w:t>. Trends in cash flows from operating activities, excluding changes in assets and liabilities, have generally been similar to the 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cash provided by operating activities for the first six months of 2023 increased by $8.2 million as compared to the first six months of 2022.  The increase in net cash provided is primarily due to the net effects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$9.5 million decrease in the amount of net cash used by relative changes in our inventories, receivables, prepaids, payables and non-tax related accruals in 2023,</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$2.6 million decrease in operating income in 2023,</w:t>
            </w:r>
          </w:p>
        </w:tc>
      </w:tr>
    </w:tbl>
    <w:tbl>
      <w:tblPr>
        <w:tblW w:w="7161" w:type="dxa"/>
        <w:jc w:val="left"/>
        <w:tblInd w:w="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$.8 million decrease in cash paid for taxes in 2023 due to lower net income,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 million increase in interest received in 2023 due to higher interest rates and increased investment balances, partially offset by lower average balances on our loan to an affiliate.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Relative changes in working capital can have a significant effect on cash flows from operating activities. As shown below, the change in our average days sales outstanding from December 31, 2022 to June 30, 2023 varied by segment primarily as a result of relative changes in the timing of sales and collections relative to the end of the quarter. For comparative purposes, we have provided December 31, 2021 and June 30, 2022 numbers below.</w:t>
      </w:r>
    </w:p>
    <w:tbl>
      <w:tblPr>
        <w:tblW w:w="7834" w:type="dxa"/>
        <w:jc w:val="left"/>
        <w:tblInd w:w="0" w:type="dxa"/>
        <w:tblLayout w:type="fixed"/>
        <w:tblCellMar>
          <w:top w:w="0" w:type="dxa"/>
          <w:left w:w="0" w:type="dxa"/>
          <w:bottom w:w="0" w:type="dxa"/>
          <w:right w:w="0" w:type="dxa"/>
        </w:tblCellMar>
      </w:tblPr>
      <w:tblGrid>
        <w:gridCol w:w="2161"/>
        <w:gridCol w:w="326"/>
        <w:gridCol w:w="1306"/>
        <w:gridCol w:w="326"/>
        <w:gridCol w:w="856"/>
        <w:gridCol w:w="326"/>
        <w:gridCol w:w="1306"/>
        <w:gridCol w:w="326"/>
        <w:gridCol w:w="90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72235" cy="175260"/>
                      <wp:effectExtent l="0" t="0" r="0" b="0"/>
                      <wp:wrapNone/>
                      <wp:docPr id="186" name="Frame186"/>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829310" cy="175260"/>
                      <wp:effectExtent l="0" t="0" r="0" b="0"/>
                      <wp:wrapNone/>
                      <wp:docPr id="188" name="Frame188"/>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43560" cy="175260"/>
                      <wp:effectExtent l="0" t="0" r="0" b="0"/>
                      <wp:wrapNone/>
                      <wp:docPr id="190" name="Frame19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829310" cy="175260"/>
                      <wp:effectExtent l="0" t="0" r="0" b="0"/>
                      <wp:wrapNone/>
                      <wp:docPr id="192" name="Frame19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72135" cy="175260"/>
                      <wp:effectExtent l="0" t="0" r="0" b="0"/>
                      <wp:wrapNone/>
                      <wp:docPr id="194" name="Frame19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1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Sales Outstanding:</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1"/>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46 Days</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45 Days</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40 Days</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30 Days</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28 Days</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30 Days</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30 Days</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42 Days</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38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41 Days</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37 Days</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Our average number of days in inventory increased from December 31, 2022 to June 30, 2023 primarily due to higher inventory balances at both segments as a result of planned inventory build for specific customer orders, most significantly at Security Products, which we expect to begin shipping in the third quarter of 2023.  For comparative purposes, we have provided December 31, 2021 and June 30, 2022 numbers below.</w:t>
      </w:r>
    </w:p>
    <w:tbl>
      <w:tblPr>
        <w:tblW w:w="7703" w:type="dxa"/>
        <w:jc w:val="left"/>
        <w:tblInd w:w="0" w:type="dxa"/>
        <w:tblLayout w:type="fixed"/>
        <w:tblCellMar>
          <w:top w:w="0" w:type="dxa"/>
          <w:left w:w="0" w:type="dxa"/>
          <w:bottom w:w="0" w:type="dxa"/>
          <w:right w:w="0" w:type="dxa"/>
        </w:tblCellMar>
      </w:tblPr>
      <w:tblGrid>
        <w:gridCol w:w="1891"/>
        <w:gridCol w:w="326"/>
        <w:gridCol w:w="1306"/>
        <w:gridCol w:w="326"/>
        <w:gridCol w:w="871"/>
        <w:gridCol w:w="326"/>
        <w:gridCol w:w="1306"/>
        <w:gridCol w:w="326"/>
        <w:gridCol w:w="871"/>
        <w:gridCol w:w="154"/>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200785" cy="175260"/>
                      <wp:effectExtent l="0" t="0" r="0" b="0"/>
                      <wp:wrapNone/>
                      <wp:docPr id="195" name="Frame195"/>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829310" cy="175260"/>
                      <wp:effectExtent l="0" t="0" r="0" b="0"/>
                      <wp:wrapNone/>
                      <wp:docPr id="197" name="Frame197"/>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53085" cy="175260"/>
                      <wp:effectExtent l="0" t="0" r="0" b="0"/>
                      <wp:wrapNone/>
                      <wp:docPr id="199" name="Frame19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829310" cy="175260"/>
                      <wp:effectExtent l="0" t="0" r="0" b="0"/>
                      <wp:wrapNone/>
                      <wp:docPr id="201" name="Frame20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53085" cy="175260"/>
                      <wp:effectExtent l="0" t="0" r="0" b="0"/>
                      <wp:wrapNone/>
                      <wp:docPr id="203" name="Frame20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97790" cy="175260"/>
                      <wp:effectExtent l="0" t="0" r="0" b="0"/>
                      <wp:wrapNone/>
                      <wp:docPr id="204" name="Frame20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154" w:type="dxa"/>
            <w:tcBorders/>
            <w:vAlign w:val="center"/>
          </w:tcPr>
          <w:p>
            <w:pPr>
              <w:pStyle w:val="TableContents"/>
              <w:bidi w:val="0"/>
              <w:spacing w:before="0" w:after="1"/>
              <w:ind w:left="0" w:right="0" w:hanging="0"/>
              <w:jc w:val="center"/>
              <w:rPr/>
            </w:pPr>
            <w:r>
              <w:rPr/>
              <w:t>​</w:t>
            </w:r>
          </w:p>
        </w:tc>
      </w:tr>
      <w:tr>
        <w:trPr/>
        <w:tc>
          <w:tcPr>
            <w:tcW w:w="18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in Inventory:</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54" w:type="dxa"/>
            <w:tcBorders/>
            <w:vAlign w:val="center"/>
          </w:tcPr>
          <w:p>
            <w:pPr>
              <w:pStyle w:val="TableContents"/>
              <w:bidi w:val="0"/>
              <w:spacing w:before="0" w:after="1"/>
              <w:ind w:left="0" w:right="0" w:hanging="0"/>
              <w:jc w:val="center"/>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95 Days</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110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101 Days</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119 Days</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97 Days</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104 Days</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95 Days</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111 Days</w:t>
            </w:r>
          </w:p>
        </w:tc>
        <w:tc>
          <w:tcPr>
            <w:tcW w:w="154" w:type="dxa"/>
            <w:tcBorders/>
            <w:vAlign w:val="center"/>
          </w:tcPr>
          <w:p>
            <w:pPr>
              <w:pStyle w:val="TableContents"/>
              <w:bidi w:val="0"/>
              <w:spacing w:before="0" w:after="1"/>
              <w:ind w:left="0" w:right="0" w:hanging="0"/>
              <w:jc w:val="left"/>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96 Days</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108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99 Days</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117 Days</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 xml:space="preserve">Investing activities. </w:t>
      </w:r>
      <w:r>
        <w:rPr>
          <w:rFonts w:ascii="Times New Roman;Times;serif" w:hAnsi="Times New Roman;Times;serif"/>
          <w:sz w:val="20"/>
        </w:rPr>
        <w:t xml:space="preserve">Our capital expenditures were $.5 million and $2.2 million in the first six months of 2023 and 2022, respectively. During the first six months of 2023, Valhi repaid a net $1.0 million under the promissory note ($13.7 million of gross borrowings and $14.7 million of gross repayments). During the first six months of 2022, Valhi repaid a net $2.1 million under the promissory note ($10.3 million of gross borrowings and $12.4 million of gross repayments).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- 15 -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Note 10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first six months of 2023, we had gross purchases of U.S. treasury marketable securities aggregating $24.9 million and received gross proceeds totaling $12.0 million related to U.S. treasury bill maturities. See Note 3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Financing activities. </w:t>
      </w:r>
      <w:r>
        <w:rPr>
          <w:rFonts w:ascii="Times New Roman;Times;serif" w:hAnsi="Times New Roman;Times;serif"/>
          <w:sz w:val="20"/>
        </w:rPr>
        <w:t>During each of the first six months of 2023 and 2022, we paid aggregate quarterly dividends to CompX stockholders of $.50 per share ($6.2 million).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second quarter of 2022, we acquired 78,900 shares of our Class A common stock (8,900 shares from affiliates and 70,000 shares in a single market transaction) for an aggregate purchase price of $1.7 million. See Note 8 to our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Future cash requirements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Liquidity</w:t>
      </w:r>
      <w:r>
        <w:rPr>
          <w:rFonts w:ascii="Times New Roman;Times;serif" w:hAnsi="Times New Roman;Times;serif"/>
          <w:sz w:val="20"/>
        </w:rPr>
        <w:t>. Our primary source of liquidity on an ongoing basis is our cash flow from operating activities, which is generally used to (i) fund capital 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10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$64.8 million aggregate cash, cash equivalents and marketable securities at June 30, 2023 were held in the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Capital expenditures.</w:t>
      </w:r>
      <w:r>
        <w:rPr>
          <w:rFonts w:ascii="Times New Roman;Times;serif" w:hAnsi="Times New Roman;Times;serif"/>
          <w:sz w:val="20"/>
        </w:rPr>
        <w:t xml:space="preserve"> Firm purchase commitments for capital projects in process at June 30, 2023 totaled $.1 million. We expect our capital expenditures for 2023 will be approximately $2.7 million primarily to meet our existing customer demand and those required to properly maintain our facilities and technology 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Stock repurchase program. </w:t>
      </w:r>
      <w:r>
        <w:rPr>
          <w:rFonts w:ascii="Times New Roman;Times;serif" w:hAnsi="Times New Roman;Times;serif"/>
          <w:sz w:val="20"/>
        </w:rPr>
        <w:t>At June 30, 2023, we have 523,647 shares available for repurchase under a stock repurchase program authorized by our board of directors. See Note 8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Commitments and contingencies. </w:t>
      </w:r>
      <w:r>
        <w:rPr>
          <w:rFonts w:ascii="Times New Roman;Times;serif" w:hAnsi="Times New Roman;Times;serif"/>
          <w:sz w:val="20"/>
        </w:rPr>
        <w:t>There have been no material changes in our contractual obligations since we filed our 2022 Annual Report and we refer you to that report for a complete description of these commitments.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- 16 -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changes in the first six months of 2023 with respect to our critical accounting policies presented in Management’s Discussion and Analysis of Financial Condition and Results of Operations in our 2022 Annual Report.</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b/>
          <w:sz w:val="20"/>
        </w:rPr>
      </w:pPr>
      <w:bookmarkStart w:id="886" w:name="ITEM3QUANTITATIVEANDQUALITATIVE_461712"/>
      <w:bookmarkStart w:id="887" w:name="_610b4536_9bd5_4860_b3ba_327bbfb073b6"/>
      <w:bookmarkEnd w:id="886"/>
      <w:bookmarkEnd w:id="887"/>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exposed to market risk from changes in interest rates and raw material prices. There have been no material changes in these market risks since we filed our 2022 Annual Report, and we refer you to Part I, Item 7A – “Quantitative and Qualitative Disclosure About Market Risk” in our 2022 Annual Report. See also Note 9 to the Condensed Consolidated Financial Statements.</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b/>
          <w:sz w:val="20"/>
        </w:rPr>
      </w:pPr>
      <w:bookmarkStart w:id="888" w:name="ITEM4CONTROLSANDPROCEDURES_115866"/>
      <w:bookmarkStart w:id="889" w:name="_0f7c7b62_bff5_4ad7_a4dd_30a893628ff2"/>
      <w:bookmarkEnd w:id="888"/>
      <w:bookmarkEnd w:id="889"/>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Evaluation of Disclosure Controls and Procedures. </w:t>
      </w:r>
      <w:r>
        <w:rPr>
          <w:rFonts w:ascii="Times New Roman;Times;serif" w:hAnsi="Times New Roman;Times;serif"/>
          <w:sz w:val="20"/>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Executive Vice President and Chief Financial Officer, has evaluated the design and operating effectiveness of our disclosure controls and procedures as of June 30, 2023. Based upon their evaluation, these executive officers have concluded that our disclosure controls and procedures are effective as of the date of such evaluation.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Internal Control Over Financial Reporting</w:t>
      </w:r>
      <w:r>
        <w:rPr>
          <w:rFonts w:ascii="Times New Roman;Times;serif" w:hAnsi="Times New Roman;Times;serif"/>
          <w:sz w:val="20"/>
        </w:rPr>
        <w:t>. Our management is responsible for establishing and maintaining 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an unauthorized acquisition, use or disposition of our assets that could have a material effect on our Condensed Consolidated Financial Statements.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Changes in Internal Control Over Financial Reporting</w:t>
      </w:r>
      <w:r>
        <w:rPr>
          <w:rFonts w:ascii="Times New Roman;Times;serif" w:hAnsi="Times New Roman;Times;serif"/>
          <w:sz w:val="20"/>
        </w:rPr>
        <w:t>. There have been no changes in our internal control over financial reporting during the quarter ended June 30, 2023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- 17 -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90" w:name="PartIIOTHERINFORMATION_828529"/>
      <w:bookmarkStart w:id="891" w:name="_91173441_7099_4f85_ac52_588a31826fc7"/>
      <w:bookmarkEnd w:id="890"/>
      <w:bookmarkEnd w:id="891"/>
      <w:r>
        <w:rPr>
          <w:rFonts w:ascii="Times New Roman;Times;serif" w:hAnsi="Times New Roman;Times;serif"/>
          <w:b/>
          <w:sz w:val="20"/>
        </w:rPr>
        <w:t>Part II. OTHER INFORMATION</w:t>
      </w:r>
    </w:p>
    <w:p>
      <w:pPr>
        <w:pStyle w:val="TextBody"/>
        <w:pBdr/>
        <w:bidi w:val="0"/>
        <w:spacing w:before="0" w:after="240"/>
        <w:ind w:left="0" w:right="0" w:hanging="0"/>
        <w:jc w:val="left"/>
        <w:rPr>
          <w:rFonts w:ascii="Times New Roman;Times;serif" w:hAnsi="Times New Roman;Times;serif"/>
          <w:b/>
          <w:sz w:val="20"/>
        </w:rPr>
      </w:pPr>
      <w:bookmarkStart w:id="892" w:name="ITEM1ARiskFactors_841388"/>
      <w:bookmarkEnd w:id="892"/>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 is made to the 2022 Annual Report for a discussion of risk factors related to our businesses.</w:t>
      </w:r>
    </w:p>
    <w:p>
      <w:pPr>
        <w:pStyle w:val="TextBody"/>
        <w:pBdr/>
        <w:bidi w:val="0"/>
        <w:spacing w:before="0" w:after="240"/>
        <w:ind w:left="0" w:right="0" w:hanging="0"/>
        <w:jc w:val="left"/>
        <w:rPr>
          <w:rFonts w:ascii="Times New Roman;Times;serif" w:hAnsi="Times New Roman;Times;serif"/>
          <w:sz w:val="20"/>
        </w:rPr>
      </w:pPr>
      <w:bookmarkStart w:id="893" w:name="ITEM6Exhibits_812943"/>
      <w:bookmarkStart w:id="894" w:name="_b56683cf_27f5_43ae_bd7b_7563ffa04d5e"/>
      <w:bookmarkEnd w:id="893"/>
      <w:bookmarkEnd w:id="894"/>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858"/>
        <w:gridCol w:w="326"/>
        <w:gridCol w:w="9021"/>
      </w:tblGrid>
      <w:tr>
        <w:trPr/>
        <w:tc>
          <w:tcPr>
            <w:tcW w:w="85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72415" cy="175260"/>
                      <wp:effectExtent l="0" t="0" r="0" b="0"/>
                      <wp:wrapNone/>
                      <wp:docPr id="205" name="Frame205"/>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03505" cy="175260"/>
                      <wp:effectExtent l="0" t="0" r="0" b="0"/>
                      <wp:wrapNone/>
                      <wp:docPr id="206" name="Frame206"/>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02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863850" cy="175260"/>
                      <wp:effectExtent l="0" t="0" r="0" b="0"/>
                      <wp:wrapNone/>
                      <wp:docPr id="207" name="Frame207"/>
                      <a:graphic xmlns:a="http://schemas.openxmlformats.org/drawingml/2006/main">
                        <a:graphicData uri="http://schemas.microsoft.com/office/word/2010/wordprocessingShape">
                          <wps:wsp>
                            <wps:cNvSpPr txBox="1"/>
                            <wps:spPr>
                              <a:xfrm>
                                <a:off x="0" y="0"/>
                                <a:ext cx="286385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58" w:type="dxa"/>
            <w:tcBorders>
              <w:bottom w:val="single" w:sz="2" w:space="0" w:color="000000"/>
            </w:tcBorders>
            <w:tcMar>
              <w:bottom w:w="28" w:type="dxa"/>
            </w:tcMar>
            <w:vAlign w:val="center"/>
          </w:tcPr>
          <w:p>
            <w:pPr>
              <w:pStyle w:val="TableHeading"/>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No.</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    </w:t>
            </w:r>
          </w:p>
        </w:tc>
        <w:tc>
          <w:tcPr>
            <w:tcW w:w="9021" w:type="dxa"/>
            <w:tcBorders>
              <w:bottom w:val="single" w:sz="2" w:space="0" w:color="000000"/>
            </w:tcBorders>
            <w:tcMar>
              <w:bottom w:w="28" w:type="dxa"/>
            </w:tcMar>
            <w:vAlign w:val="center"/>
          </w:tcPr>
          <w:p>
            <w:pPr>
              <w:pStyle w:val="TableHeading"/>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Exhibit Index</w:t>
            </w:r>
          </w:p>
        </w:tc>
      </w:tr>
      <w:tr>
        <w:trPr/>
        <w:tc>
          <w:tcPr>
            <w:tcW w:w="85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pPr>
            <w:hyperlink w:anchor="cik-20230630xex31d1.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pPr>
            <w:hyperlink w:anchor="cik-20230630xex31d2.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pPr>
            <w:hyperlink w:anchor="cik-20230630xex32d1.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Schema</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8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bookmarkStart w:id="895" w:name="_dad2aaa7_0048_4b6c_b77e_fe6408b02184"/>
      <w:bookmarkEnd w:id="895"/>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- 18 -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064" w:type="dxa"/>
        <w:jc w:val="left"/>
        <w:tblInd w:w="0" w:type="dxa"/>
        <w:tblLayout w:type="fixed"/>
        <w:tblCellMar>
          <w:top w:w="0" w:type="dxa"/>
          <w:left w:w="0" w:type="dxa"/>
          <w:bottom w:w="0" w:type="dxa"/>
          <w:right w:w="0" w:type="dxa"/>
        </w:tblCellMar>
      </w:tblPr>
      <w:tblGrid>
        <w:gridCol w:w="1891"/>
        <w:gridCol w:w="326"/>
        <w:gridCol w:w="406"/>
        <w:gridCol w:w="444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200785" cy="175260"/>
                      <wp:effectExtent l="0" t="0" r="0" b="0"/>
                      <wp:wrapNone/>
                      <wp:docPr id="208" name="Frame208"/>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57810" cy="175260"/>
                      <wp:effectExtent l="0" t="0" r="0" b="0"/>
                      <wp:wrapNone/>
                      <wp:docPr id="209" name="Frame20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820035" cy="175260"/>
                      <wp:effectExtent l="0" t="0" r="0" b="0"/>
                      <wp:wrapNone/>
                      <wp:docPr id="210" name="Frame210"/>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8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COMPX INTERNATIONAL INC.</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47" w:type="dxa"/>
            <w:gridSpan w:val="2"/>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 2023</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E. Ruf</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E. Ruf</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Controller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- 19 -</w:t>
      </w:r>
    </w:p>
    <w:p>
      <w:pPr>
        <w:pStyle w:val="TextBody"/>
        <w:bidi w:val="0"/>
        <w:spacing w:before="0" w:after="240"/>
        <w:ind w:left="0" w:right="0" w:hanging="0"/>
        <w:jc w:val="right"/>
        <w:rPr>
          <w:rFonts w:ascii="Times New Roman;Times;serif" w:hAnsi="Times New Roman;Times;serif"/>
          <w:b/>
          <w:sz w:val="20"/>
        </w:rPr>
      </w:pPr>
      <w:bookmarkStart w:id="896" w:name="cik-20230630xex31d1.htm"/>
      <w:bookmarkStart w:id="897" w:name="kscik20230630xex31d1"/>
      <w:bookmarkEnd w:id="896"/>
      <w:bookmarkEnd w:id="897"/>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Scott C. James, certify that:</w:t>
      </w:r>
    </w:p>
    <w:tbl>
      <w:tblPr>
        <w:tblW w:w="6685" w:type="dxa"/>
        <w:jc w:val="left"/>
        <w:tblInd w:w="0" w:type="dxa"/>
        <w:tblLayout w:type="fixed"/>
        <w:tblCellMar>
          <w:top w:w="0" w:type="dxa"/>
          <w:left w:w="0" w:type="dxa"/>
          <w:bottom w:w="0" w:type="dxa"/>
          <w:right w:w="0" w:type="dxa"/>
        </w:tblCellMar>
      </w:tblPr>
      <w:tblGrid>
        <w:gridCol w:w="185"/>
        <w:gridCol w:w="65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 2023</w:t>
      </w:r>
    </w:p>
    <w:p>
      <w:pPr>
        <w:pStyle w:val="TextBody"/>
        <w:bidi w:val="0"/>
        <w:spacing w:before="0" w:after="0"/>
        <w:ind w:left="0" w:right="0" w:hanging="0"/>
        <w:jc w:val="left"/>
        <w:rPr/>
      </w:pPr>
      <w:r>
        <w:rPr/>
        <w:t>​</w:t>
      </w:r>
    </w:p>
    <w:tbl>
      <w:tblPr>
        <w:tblW w:w="3741" w:type="dxa"/>
        <w:jc w:val="center"/>
        <w:tblInd w:w="0" w:type="dxa"/>
        <w:tblLayout w:type="fixed"/>
        <w:tblCellMar>
          <w:top w:w="0" w:type="dxa"/>
          <w:left w:w="0" w:type="dxa"/>
          <w:bottom w:w="0" w:type="dxa"/>
          <w:right w:w="0" w:type="dxa"/>
        </w:tblCellMar>
      </w:tblPr>
      <w:tblGrid>
        <w:gridCol w:w="421"/>
        <w:gridCol w:w="3166"/>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C. James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31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98" w:name="cik-20230630xex31d2.htm"/>
      <w:bookmarkStart w:id="899" w:name="kscik20230630xex31d2"/>
      <w:bookmarkEnd w:id="898"/>
      <w:bookmarkEnd w:id="899"/>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Amy A. Samford, certify that:</w:t>
      </w:r>
    </w:p>
    <w:tbl>
      <w:tblPr>
        <w:tblW w:w="6685" w:type="dxa"/>
        <w:jc w:val="left"/>
        <w:tblInd w:w="0" w:type="dxa"/>
        <w:tblLayout w:type="fixed"/>
        <w:tblCellMar>
          <w:top w:w="0" w:type="dxa"/>
          <w:left w:w="0" w:type="dxa"/>
          <w:bottom w:w="0" w:type="dxa"/>
          <w:right w:w="0" w:type="dxa"/>
        </w:tblCellMar>
      </w:tblPr>
      <w:tblGrid>
        <w:gridCol w:w="185"/>
        <w:gridCol w:w="65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 2023</w:t>
      </w:r>
    </w:p>
    <w:p>
      <w:pPr>
        <w:pStyle w:val="TextBody"/>
        <w:bidi w:val="0"/>
        <w:spacing w:before="0" w:after="0"/>
        <w:ind w:left="0" w:right="0" w:hanging="0"/>
        <w:jc w:val="left"/>
        <w:rPr/>
      </w:pPr>
      <w:r>
        <w:rPr/>
        <w:t>​</w:t>
      </w:r>
    </w:p>
    <w:tbl>
      <w:tblPr>
        <w:tblW w:w="4971" w:type="dxa"/>
        <w:jc w:val="center"/>
        <w:tblInd w:w="0" w:type="dxa"/>
        <w:tblLayout w:type="fixed"/>
        <w:tblCellMar>
          <w:top w:w="0" w:type="dxa"/>
          <w:left w:w="0" w:type="dxa"/>
          <w:bottom w:w="0" w:type="dxa"/>
          <w:right w:w="0" w:type="dxa"/>
        </w:tblCellMar>
      </w:tblPr>
      <w:tblGrid>
        <w:gridCol w:w="421"/>
        <w:gridCol w:w="4396"/>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67335" cy="175260"/>
                      <wp:effectExtent l="0" t="0" r="0" b="0"/>
                      <wp:wrapNone/>
                      <wp:docPr id="211" name="Frame21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791460" cy="175260"/>
                      <wp:effectExtent l="0" t="0" r="0" b="0"/>
                      <wp:wrapNone/>
                      <wp:docPr id="212" name="Frame212"/>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00" w:name="cik-20230630xex32d1.htm"/>
      <w:bookmarkStart w:id="901" w:name="kscik20230630xex32d1"/>
      <w:bookmarkEnd w:id="900"/>
      <w:bookmarkEnd w:id="901"/>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CompX International Inc. (the Company) on Form 10-Q for the period ending June 30, 2023,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pPr>
      <w:r>
        <w:rPr/>
        <w:t>​</w:t>
      </w:r>
    </w:p>
    <w:tbl>
      <w:tblPr>
        <w:tblW w:w="5016" w:type="dxa"/>
        <w:jc w:val="center"/>
        <w:tblInd w:w="0" w:type="dxa"/>
        <w:tblLayout w:type="fixed"/>
        <w:tblCellMar>
          <w:top w:w="0" w:type="dxa"/>
          <w:left w:w="0" w:type="dxa"/>
          <w:bottom w:w="0" w:type="dxa"/>
          <w:right w:w="0" w:type="dxa"/>
        </w:tblCellMar>
      </w:tblPr>
      <w:tblGrid>
        <w:gridCol w:w="421"/>
        <w:gridCol w:w="4441"/>
        <w:gridCol w:w="154"/>
      </w:tblGrid>
      <w:tr>
        <w:trPr/>
        <w:tc>
          <w:tcPr>
            <w:tcW w:w="42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Scott C. James</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Amy A. Samford</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Executive Vice President and Chief Financial Officer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Date: August 1, 2023</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8925</Words>
  <Characters>48136</Characters>
  <CharactersWithSpaces>58364</CharactersWithSpaces>
  <Paragraphs>3788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