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22, 2019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75240-2620</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41"/>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4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0"/>
              </w:rPr>
              <w:t>Class A common stock</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88"/>
              </w:rPr>
              <w:t>($.01 par value per share)</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CIX</w:t>
            </w:r>
          </w:p>
        </w:tc>
        <w:tc>
          <w:tcPr>
            <w:tcW w:w="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29"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held its 2019 annual meeting of stockholders on May 22, 2019. At the 2019 annual meeting, the registrant’s stockholders voted on the two proposals described in detail in the registrant’s definitive proxy statement on Schedule 14A filed with the U.S. Securities and Exchange Commission on April 16, 2019. Stockholders present at the 2019 annual meeting, either in person or by proxy, represented 97.4% of the 12,435,557 shares eligible to vote at the meeting.</w:t>
      </w:r>
    </w:p>
    <w:p>
      <w:pPr>
        <w:spacing w:after="0" w:line="214"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ROPOSAL</w:t>
      </w:r>
      <w:r>
        <w:rPr>
          <w:rFonts w:ascii="Arial" w:cs="Arial" w:eastAsia="Arial" w:hAnsi="Arial"/>
          <w:sz w:val="18"/>
          <w:szCs w:val="18"/>
          <w:color w:val="auto"/>
        </w:rPr>
        <w:t xml:space="preserve"> 1:</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LECTION OF</w:t>
      </w:r>
      <w:r>
        <w:rPr>
          <w:rFonts w:ascii="Arial" w:cs="Arial" w:eastAsia="Arial" w:hAnsi="Arial"/>
          <w:sz w:val="17"/>
          <w:szCs w:val="17"/>
          <w:color w:val="auto"/>
        </w:rPr>
        <w:t xml:space="preserve"> D</w:t>
      </w:r>
      <w:r>
        <w:rPr>
          <w:rFonts w:ascii="Arial" w:cs="Arial" w:eastAsia="Arial" w:hAnsi="Arial"/>
          <w:sz w:val="11"/>
          <w:szCs w:val="11"/>
          <w:color w:val="auto"/>
        </w:rPr>
        <w:t>IRECTORS</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registrant’s stockholders elected Thomas E. Barry, David A. Bowers, Loretta J. Feehan, Robert D. Graham, Terri L. Herrington, Ann Manix and Mary A. Tidlund as directors. Each director nominee received votes “For” his or her election from at least 92.9% of the shares eligible to vote at the annual meeting.</w:t>
      </w:r>
    </w:p>
    <w:p>
      <w:pPr>
        <w:spacing w:after="0" w:line="208"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ROPOSAL</w:t>
      </w:r>
      <w:r>
        <w:rPr>
          <w:rFonts w:ascii="Arial" w:cs="Arial" w:eastAsia="Arial" w:hAnsi="Arial"/>
          <w:sz w:val="18"/>
          <w:szCs w:val="18"/>
          <w:color w:val="auto"/>
        </w:rPr>
        <w:t xml:space="preserve"> 2:</w:t>
      </w:r>
      <w:r>
        <w:rPr>
          <w:sz w:val="20"/>
          <w:szCs w:val="20"/>
          <w:color w:val="auto"/>
        </w:rPr>
        <w:tab/>
      </w:r>
      <w:r>
        <w:rPr>
          <w:rFonts w:ascii="Arial" w:cs="Arial" w:eastAsia="Arial" w:hAnsi="Arial"/>
          <w:sz w:val="17"/>
          <w:szCs w:val="17"/>
          <w:color w:val="auto"/>
        </w:rPr>
        <w:t>S</w:t>
      </w:r>
      <w:r>
        <w:rPr>
          <w:rFonts w:ascii="Arial" w:cs="Arial" w:eastAsia="Arial" w:hAnsi="Arial"/>
          <w:sz w:val="11"/>
          <w:szCs w:val="11"/>
          <w:color w:val="auto"/>
        </w:rPr>
        <w:t>AY</w:t>
      </w:r>
      <w:r>
        <w:rPr>
          <w:rFonts w:ascii="Arial" w:cs="Arial" w:eastAsia="Arial" w:hAnsi="Arial"/>
          <w:sz w:val="17"/>
          <w:szCs w:val="17"/>
          <w:color w:val="auto"/>
        </w:rPr>
        <w:t>-</w:t>
      </w:r>
      <w:r>
        <w:rPr>
          <w:rFonts w:ascii="Arial" w:cs="Arial" w:eastAsia="Arial" w:hAnsi="Arial"/>
          <w:sz w:val="11"/>
          <w:szCs w:val="11"/>
          <w:color w:val="auto"/>
        </w:rPr>
        <w:t>ON</w:t>
      </w:r>
      <w:r>
        <w:rPr>
          <w:rFonts w:ascii="Arial" w:cs="Arial" w:eastAsia="Arial" w:hAnsi="Arial"/>
          <w:sz w:val="17"/>
          <w:szCs w:val="17"/>
          <w:color w:val="auto"/>
        </w:rPr>
        <w:t>-P</w:t>
      </w:r>
      <w:r>
        <w:rPr>
          <w:rFonts w:ascii="Arial" w:cs="Arial" w:eastAsia="Arial" w:hAnsi="Arial"/>
          <w:sz w:val="11"/>
          <w:szCs w:val="11"/>
          <w:color w:val="auto"/>
        </w:rPr>
        <w:t>AY</w:t>
      </w:r>
      <w:r>
        <w:rPr>
          <w:rFonts w:ascii="Arial" w:cs="Arial" w:eastAsia="Arial" w:hAnsi="Arial"/>
          <w:sz w:val="17"/>
          <w:szCs w:val="17"/>
          <w:color w:val="auto"/>
        </w:rPr>
        <w:t>, N</w:t>
      </w:r>
      <w:r>
        <w:rPr>
          <w:rFonts w:ascii="Arial" w:cs="Arial" w:eastAsia="Arial" w:hAnsi="Arial"/>
          <w:sz w:val="11"/>
          <w:szCs w:val="11"/>
          <w:color w:val="auto"/>
        </w:rPr>
        <w:t>ONBINDING</w:t>
      </w:r>
      <w:r>
        <w:rPr>
          <w:rFonts w:ascii="Arial" w:cs="Arial" w:eastAsia="Arial" w:hAnsi="Arial"/>
          <w:sz w:val="17"/>
          <w:szCs w:val="17"/>
          <w:color w:val="auto"/>
        </w:rPr>
        <w:t xml:space="preserve"> A</w:t>
      </w:r>
      <w:r>
        <w:rPr>
          <w:rFonts w:ascii="Arial" w:cs="Arial" w:eastAsia="Arial" w:hAnsi="Arial"/>
          <w:sz w:val="11"/>
          <w:szCs w:val="11"/>
          <w:color w:val="auto"/>
        </w:rPr>
        <w:t>DVISORY</w:t>
      </w:r>
      <w:r>
        <w:rPr>
          <w:rFonts w:ascii="Arial" w:cs="Arial" w:eastAsia="Arial" w:hAnsi="Arial"/>
          <w:sz w:val="17"/>
          <w:szCs w:val="17"/>
          <w:color w:val="auto"/>
        </w:rPr>
        <w:t xml:space="preserve"> V</w:t>
      </w:r>
      <w:r>
        <w:rPr>
          <w:rFonts w:ascii="Arial" w:cs="Arial" w:eastAsia="Arial" w:hAnsi="Arial"/>
          <w:sz w:val="11"/>
          <w:szCs w:val="11"/>
          <w:color w:val="auto"/>
        </w:rPr>
        <w:t>OTE</w:t>
      </w:r>
      <w:r>
        <w:rPr>
          <w:rFonts w:ascii="Arial" w:cs="Arial" w:eastAsia="Arial" w:hAnsi="Arial"/>
          <w:sz w:val="17"/>
          <w:szCs w:val="17"/>
          <w:color w:val="auto"/>
        </w:rPr>
        <w:t xml:space="preserve"> A</w:t>
      </w:r>
      <w:r>
        <w:rPr>
          <w:rFonts w:ascii="Arial" w:cs="Arial" w:eastAsia="Arial" w:hAnsi="Arial"/>
          <w:sz w:val="11"/>
          <w:szCs w:val="11"/>
          <w:color w:val="auto"/>
        </w:rPr>
        <w:t>PPROVING</w:t>
      </w:r>
      <w:r>
        <w:rPr>
          <w:rFonts w:ascii="Arial" w:cs="Arial" w:eastAsia="Arial" w:hAnsi="Arial"/>
          <w:sz w:val="17"/>
          <w:szCs w:val="17"/>
          <w:color w:val="auto"/>
        </w:rPr>
        <w:t xml:space="preserve"> E</w:t>
      </w:r>
      <w:r>
        <w:rPr>
          <w:rFonts w:ascii="Arial" w:cs="Arial" w:eastAsia="Arial" w:hAnsi="Arial"/>
          <w:sz w:val="11"/>
          <w:szCs w:val="11"/>
          <w:color w:val="auto"/>
        </w:rPr>
        <w:t>XECUTIVE</w:t>
      </w:r>
      <w:r>
        <w:rPr>
          <w:rFonts w:ascii="Arial" w:cs="Arial" w:eastAsia="Arial" w:hAnsi="Arial"/>
          <w:sz w:val="17"/>
          <w:szCs w:val="17"/>
          <w:color w:val="auto"/>
        </w:rPr>
        <w:t xml:space="preserve"> C</w:t>
      </w:r>
      <w:r>
        <w:rPr>
          <w:rFonts w:ascii="Arial" w:cs="Arial" w:eastAsia="Arial" w:hAnsi="Arial"/>
          <w:sz w:val="11"/>
          <w:szCs w:val="11"/>
          <w:color w:val="auto"/>
        </w:rPr>
        <w:t>OMPENSATION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registrant’s stockholders adopted a resolution, on a nonbinding advisory basis, approving the compensation of the registrant’s named executive officers as described in the registrant’s 2019 proxy statement. The resolution received the approval from 94.1% of the shares eligible to vote at the annual meeting.</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registrant hereby furnishes the information set forth in its press release issued on May 22, 2019, a copy of which is attached hereto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Item No.</w:t>
            </w:r>
          </w:p>
        </w:tc>
        <w:tc>
          <w:tcPr>
            <w:tcW w:w="320" w:type="dxa"/>
            <w:vAlign w:val="bottom"/>
          </w:tcPr>
          <w:p>
            <w:pPr>
              <w:spacing w:after="0"/>
              <w:rPr>
                <w:sz w:val="20"/>
                <w:szCs w:val="20"/>
                <w:color w:val="auto"/>
              </w:rPr>
            </w:pPr>
          </w:p>
        </w:tc>
        <w:tc>
          <w:tcPr>
            <w:tcW w:w="8160" w:type="dxa"/>
            <w:vAlign w:val="bottom"/>
            <w:tcBorders>
              <w:bottom w:val="single" w:sz="8" w:color="auto"/>
            </w:tcBorders>
            <w:gridSpan w:val="2"/>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80" w:type="dxa"/>
            <w:vAlign w:val="bottom"/>
          </w:tcPr>
          <w:p>
            <w:pPr>
              <w:spacing w:after="0"/>
              <w:rPr>
                <w:sz w:val="24"/>
                <w:szCs w:val="24"/>
                <w:color w:val="auto"/>
              </w:rPr>
            </w:pPr>
          </w:p>
        </w:tc>
        <w:tc>
          <w:tcPr>
            <w:tcW w:w="2260" w:type="dxa"/>
            <w:vAlign w:val="bottom"/>
          </w:tcPr>
          <w:p>
            <w:pPr>
              <w:jc w:val="right"/>
              <w:ind w:right="890"/>
              <w:spacing w:after="0"/>
              <w:rPr>
                <w:sz w:val="20"/>
                <w:szCs w:val="20"/>
                <w:color w:val="auto"/>
              </w:rPr>
            </w:pPr>
            <w:r>
              <w:rPr>
                <w:rFonts w:ascii="Arial" w:cs="Arial" w:eastAsia="Arial" w:hAnsi="Arial"/>
                <w:sz w:val="18"/>
                <w:szCs w:val="18"/>
                <w:color w:val="auto"/>
              </w:rPr>
              <w:t>99.1</w:t>
            </w:r>
          </w:p>
        </w:tc>
        <w:tc>
          <w:tcPr>
            <w:tcW w:w="8480" w:type="dxa"/>
            <w:vAlign w:val="bottom"/>
            <w:gridSpan w:val="3"/>
          </w:tcPr>
          <w:p>
            <w:pPr>
              <w:ind w:left="32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22, 2019 issued by the registrant</w:t>
              </w:r>
            </w:hyperlink>
            <w:r>
              <w:rPr>
                <w:rFonts w:ascii="Arial" w:cs="Arial" w:eastAsia="Arial" w:hAnsi="Arial"/>
                <w:sz w:val="18"/>
                <w:szCs w:val="18"/>
                <w:color w:val="000000"/>
              </w:rPr>
              <w:t>.</w:t>
            </w:r>
          </w:p>
        </w:tc>
      </w:tr>
      <w:tr>
        <w:trPr>
          <w:trHeight w:val="689"/>
        </w:trPr>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20" w:type="dxa"/>
            <w:vAlign w:val="bottom"/>
            <w:tcBorders>
              <w:top w:val="single" w:sz="8" w:color="0000EE"/>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gridSpan w:val="2"/>
          </w:tcPr>
          <w:p>
            <w:pPr>
              <w:ind w:left="5680"/>
              <w:spacing w:after="0"/>
              <w:rPr>
                <w:sz w:val="20"/>
                <w:szCs w:val="20"/>
                <w:color w:val="auto"/>
              </w:rPr>
            </w:pPr>
            <w:r>
              <w:rPr>
                <w:rFonts w:ascii="Arial" w:cs="Arial" w:eastAsia="Arial" w:hAnsi="Arial"/>
                <w:sz w:val="18"/>
                <w:szCs w:val="18"/>
                <w:color w:val="auto"/>
              </w:rPr>
              <w:t>By:</w:t>
            </w:r>
          </w:p>
        </w:tc>
        <w:tc>
          <w:tcPr>
            <w:tcW w:w="5380" w:type="dxa"/>
            <w:vAlign w:val="bottom"/>
          </w:tcPr>
          <w:p>
            <w:pPr>
              <w:ind w:left="380"/>
              <w:spacing w:after="0"/>
              <w:rPr>
                <w:sz w:val="20"/>
                <w:szCs w:val="20"/>
                <w:color w:val="auto"/>
              </w:rPr>
            </w:pPr>
            <w:r>
              <w:rPr>
                <w:rFonts w:ascii="Arial" w:cs="Arial" w:eastAsia="Arial" w:hAnsi="Arial"/>
                <w:sz w:val="18"/>
                <w:szCs w:val="18"/>
                <w:color w:val="auto"/>
              </w:rPr>
              <w:t>/s/ Jane Grimm</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22, 2019</w:t>
            </w:r>
          </w:p>
        </w:tc>
        <w:tc>
          <w:tcPr>
            <w:tcW w:w="360" w:type="dxa"/>
            <w:vAlign w:val="bottom"/>
            <w:tcBorders>
              <w:top w:val="single" w:sz="8" w:color="auto"/>
            </w:tcBorders>
          </w:tcPr>
          <w:p>
            <w:pPr>
              <w:spacing w:after="0"/>
              <w:rPr>
                <w:sz w:val="20"/>
                <w:szCs w:val="20"/>
                <w:color w:val="auto"/>
              </w:rPr>
            </w:pPr>
          </w:p>
        </w:tc>
        <w:tc>
          <w:tcPr>
            <w:tcW w:w="5380" w:type="dxa"/>
            <w:vAlign w:val="bottom"/>
            <w:tcBorders>
              <w:top w:val="single" w:sz="8" w:color="auto"/>
            </w:tcBorders>
          </w:tcPr>
          <w:p>
            <w:pPr>
              <w:ind w:left="120"/>
              <w:spacing w:after="0"/>
              <w:rPr>
                <w:sz w:val="20"/>
                <w:szCs w:val="20"/>
                <w:color w:val="auto"/>
              </w:rPr>
            </w:pPr>
            <w:r>
              <w:rPr>
                <w:rFonts w:ascii="Arial" w:cs="Arial" w:eastAsia="Arial" w:hAnsi="Arial"/>
                <w:sz w:val="18"/>
                <w:szCs w:val="18"/>
                <w:i w:val="1"/>
                <w:iCs w:val="1"/>
                <w:color w:val="auto"/>
              </w:rPr>
              <w:t>Jane Grimm, Vice President and Secretary</w:t>
            </w: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7510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0"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439"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ANNOUNCES REGULAR QUARTERLY DIVIDEND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THE ANNUAL STOCKHOLDER MEETING</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DALLAS, TEXAS . . . May 22, 2019 . . . CompX International Inc. (NYSE American: CIX) announced today that its board of directors has declared CompX’s regular quarterly dividend of seven cents ($0.07) per share on its class A common stock, payable on June 11, 2019 to stockholders of record at the close of business on June 4, 2019.</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also announced that at its annual stockholder meeting held on May 22, 2019, its stockholders:</w:t>
      </w:r>
    </w:p>
    <w:p>
      <w:pPr>
        <w:spacing w:after="0" w:line="252" w:lineRule="exact"/>
        <w:rPr>
          <w:sz w:val="20"/>
          <w:szCs w:val="20"/>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elected each of Thomas E. Barry, David A. Bowers, Loretta J. Feehan, Robert D. Graham, Terri L. Herrington, Ann Manix and Mary A. Tidlund as a director for a one year term; and</w:t>
      </w:r>
    </w:p>
    <w:p>
      <w:pPr>
        <w:spacing w:after="0" w:line="197"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adopted a resolution that approved, on a nonbinding advisory basis, the compensation of its named executive officers as disclosed in the proxy statement for the 2019 annual stockholder meeting.</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is a leading manufacturer of security products and recreational marine components.</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2019-12-28T11:38:44Z</dcterms:created>
  <dcterms:modified xsi:type="dcterms:W3CDTF">2019-12-28T11:38:44Z</dcterms:modified>
</cp:coreProperties>
</file>