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207645</wp:posOffset>
            </wp:positionH>
            <wp:positionV relativeFrom="page">
              <wp:posOffset>216535</wp:posOffset>
            </wp:positionV>
            <wp:extent cx="71964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645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156845</wp:posOffset>
            </wp:positionV>
            <wp:extent cx="71964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6455" cy="17145"/>
                    </a:xfrm>
                    <a:prstGeom prst="rect">
                      <a:avLst/>
                    </a:prstGeom>
                    <a:noFill/>
                  </pic:spPr>
                </pic:pic>
              </a:graphicData>
            </a:graphic>
          </wp:anchor>
        </w:drawing>
        <w:t>UNITED STATES</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109220</wp:posOffset>
            </wp:positionV>
            <wp:extent cx="1426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8255"/>
                    </a:xfrm>
                    <a:prstGeom prst="rect">
                      <a:avLst/>
                    </a:prstGeom>
                    <a:noFill/>
                  </pic:spPr>
                </pic:pic>
              </a:graphicData>
            </a:graphic>
          </wp:anchor>
        </w:drawing>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112395</wp:posOffset>
            </wp:positionV>
            <wp:extent cx="14268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8255"/>
                    </a:xfrm>
                    <a:prstGeom prst="rect">
                      <a:avLst/>
                    </a:prstGeom>
                    <a:noFill/>
                  </pic:spPr>
                </pic:pic>
              </a:graphicData>
            </a:graphic>
          </wp:anchor>
        </w:drawing>
      </w:r>
    </w:p>
    <w:p>
      <w:pPr>
        <w:spacing w:after="0" w:line="367" w:lineRule="exact"/>
        <w:rPr>
          <w:sz w:val="24"/>
          <w:szCs w:val="24"/>
          <w:color w:val="auto"/>
        </w:rPr>
      </w:pPr>
    </w:p>
    <w:p>
      <w:pPr>
        <w:ind w:left="1860" w:right="380" w:hanging="369"/>
        <w:spacing w:after="0" w:line="256" w:lineRule="auto"/>
        <w:tabs>
          <w:tab w:leader="none" w:pos="18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QUARTERLY REPORT PURSUANT TO SECTION 13 OR 15(d) OF THE SECURITIES EXCHANGE ACT OF 1934</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2020</w:t>
      </w:r>
    </w:p>
    <w:p>
      <w:pPr>
        <w:spacing w:after="0" w:line="236" w:lineRule="exact"/>
        <w:rPr>
          <w:sz w:val="24"/>
          <w:szCs w:val="24"/>
          <w:color w:val="auto"/>
        </w:rPr>
      </w:pPr>
    </w:p>
    <w:p>
      <w:pPr>
        <w:ind w:left="1880" w:right="2220" w:hanging="389"/>
        <w:spacing w:after="0" w:line="270" w:lineRule="auto"/>
        <w:tabs>
          <w:tab w:leader="none" w:pos="1853" w:val="left"/>
        </w:tabs>
        <w:numPr>
          <w:ilvl w:val="0"/>
          <w:numId w:val="2"/>
        </w:numPr>
        <w:rPr>
          <w:rFonts w:ascii="MS PGothic" w:cs="MS PGothic" w:eastAsia="MS PGothic" w:hAnsi="MS PGothic"/>
          <w:sz w:val="20"/>
          <w:szCs w:val="20"/>
          <w:color w:val="auto"/>
        </w:rPr>
      </w:pPr>
      <w:r>
        <w:rPr>
          <w:rFonts w:ascii="Arial" w:cs="Arial" w:eastAsia="Arial" w:hAnsi="Arial"/>
          <w:sz w:val="20"/>
          <w:szCs w:val="20"/>
          <w:color w:val="auto"/>
        </w:rPr>
        <w:t>TRANSITION REPORT PURSUANT TO SECTION 13 OR 15(d) OF THE SECURITIES EXCHANGE ACT OF 1934</w:t>
      </w:r>
    </w:p>
    <w:p>
      <w:pPr>
        <w:spacing w:after="0" w:line="56" w:lineRule="exact"/>
        <w:rPr>
          <w:sz w:val="24"/>
          <w:szCs w:val="24"/>
          <w:color w:val="auto"/>
        </w:rPr>
      </w:pPr>
    </w:p>
    <w:tbl>
      <w:tblPr>
        <w:tblLayout w:type="fixed"/>
        <w:tblInd w:w="1400" w:type="dxa"/>
        <w:tblCellMar>
          <w:top w:w="0" w:type="dxa"/>
          <w:left w:w="0" w:type="dxa"/>
          <w:bottom w:w="0" w:type="dxa"/>
          <w:right w:w="0" w:type="dxa"/>
        </w:tblCellMar>
      </w:tblPr>
      <w:tr>
        <w:trPr>
          <w:trHeight w:val="231"/>
        </w:trPr>
        <w:tc>
          <w:tcPr>
            <w:tcW w:w="6480" w:type="dxa"/>
            <w:vAlign w:val="bottom"/>
            <w:gridSpan w:val="3"/>
          </w:tcPr>
          <w:p>
            <w:pPr>
              <w:ind w:left="2240"/>
              <w:spacing w:after="0"/>
              <w:rPr>
                <w:sz w:val="20"/>
                <w:szCs w:val="20"/>
                <w:color w:val="auto"/>
              </w:rPr>
            </w:pPr>
            <w:r>
              <w:rPr>
                <w:rFonts w:ascii="Arial" w:cs="Arial" w:eastAsia="Arial" w:hAnsi="Arial"/>
                <w:sz w:val="18"/>
                <w:szCs w:val="18"/>
                <w:b w:val="1"/>
                <w:bCs w:val="1"/>
                <w:color w:val="auto"/>
                <w:w w:val="90"/>
              </w:rPr>
              <w:t>For the transition period from _________ to _________</w:t>
            </w:r>
          </w:p>
        </w:tc>
        <w:tc>
          <w:tcPr>
            <w:tcW w:w="1120" w:type="dxa"/>
            <w:vAlign w:val="bottom"/>
          </w:tcPr>
          <w:p>
            <w:pPr>
              <w:spacing w:after="0"/>
              <w:rPr>
                <w:sz w:val="20"/>
                <w:szCs w:val="20"/>
                <w:color w:val="auto"/>
              </w:rPr>
            </w:pPr>
          </w:p>
        </w:tc>
      </w:tr>
      <w:tr>
        <w:trPr>
          <w:trHeight w:val="428"/>
        </w:trPr>
        <w:tc>
          <w:tcPr>
            <w:tcW w:w="6480" w:type="dxa"/>
            <w:vAlign w:val="bottom"/>
            <w:gridSpan w:val="3"/>
          </w:tcPr>
          <w:p>
            <w:pPr>
              <w:jc w:val="center"/>
              <w:ind w:left="1869"/>
              <w:spacing w:after="0"/>
              <w:rPr>
                <w:sz w:val="20"/>
                <w:szCs w:val="20"/>
                <w:color w:val="auto"/>
              </w:rPr>
            </w:pPr>
            <w:r>
              <w:rPr>
                <w:rFonts w:ascii="Arial" w:cs="Arial" w:eastAsia="Arial" w:hAnsi="Arial"/>
                <w:sz w:val="18"/>
                <w:szCs w:val="18"/>
                <w:b w:val="1"/>
                <w:bCs w:val="1"/>
                <w:color w:val="auto"/>
                <w:w w:val="89"/>
              </w:rPr>
              <w:t>Commission file number 1-13905</w:t>
            </w:r>
          </w:p>
        </w:tc>
        <w:tc>
          <w:tcPr>
            <w:tcW w:w="1120" w:type="dxa"/>
            <w:vAlign w:val="bottom"/>
          </w:tcPr>
          <w:p>
            <w:pPr>
              <w:spacing w:after="0"/>
              <w:rPr>
                <w:sz w:val="24"/>
                <w:szCs w:val="24"/>
                <w:color w:val="auto"/>
              </w:rPr>
            </w:pPr>
          </w:p>
        </w:tc>
      </w:tr>
      <w:tr>
        <w:trPr>
          <w:trHeight w:val="162"/>
        </w:trPr>
        <w:tc>
          <w:tcPr>
            <w:tcW w:w="3100" w:type="dxa"/>
            <w:vAlign w:val="bottom"/>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2260" w:type="dxa"/>
            <w:vAlign w:val="bottom"/>
            <w:gridSpan w:val="2"/>
          </w:tcPr>
          <w:p>
            <w:pPr>
              <w:spacing w:after="0"/>
              <w:rPr>
                <w:sz w:val="14"/>
                <w:szCs w:val="14"/>
                <w:color w:val="auto"/>
              </w:rPr>
            </w:pPr>
          </w:p>
        </w:tc>
      </w:tr>
      <w:tr>
        <w:trPr>
          <w:trHeight w:val="447"/>
        </w:trPr>
        <w:tc>
          <w:tcPr>
            <w:tcW w:w="7600" w:type="dxa"/>
            <w:vAlign w:val="bottom"/>
            <w:gridSpan w:val="4"/>
          </w:tcPr>
          <w:p>
            <w:pPr>
              <w:jc w:val="center"/>
              <w:ind w:left="749"/>
              <w:spacing w:after="0"/>
              <w:rPr>
                <w:sz w:val="20"/>
                <w:szCs w:val="20"/>
                <w:color w:val="auto"/>
              </w:rPr>
            </w:pPr>
            <w:r>
              <w:rPr>
                <w:rFonts w:ascii="Arial" w:cs="Arial" w:eastAsia="Arial" w:hAnsi="Arial"/>
                <w:sz w:val="32"/>
                <w:szCs w:val="32"/>
                <w:b w:val="1"/>
                <w:bCs w:val="1"/>
                <w:color w:val="auto"/>
              </w:rPr>
              <w:t>COMPX INTERNATIONAL INC.</w:t>
            </w:r>
          </w:p>
        </w:tc>
      </w:tr>
      <w:tr>
        <w:trPr>
          <w:trHeight w:val="227"/>
        </w:trPr>
        <w:tc>
          <w:tcPr>
            <w:tcW w:w="6480" w:type="dxa"/>
            <w:vAlign w:val="bottom"/>
            <w:gridSpan w:val="3"/>
          </w:tcPr>
          <w:p>
            <w:pPr>
              <w:jc w:val="center"/>
              <w:ind w:left="1889"/>
              <w:spacing w:after="0"/>
              <w:rPr>
                <w:sz w:val="20"/>
                <w:szCs w:val="20"/>
                <w:color w:val="auto"/>
              </w:rPr>
            </w:pPr>
            <w:r>
              <w:rPr>
                <w:rFonts w:ascii="Arial" w:cs="Arial" w:eastAsia="Arial" w:hAnsi="Arial"/>
                <w:sz w:val="18"/>
                <w:szCs w:val="18"/>
                <w:color w:val="auto"/>
                <w:w w:val="89"/>
              </w:rPr>
              <w:t>(Exact name of Registrant as specified in its charter)</w:t>
            </w:r>
          </w:p>
        </w:tc>
        <w:tc>
          <w:tcPr>
            <w:tcW w:w="1120" w:type="dxa"/>
            <w:vAlign w:val="bottom"/>
          </w:tcPr>
          <w:p>
            <w:pPr>
              <w:spacing w:after="0"/>
              <w:rPr>
                <w:sz w:val="19"/>
                <w:szCs w:val="19"/>
                <w:color w:val="auto"/>
              </w:rPr>
            </w:pPr>
          </w:p>
        </w:tc>
      </w:tr>
      <w:tr>
        <w:trPr>
          <w:trHeight w:val="344"/>
        </w:trPr>
        <w:tc>
          <w:tcPr>
            <w:tcW w:w="6480" w:type="dxa"/>
            <w:vAlign w:val="bottom"/>
            <w:gridSpan w:val="3"/>
          </w:tcPr>
          <w:p>
            <w:pPr>
              <w:jc w:val="center"/>
              <w:ind w:right="3760"/>
              <w:spacing w:after="0"/>
              <w:rPr>
                <w:sz w:val="20"/>
                <w:szCs w:val="20"/>
                <w:color w:val="auto"/>
              </w:rPr>
            </w:pPr>
            <w:r>
              <w:rPr>
                <w:rFonts w:ascii="Arial" w:cs="Arial" w:eastAsia="Arial" w:hAnsi="Arial"/>
                <w:sz w:val="18"/>
                <w:szCs w:val="18"/>
                <w:b w:val="1"/>
                <w:bCs w:val="1"/>
                <w:color w:val="auto"/>
                <w:w w:val="91"/>
              </w:rPr>
              <w:t>Delaware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57-0981653</w:t>
            </w:r>
          </w:p>
        </w:tc>
      </w:tr>
      <w:tr>
        <w:trPr>
          <w:trHeight w:val="147"/>
        </w:trPr>
        <w:tc>
          <w:tcPr>
            <w:tcW w:w="6480" w:type="dxa"/>
            <w:vAlign w:val="bottom"/>
            <w:gridSpan w:val="3"/>
          </w:tcPr>
          <w:p>
            <w:pPr>
              <w:jc w:val="center"/>
              <w:ind w:right="3780"/>
              <w:spacing w:after="0" w:line="147" w:lineRule="exact"/>
              <w:rPr>
                <w:sz w:val="20"/>
                <w:szCs w:val="20"/>
                <w:color w:val="auto"/>
              </w:rPr>
            </w:pPr>
            <w:r>
              <w:rPr>
                <w:rFonts w:ascii="Arial" w:cs="Arial" w:eastAsia="Arial" w:hAnsi="Arial"/>
                <w:sz w:val="14"/>
                <w:szCs w:val="14"/>
                <w:color w:val="auto"/>
                <w:w w:val="94"/>
              </w:rPr>
              <w:t>(State or other jurisdiction of</w:t>
            </w:r>
          </w:p>
        </w:tc>
        <w:tc>
          <w:tcPr>
            <w:tcW w:w="1120" w:type="dxa"/>
            <w:vAlign w:val="bottom"/>
          </w:tcPr>
          <w:p>
            <w:pPr>
              <w:jc w:val="center"/>
              <w:spacing w:after="0" w:line="147" w:lineRule="exact"/>
              <w:rPr>
                <w:sz w:val="20"/>
                <w:szCs w:val="20"/>
                <w:color w:val="auto"/>
              </w:rPr>
            </w:pPr>
            <w:r>
              <w:rPr>
                <w:rFonts w:ascii="Arial" w:cs="Arial" w:eastAsia="Arial" w:hAnsi="Arial"/>
                <w:sz w:val="14"/>
                <w:szCs w:val="14"/>
                <w:color w:val="auto"/>
                <w:w w:val="94"/>
              </w:rPr>
              <w:t>(IRS Employer</w:t>
            </w:r>
          </w:p>
        </w:tc>
      </w:tr>
      <w:tr>
        <w:trPr>
          <w:trHeight w:val="181"/>
        </w:trPr>
        <w:tc>
          <w:tcPr>
            <w:tcW w:w="6480" w:type="dxa"/>
            <w:vAlign w:val="bottom"/>
            <w:gridSpan w:val="3"/>
          </w:tcPr>
          <w:p>
            <w:pPr>
              <w:jc w:val="center"/>
              <w:ind w:right="3760"/>
              <w:spacing w:after="0"/>
              <w:rPr>
                <w:sz w:val="20"/>
                <w:szCs w:val="20"/>
                <w:color w:val="auto"/>
              </w:rPr>
            </w:pPr>
            <w:r>
              <w:rPr>
                <w:rFonts w:ascii="Arial" w:cs="Arial" w:eastAsia="Arial" w:hAnsi="Arial"/>
                <w:sz w:val="14"/>
                <w:szCs w:val="14"/>
                <w:color w:val="auto"/>
                <w:w w:val="94"/>
              </w:rPr>
              <w:t>Incorporation or organization)</w:t>
            </w:r>
          </w:p>
        </w:tc>
        <w:tc>
          <w:tcPr>
            <w:tcW w:w="1120" w:type="dxa"/>
            <w:vAlign w:val="bottom"/>
          </w:tcPr>
          <w:p>
            <w:pPr>
              <w:jc w:val="center"/>
              <w:spacing w:after="0"/>
              <w:rPr>
                <w:sz w:val="20"/>
                <w:szCs w:val="20"/>
                <w:color w:val="auto"/>
              </w:rPr>
            </w:pPr>
            <w:r>
              <w:rPr>
                <w:rFonts w:ascii="Arial" w:cs="Arial" w:eastAsia="Arial" w:hAnsi="Arial"/>
                <w:sz w:val="14"/>
                <w:szCs w:val="14"/>
                <w:color w:val="auto"/>
                <w:w w:val="97"/>
              </w:rPr>
              <w:t>Identification No.)</w:t>
            </w:r>
          </w:p>
        </w:tc>
      </w:tr>
      <w:tr>
        <w:trPr>
          <w:trHeight w:val="434"/>
        </w:trPr>
        <w:tc>
          <w:tcPr>
            <w:tcW w:w="6480" w:type="dxa"/>
            <w:vAlign w:val="bottom"/>
            <w:gridSpan w:val="3"/>
          </w:tcPr>
          <w:p>
            <w:pPr>
              <w:jc w:val="center"/>
              <w:ind w:right="3780"/>
              <w:spacing w:after="0"/>
              <w:rPr>
                <w:sz w:val="20"/>
                <w:szCs w:val="20"/>
                <w:color w:val="auto"/>
              </w:rPr>
            </w:pPr>
            <w:r>
              <w:rPr>
                <w:rFonts w:ascii="Arial" w:cs="Arial" w:eastAsia="Arial" w:hAnsi="Arial"/>
                <w:sz w:val="18"/>
                <w:szCs w:val="18"/>
                <w:b w:val="1"/>
                <w:bCs w:val="1"/>
                <w:color w:val="auto"/>
                <w:w w:val="89"/>
              </w:rPr>
              <w:t>5430 LBJ Freeway, Suite 1700,</w:t>
            </w:r>
          </w:p>
        </w:tc>
        <w:tc>
          <w:tcPr>
            <w:tcW w:w="1120" w:type="dxa"/>
            <w:vAlign w:val="bottom"/>
          </w:tcPr>
          <w:p>
            <w:pPr>
              <w:spacing w:after="0"/>
              <w:rPr>
                <w:sz w:val="24"/>
                <w:szCs w:val="24"/>
                <w:color w:val="auto"/>
              </w:rPr>
            </w:pPr>
          </w:p>
        </w:tc>
      </w:tr>
      <w:tr>
        <w:trPr>
          <w:trHeight w:val="227"/>
        </w:trPr>
        <w:tc>
          <w:tcPr>
            <w:tcW w:w="6480" w:type="dxa"/>
            <w:vAlign w:val="bottom"/>
            <w:gridSpan w:val="3"/>
          </w:tcPr>
          <w:p>
            <w:pPr>
              <w:jc w:val="center"/>
              <w:ind w:right="3760"/>
              <w:spacing w:after="0"/>
              <w:rPr>
                <w:sz w:val="20"/>
                <w:szCs w:val="20"/>
                <w:color w:val="auto"/>
              </w:rPr>
            </w:pPr>
            <w:r>
              <w:rPr>
                <w:rFonts w:ascii="Arial" w:cs="Arial" w:eastAsia="Arial" w:hAnsi="Arial"/>
                <w:sz w:val="18"/>
                <w:szCs w:val="18"/>
                <w:b w:val="1"/>
                <w:bCs w:val="1"/>
                <w:color w:val="auto"/>
                <w:w w:val="89"/>
              </w:rPr>
              <w:t>Three Lincoln Centre, Dallas, Texas</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75240-2620</w:t>
            </w:r>
          </w:p>
        </w:tc>
      </w:tr>
      <w:tr>
        <w:trPr>
          <w:trHeight w:val="181"/>
        </w:trPr>
        <w:tc>
          <w:tcPr>
            <w:tcW w:w="6480" w:type="dxa"/>
            <w:vAlign w:val="bottom"/>
            <w:gridSpan w:val="3"/>
          </w:tcPr>
          <w:p>
            <w:pPr>
              <w:jc w:val="center"/>
              <w:ind w:right="3780"/>
              <w:spacing w:after="0"/>
              <w:rPr>
                <w:sz w:val="20"/>
                <w:szCs w:val="20"/>
                <w:color w:val="auto"/>
              </w:rPr>
            </w:pPr>
            <w:r>
              <w:rPr>
                <w:rFonts w:ascii="Arial" w:cs="Arial" w:eastAsia="Arial" w:hAnsi="Arial"/>
                <w:sz w:val="14"/>
                <w:szCs w:val="14"/>
                <w:color w:val="auto"/>
                <w:w w:val="94"/>
              </w:rPr>
              <w:t>(Address of principal executive offices)</w:t>
            </w: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(Zip Code)</w:t>
            </w:r>
          </w:p>
        </w:tc>
      </w:tr>
    </w:tbl>
    <w:p>
      <w:pPr>
        <w:spacing w:after="0" w:line="180"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(972) 448-1400</w:t>
      </w:r>
    </w:p>
    <w:p>
      <w:pPr>
        <w:spacing w:after="0" w:line="96"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4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0"/>
        </w:trPr>
        <w:tc>
          <w:tcPr>
            <w:tcW w:w="4760" w:type="dxa"/>
            <w:vAlign w:val="bottom"/>
            <w:gridSpan w:val="2"/>
            <w:vMerge w:val="continue"/>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4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6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Class A common stock</w:t>
            </w:r>
          </w:p>
        </w:tc>
        <w:tc>
          <w:tcPr>
            <w:tcW w:w="100" w:type="dxa"/>
            <w:vAlign w:val="bottom"/>
          </w:tcPr>
          <w:p>
            <w:pPr>
              <w:spacing w:after="0"/>
              <w:rPr>
                <w:sz w:val="17"/>
                <w:szCs w:val="17"/>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7"/>
              </w:rPr>
              <w:t>CIX</w:t>
            </w:r>
          </w:p>
        </w:tc>
        <w:tc>
          <w:tcPr>
            <w:tcW w:w="100" w:type="dxa"/>
            <w:vAlign w:val="bottom"/>
          </w:tcPr>
          <w:p>
            <w:pPr>
              <w:spacing w:after="0"/>
              <w:rPr>
                <w:sz w:val="17"/>
                <w:szCs w:val="17"/>
                <w:color w:val="auto"/>
              </w:rPr>
            </w:pPr>
          </w:p>
        </w:tc>
        <w:tc>
          <w:tcPr>
            <w:tcW w:w="46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NYSE American</w:t>
            </w:r>
          </w:p>
        </w:tc>
        <w:tc>
          <w:tcPr>
            <w:tcW w:w="0" w:type="dxa"/>
            <w:vAlign w:val="bottom"/>
          </w:tcPr>
          <w:p>
            <w:pPr>
              <w:spacing w:after="0"/>
              <w:rPr>
                <w:sz w:val="1"/>
                <w:szCs w:val="1"/>
                <w:color w:val="auto"/>
              </w:rPr>
            </w:pPr>
          </w:p>
        </w:tc>
      </w:tr>
    </w:tbl>
    <w:p>
      <w:pPr>
        <w:spacing w:after="0" w:line="196" w:lineRule="exact"/>
        <w:rPr>
          <w:sz w:val="24"/>
          <w:szCs w:val="24"/>
          <w:color w:val="auto"/>
        </w:rPr>
      </w:pPr>
    </w:p>
    <w:p>
      <w:pPr>
        <w:jc w:val="both"/>
        <w:spacing w:after="0" w:line="214" w:lineRule="exact"/>
        <w:rPr>
          <w:sz w:val="20"/>
          <w:szCs w:val="20"/>
          <w:color w:val="auto"/>
        </w:rPr>
      </w:pPr>
      <w:r>
        <w:rPr>
          <w:rFonts w:ascii="Arial" w:cs="Arial" w:eastAsia="Arial" w:hAnsi="Arial"/>
          <w:sz w:val="16"/>
          <w:szCs w:val="16"/>
          <w:b w:val="1"/>
          <w:bCs w:val="1"/>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4377690</wp:posOffset>
            </wp:positionH>
            <wp:positionV relativeFrom="paragraph">
              <wp:posOffset>-118745</wp:posOffset>
            </wp:positionV>
            <wp:extent cx="77470" cy="78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470" cy="78740"/>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-118745</wp:posOffset>
            </wp:positionV>
            <wp:extent cx="77470" cy="78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470" cy="78740"/>
                    </a:xfrm>
                    <a:prstGeom prst="rect">
                      <a:avLst/>
                    </a:prstGeom>
                    <a:noFill/>
                  </pic:spPr>
                </pic:pic>
              </a:graphicData>
            </a:graphic>
          </wp:anchor>
        </w:drawing>
      </w:r>
    </w:p>
    <w:p>
      <w:pPr>
        <w:spacing w:after="0" w:line="169" w:lineRule="exact"/>
        <w:rPr>
          <w:sz w:val="24"/>
          <w:szCs w:val="24"/>
          <w:color w:val="auto"/>
        </w:rPr>
      </w:pPr>
    </w:p>
    <w:p>
      <w:pPr>
        <w:jc w:val="both"/>
        <w:spacing w:after="0" w:line="214" w:lineRule="exact"/>
        <w:rPr>
          <w:sz w:val="20"/>
          <w:szCs w:val="20"/>
          <w:color w:val="auto"/>
        </w:rPr>
      </w:pPr>
      <w:r>
        <w:rPr>
          <w:rFonts w:ascii="Arial" w:cs="Arial" w:eastAsia="Arial" w:hAnsi="Arial"/>
          <w:sz w:val="15"/>
          <w:szCs w:val="15"/>
          <w:b w:val="1"/>
          <w:bCs w:val="1"/>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b w:val="1"/>
          <w:bCs w:val="1"/>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5391785</wp:posOffset>
            </wp:positionH>
            <wp:positionV relativeFrom="paragraph">
              <wp:posOffset>-119380</wp:posOffset>
            </wp:positionV>
            <wp:extent cx="77470" cy="78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7470" cy="78740"/>
                    </a:xfrm>
                    <a:prstGeom prst="rect">
                      <a:avLst/>
                    </a:prstGeom>
                    <a:noFill/>
                  </pic:spPr>
                </pic:pic>
              </a:graphicData>
            </a:graphic>
          </wp:anchor>
        </w:drawing>
        <w:drawing>
          <wp:anchor simplePos="0" relativeHeight="251657728" behindDoc="1" locked="0" layoutInCell="0" allowOverlap="1">
            <wp:simplePos x="0" y="0"/>
            <wp:positionH relativeFrom="column">
              <wp:posOffset>5762625</wp:posOffset>
            </wp:positionH>
            <wp:positionV relativeFrom="paragraph">
              <wp:posOffset>-119380</wp:posOffset>
            </wp:positionV>
            <wp:extent cx="77470" cy="78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470" cy="78740"/>
                    </a:xfrm>
                    <a:prstGeom prst="rect">
                      <a:avLst/>
                    </a:prstGeom>
                    <a:noFill/>
                  </pic:spPr>
                </pic:pic>
              </a:graphicData>
            </a:graphic>
          </wp:anchor>
        </w:drawing>
      </w:r>
    </w:p>
    <w:p>
      <w:pPr>
        <w:spacing w:after="0" w:line="168" w:lineRule="exact"/>
        <w:rPr>
          <w:sz w:val="24"/>
          <w:szCs w:val="24"/>
          <w:color w:val="auto"/>
        </w:rPr>
      </w:pPr>
    </w:p>
    <w:p>
      <w:pPr>
        <w:jc w:val="both"/>
        <w:spacing w:after="0" w:line="277" w:lineRule="auto"/>
        <w:rPr>
          <w:sz w:val="20"/>
          <w:szCs w:val="20"/>
          <w:color w:val="auto"/>
        </w:rPr>
      </w:pPr>
      <w:r>
        <w:rPr>
          <w:rFonts w:ascii="Arial" w:cs="Arial" w:eastAsia="Arial" w:hAnsi="Arial"/>
          <w:sz w:val="16"/>
          <w:szCs w:val="16"/>
          <w:b w:val="1"/>
          <w:bCs w:val="1"/>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53" w:lineRule="exact"/>
        <w:rPr>
          <w:sz w:val="24"/>
          <w:szCs w:val="24"/>
          <w:color w:val="auto"/>
        </w:rPr>
      </w:pPr>
    </w:p>
    <w:p>
      <w:pPr>
        <w:spacing w:after="0" w:line="184" w:lineRule="exact"/>
        <w:tabs>
          <w:tab w:leader="none" w:pos="1860" w:val="left"/>
          <w:tab w:leader="none" w:pos="3340" w:val="left"/>
        </w:tabs>
        <w:rPr>
          <w:sz w:val="20"/>
          <w:szCs w:val="20"/>
          <w:color w:val="auto"/>
        </w:rPr>
      </w:pPr>
      <w:r>
        <w:rPr>
          <w:rFonts w:ascii="Arial" w:cs="Arial" w:eastAsia="Arial" w:hAnsi="Arial"/>
          <w:sz w:val="16"/>
          <w:szCs w:val="16"/>
          <w:b w:val="1"/>
          <w:bCs w:val="1"/>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b w:val="1"/>
          <w:bCs w:val="1"/>
          <w:color w:val="auto"/>
        </w:rPr>
        <w:tab/>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b w:val="1"/>
          <w:bCs w:val="1"/>
          <w:color w:val="auto"/>
        </w:rPr>
        <w:t xml:space="preserve">Non-accelerated filer </w:t>
      </w: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Smaller reporting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1019175</wp:posOffset>
            </wp:positionH>
            <wp:positionV relativeFrom="paragraph">
              <wp:posOffset>-76200</wp:posOffset>
            </wp:positionV>
            <wp:extent cx="77470" cy="78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470" cy="78740"/>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-76200</wp:posOffset>
            </wp:positionV>
            <wp:extent cx="77470" cy="78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470" cy="78740"/>
                    </a:xfrm>
                    <a:prstGeom prst="rect">
                      <a:avLst/>
                    </a:prstGeom>
                    <a:noFill/>
                  </pic:spPr>
                </pic:pic>
              </a:graphicData>
            </a:graphic>
          </wp:anchor>
        </w:drawing>
        <w:drawing>
          <wp:anchor simplePos="0" relativeHeight="251657728" behindDoc="1" locked="0" layoutInCell="0" allowOverlap="1">
            <wp:simplePos x="0" y="0"/>
            <wp:positionH relativeFrom="column">
              <wp:posOffset>3077845</wp:posOffset>
            </wp:positionH>
            <wp:positionV relativeFrom="paragraph">
              <wp:posOffset>-76200</wp:posOffset>
            </wp:positionV>
            <wp:extent cx="77470" cy="78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470" cy="78740"/>
                    </a:xfrm>
                    <a:prstGeom prst="rect">
                      <a:avLst/>
                    </a:prstGeom>
                    <a:noFill/>
                  </pic:spPr>
                </pic:pic>
              </a:graphicData>
            </a:graphic>
          </wp:anchor>
        </w:drawing>
        <w:drawing>
          <wp:anchor simplePos="0" relativeHeight="251657728" behindDoc="1" locked="0" layoutInCell="0" allowOverlap="1">
            <wp:simplePos x="0" y="0"/>
            <wp:positionH relativeFrom="column">
              <wp:posOffset>4462145</wp:posOffset>
            </wp:positionH>
            <wp:positionV relativeFrom="paragraph">
              <wp:posOffset>-76200</wp:posOffset>
            </wp:positionV>
            <wp:extent cx="77470" cy="78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470" cy="78740"/>
                    </a:xfrm>
                    <a:prstGeom prst="rect">
                      <a:avLst/>
                    </a:prstGeom>
                    <a:noFill/>
                  </pic:spPr>
                </pic:pic>
              </a:graphicData>
            </a:graphic>
          </wp:anchor>
        </w:drawing>
      </w:r>
    </w:p>
    <w:p>
      <w:pPr>
        <w:spacing w:after="0" w:line="211"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1223010</wp:posOffset>
            </wp:positionH>
            <wp:positionV relativeFrom="paragraph">
              <wp:posOffset>-76200</wp:posOffset>
            </wp:positionV>
            <wp:extent cx="77470" cy="78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470" cy="78740"/>
                    </a:xfrm>
                    <a:prstGeom prst="rect">
                      <a:avLst/>
                    </a:prstGeom>
                    <a:noFill/>
                  </pic:spPr>
                </pic:pic>
              </a:graphicData>
            </a:graphic>
          </wp:anchor>
        </w:drawing>
      </w:r>
    </w:p>
    <w:p>
      <w:pPr>
        <w:spacing w:after="0" w:line="237" w:lineRule="exact"/>
        <w:rPr>
          <w:sz w:val="24"/>
          <w:szCs w:val="24"/>
          <w:color w:val="auto"/>
        </w:rPr>
      </w:pPr>
    </w:p>
    <w:p>
      <w:pPr>
        <w:jc w:val="both"/>
        <w:spacing w:after="0" w:line="214" w:lineRule="exact"/>
        <w:rPr>
          <w:sz w:val="20"/>
          <w:szCs w:val="20"/>
          <w:color w:val="auto"/>
        </w:rPr>
      </w:pPr>
      <w:r>
        <w:rPr>
          <w:rFonts w:ascii="Arial" w:cs="Arial" w:eastAsia="Arial" w:hAnsi="Arial"/>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3862070</wp:posOffset>
            </wp:positionH>
            <wp:positionV relativeFrom="paragraph">
              <wp:posOffset>-118745</wp:posOffset>
            </wp:positionV>
            <wp:extent cx="77470" cy="78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78740"/>
                    </a:xfrm>
                    <a:prstGeom prst="rect">
                      <a:avLst/>
                    </a:prstGeom>
                    <a:noFill/>
                  </pic:spPr>
                </pic:pic>
              </a:graphicData>
            </a:graphic>
          </wp:anchor>
        </w:drawing>
      </w:r>
    </w:p>
    <w:p>
      <w:pPr>
        <w:spacing w:after="0" w:line="143" w:lineRule="exact"/>
        <w:rPr>
          <w:sz w:val="24"/>
          <w:szCs w:val="24"/>
          <w:color w:val="auto"/>
        </w:rPr>
      </w:pPr>
    </w:p>
    <w:p>
      <w:pPr>
        <w:spacing w:after="0" w:line="184" w:lineRule="exact"/>
        <w:tabs>
          <w:tab w:leader="none" w:pos="7860" w:val="left"/>
          <w:tab w:leader="none" w:pos="8480" w:val="left"/>
        </w:tabs>
        <w:rPr>
          <w:sz w:val="20"/>
          <w:szCs w:val="20"/>
          <w:color w:val="auto"/>
        </w:rPr>
      </w:pPr>
      <w:r>
        <w:rPr>
          <w:rFonts w:ascii="Arial" w:cs="Arial" w:eastAsia="Arial" w:hAnsi="Arial"/>
          <w:sz w:val="15"/>
          <w:szCs w:val="15"/>
          <w:b w:val="1"/>
          <w:bCs w:val="1"/>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b w:val="1"/>
          <w:bCs w:val="1"/>
          <w:color w:val="auto"/>
        </w:rPr>
        <w:t xml:space="preserve">No </w:t>
      </w:r>
      <w:r>
        <w:rPr>
          <w:rFonts w:ascii="MS PGothic" w:cs="MS PGothic" w:eastAsia="MS PGothic" w:hAnsi="MS PGothic"/>
          <w:sz w:val="15"/>
          <w:szCs w:val="15"/>
          <w:color w:val="auto"/>
        </w:rPr>
        <w:t>☒</w:t>
      </w:r>
      <w:r>
        <w:rPr>
          <w:rFonts w:ascii="Arial" w:cs="Arial" w:eastAsia="Arial" w:hAnsi="Arial"/>
          <w:sz w:val="15"/>
          <w:szCs w:val="15"/>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5216525</wp:posOffset>
            </wp:positionH>
            <wp:positionV relativeFrom="paragraph">
              <wp:posOffset>-76200</wp:posOffset>
            </wp:positionV>
            <wp:extent cx="77470" cy="78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7874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-76200</wp:posOffset>
            </wp:positionV>
            <wp:extent cx="77470" cy="78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78740"/>
                    </a:xfrm>
                    <a:prstGeom prst="rect">
                      <a:avLst/>
                    </a:prstGeom>
                    <a:noFill/>
                  </pic:spPr>
                </pic:pic>
              </a:graphicData>
            </a:graphic>
          </wp:anchor>
        </w:drawing>
      </w:r>
    </w:p>
    <w:p>
      <w:pPr>
        <w:spacing w:after="0" w:line="23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As of October 28, 2020, the registrant had 12,451,157 shares of Class A common stock, $.01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163830</wp:posOffset>
            </wp:positionV>
            <wp:extent cx="71335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113030</wp:posOffset>
            </wp:positionV>
            <wp:extent cx="71335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503555</wp:posOffset>
            </wp:positionV>
            <wp:extent cx="71335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98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rPr>
              <w:t>COMPX INTERNATIONAL INC.</w:t>
            </w:r>
          </w:p>
        </w:tc>
        <w:tc>
          <w:tcPr>
            <w:tcW w:w="800" w:type="dxa"/>
            <w:vAlign w:val="bottom"/>
          </w:tcPr>
          <w:p>
            <w:pPr>
              <w:spacing w:after="0"/>
              <w:rPr>
                <w:sz w:val="20"/>
                <w:szCs w:val="20"/>
                <w:color w:val="auto"/>
              </w:rPr>
            </w:pPr>
          </w:p>
        </w:tc>
      </w:tr>
      <w:tr>
        <w:trPr>
          <w:trHeight w:val="428"/>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8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3"/>
              </w:rPr>
              <w:t>Index</w:t>
            </w:r>
          </w:p>
        </w:tc>
        <w:tc>
          <w:tcPr>
            <w:tcW w:w="800" w:type="dxa"/>
            <w:vAlign w:val="bottom"/>
          </w:tcPr>
          <w:p>
            <w:pPr>
              <w:spacing w:after="0"/>
              <w:rPr>
                <w:sz w:val="24"/>
                <w:szCs w:val="24"/>
                <w:color w:val="auto"/>
              </w:rPr>
            </w:pPr>
          </w:p>
        </w:tc>
      </w:tr>
      <w:tr>
        <w:trPr>
          <w:trHeight w:val="443"/>
        </w:trPr>
        <w:tc>
          <w:tcPr>
            <w:tcW w:w="7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120" w:type="dxa"/>
            <w:vAlign w:val="bottom"/>
          </w:tcPr>
          <w:p>
            <w:pPr>
              <w:spacing w:after="0"/>
              <w:rPr>
                <w:sz w:val="24"/>
                <w:szCs w:val="24"/>
                <w:color w:val="auto"/>
              </w:rPr>
            </w:pPr>
          </w:p>
        </w:tc>
        <w:tc>
          <w:tcPr>
            <w:tcW w:w="9560" w:type="dxa"/>
            <w:vAlign w:val="bottom"/>
            <w:gridSpan w:val="4"/>
          </w:tcPr>
          <w:p>
            <w:pPr>
              <w:ind w:left="20"/>
              <w:spacing w:after="0"/>
              <w:rPr>
                <w:sz w:val="20"/>
                <w:szCs w:val="20"/>
                <w:color w:val="auto"/>
              </w:rPr>
            </w:pPr>
            <w:r>
              <w:rPr>
                <w:rFonts w:ascii="Arial" w:cs="Arial" w:eastAsia="Arial" w:hAnsi="Arial"/>
                <w:sz w:val="18"/>
                <w:szCs w:val="18"/>
                <w:b w:val="1"/>
                <w:bCs w:val="1"/>
                <w:color w:val="auto"/>
              </w:rPr>
              <w:t>FINANCIAL INFORMATION</w:t>
            </w: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Page</w:t>
            </w:r>
          </w:p>
        </w:tc>
      </w:t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Item 1.</w:t>
            </w:r>
          </w:p>
        </w:tc>
        <w:tc>
          <w:tcPr>
            <w:tcW w:w="9680" w:type="dxa"/>
            <w:vAlign w:val="bottom"/>
            <w:gridSpan w:val="5"/>
          </w:tcPr>
          <w:p>
            <w:pPr>
              <w:ind w:left="120"/>
              <w:spacing w:after="0"/>
              <w:rPr>
                <w:sz w:val="20"/>
                <w:szCs w:val="20"/>
                <w:color w:val="auto"/>
              </w:rPr>
            </w:pPr>
            <w:r>
              <w:rPr>
                <w:rFonts w:ascii="Arial" w:cs="Arial" w:eastAsia="Arial" w:hAnsi="Arial"/>
                <w:sz w:val="18"/>
                <w:szCs w:val="18"/>
                <w:color w:val="auto"/>
              </w:rPr>
              <w:t>Financial Statements</w:t>
            </w:r>
          </w:p>
        </w:tc>
        <w:tc>
          <w:tcPr>
            <w:tcW w:w="800" w:type="dxa"/>
            <w:vAlign w:val="bottom"/>
          </w:tcPr>
          <w:p>
            <w:pPr>
              <w:spacing w:after="0"/>
              <w:rPr>
                <w:sz w:val="17"/>
                <w:szCs w:val="17"/>
                <w:color w:val="auto"/>
              </w:rPr>
            </w:pPr>
          </w:p>
        </w:tc>
      </w:tr>
      <w:tr>
        <w:trPr>
          <w:trHeight w:val="333"/>
        </w:trPr>
        <w:tc>
          <w:tcPr>
            <w:tcW w:w="760" w:type="dxa"/>
            <w:vAlign w:val="bottom"/>
          </w:tcPr>
          <w:p>
            <w:pPr>
              <w:spacing w:after="0"/>
              <w:rPr>
                <w:sz w:val="24"/>
                <w:szCs w:val="24"/>
                <w:color w:val="auto"/>
              </w:rPr>
            </w:pPr>
          </w:p>
        </w:tc>
        <w:tc>
          <w:tcPr>
            <w:tcW w:w="9680" w:type="dxa"/>
            <w:vAlign w:val="bottom"/>
            <w:gridSpan w:val="5"/>
          </w:tcPr>
          <w:p>
            <w:pPr>
              <w:ind w:left="1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 December 31, 2019 and September 30, 2020 (unaudited)</w:t>
              </w:r>
            </w:hyperlink>
          </w:p>
        </w:tc>
        <w:tc>
          <w:tcPr>
            <w:tcW w:w="800" w:type="dxa"/>
            <w:vAlign w:val="bottom"/>
          </w:tcPr>
          <w:p>
            <w:pPr>
              <w:ind w:left="300"/>
              <w:spacing w:after="0"/>
              <w:rPr>
                <w:sz w:val="20"/>
                <w:szCs w:val="20"/>
                <w:color w:val="auto"/>
              </w:rPr>
            </w:pPr>
            <w:r>
              <w:rPr>
                <w:rFonts w:ascii="Arial" w:cs="Arial" w:eastAsia="Arial" w:hAnsi="Arial"/>
                <w:sz w:val="18"/>
                <w:szCs w:val="18"/>
                <w:color w:val="auto"/>
              </w:rPr>
              <w:t>- 3 -</w:t>
            </w:r>
          </w:p>
        </w:tc>
      </w:tr>
      <w:tr>
        <w:trPr>
          <w:trHeight w:val="334"/>
        </w:trPr>
        <w:tc>
          <w:tcPr>
            <w:tcW w:w="760" w:type="dxa"/>
            <w:vAlign w:val="bottom"/>
          </w:tcPr>
          <w:p>
            <w:pPr>
              <w:spacing w:after="0"/>
              <w:rPr>
                <w:sz w:val="24"/>
                <w:szCs w:val="24"/>
                <w:color w:val="auto"/>
              </w:rPr>
            </w:pPr>
          </w:p>
        </w:tc>
        <w:tc>
          <w:tcPr>
            <w:tcW w:w="9680" w:type="dxa"/>
            <w:vAlign w:val="bottom"/>
            <w:gridSpan w:val="5"/>
          </w:tcPr>
          <w:p>
            <w:pPr>
              <w:ind w:left="120"/>
              <w:spacing w:after="0"/>
              <w:rPr>
                <w:rFonts w:ascii="Arial" w:cs="Arial" w:eastAsia="Arial" w:hAnsi="Arial"/>
                <w:sz w:val="18"/>
                <w:szCs w:val="18"/>
                <w:u w:val="single" w:color="auto"/>
                <w:color w:val="0000EE"/>
                <w:w w:val="96"/>
              </w:rPr>
            </w:pPr>
            <w:hyperlink w:anchor="page4">
              <w:r>
                <w:rPr>
                  <w:rFonts w:ascii="Arial" w:cs="Arial" w:eastAsia="Arial" w:hAnsi="Arial"/>
                  <w:sz w:val="18"/>
                  <w:szCs w:val="18"/>
                  <w:u w:val="single" w:color="auto"/>
                  <w:color w:val="0000EE"/>
                  <w:w w:val="96"/>
                </w:rPr>
                <w:t>Condensed Consolidated Statements of Income (unaudited) – Three and nine months ended September 30, 2019 and 2020</w:t>
              </w:r>
            </w:hyperlink>
          </w:p>
        </w:tc>
        <w:tc>
          <w:tcPr>
            <w:tcW w:w="800" w:type="dxa"/>
            <w:vAlign w:val="bottom"/>
          </w:tcPr>
          <w:p>
            <w:pPr>
              <w:ind w:left="300"/>
              <w:spacing w:after="0"/>
              <w:rPr>
                <w:sz w:val="20"/>
                <w:szCs w:val="20"/>
                <w:color w:val="auto"/>
              </w:rPr>
            </w:pPr>
            <w:r>
              <w:rPr>
                <w:rFonts w:ascii="Arial" w:cs="Arial" w:eastAsia="Arial" w:hAnsi="Arial"/>
                <w:sz w:val="18"/>
                <w:szCs w:val="18"/>
                <w:color w:val="auto"/>
              </w:rPr>
              <w:t>- 4 -</w:t>
            </w:r>
          </w:p>
        </w:tc>
      </w:tr>
      <w:tr>
        <w:trPr>
          <w:trHeight w:val="296"/>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0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Stockholders’ Equity (unaudited) – Three and nine months ended September 30, 2019 and</w:t>
              </w:r>
            </w:hyperlink>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4"/>
        </w:trPr>
        <w:tc>
          <w:tcPr>
            <w:tcW w:w="760" w:type="dxa"/>
            <w:vAlign w:val="bottom"/>
          </w:tcPr>
          <w:p>
            <w:pPr>
              <w:spacing w:after="0"/>
              <w:rPr>
                <w:sz w:val="16"/>
                <w:szCs w:val="16"/>
                <w:color w:val="auto"/>
              </w:rPr>
            </w:pPr>
          </w:p>
        </w:tc>
        <w:tc>
          <w:tcPr>
            <w:tcW w:w="340" w:type="dxa"/>
            <w:vAlign w:val="bottom"/>
            <w:gridSpan w:val="2"/>
          </w:tcPr>
          <w:p>
            <w:pPr>
              <w:spacing w:after="0"/>
              <w:rPr>
                <w:sz w:val="16"/>
                <w:szCs w:val="16"/>
                <w:color w:val="auto"/>
              </w:rPr>
            </w:pPr>
          </w:p>
        </w:tc>
        <w:tc>
          <w:tcPr>
            <w:tcW w:w="360" w:type="dxa"/>
            <w:vAlign w:val="bottom"/>
            <w:tcBorders>
              <w:bottom w:val="single" w:sz="8" w:color="0000EE"/>
            </w:tcBorders>
          </w:tcPr>
          <w:p>
            <w:pPr>
              <w:jc w:val="right"/>
              <w:spacing w:after="0" w:line="194"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2020</w:t>
              </w:r>
            </w:hyperlink>
          </w:p>
        </w:tc>
        <w:tc>
          <w:tcPr>
            <w:tcW w:w="8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ind w:left="300"/>
              <w:spacing w:after="0" w:line="194" w:lineRule="exact"/>
              <w:rPr>
                <w:sz w:val="20"/>
                <w:szCs w:val="20"/>
                <w:color w:val="auto"/>
              </w:rPr>
            </w:pPr>
            <w:r>
              <w:rPr>
                <w:rFonts w:ascii="Arial" w:cs="Arial" w:eastAsia="Arial" w:hAnsi="Arial"/>
                <w:sz w:val="18"/>
                <w:szCs w:val="18"/>
                <w:color w:val="auto"/>
              </w:rPr>
              <w:t>- 5 -</w:t>
            </w:r>
          </w:p>
        </w:tc>
      </w:tr>
      <w:tr>
        <w:trPr>
          <w:trHeight w:val="353"/>
        </w:trPr>
        <w:tc>
          <w:tcPr>
            <w:tcW w:w="760" w:type="dxa"/>
            <w:vAlign w:val="bottom"/>
          </w:tcPr>
          <w:p>
            <w:pPr>
              <w:spacing w:after="0"/>
              <w:rPr>
                <w:sz w:val="24"/>
                <w:szCs w:val="24"/>
                <w:color w:val="auto"/>
              </w:rPr>
            </w:pPr>
          </w:p>
        </w:tc>
        <w:tc>
          <w:tcPr>
            <w:tcW w:w="9680" w:type="dxa"/>
            <w:vAlign w:val="bottom"/>
            <w:gridSpan w:val="5"/>
          </w:tcPr>
          <w:p>
            <w:pPr>
              <w:ind w:left="1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Cash Flows (unaudited) - Nine months ended September 30, 2019 and 2020</w:t>
              </w:r>
            </w:hyperlink>
          </w:p>
        </w:tc>
        <w:tc>
          <w:tcPr>
            <w:tcW w:w="800" w:type="dxa"/>
            <w:vAlign w:val="bottom"/>
          </w:tcPr>
          <w:p>
            <w:pPr>
              <w:ind w:left="300"/>
              <w:spacing w:after="0"/>
              <w:rPr>
                <w:sz w:val="20"/>
                <w:szCs w:val="20"/>
                <w:color w:val="auto"/>
              </w:rPr>
            </w:pPr>
            <w:r>
              <w:rPr>
                <w:rFonts w:ascii="Arial" w:cs="Arial" w:eastAsia="Arial" w:hAnsi="Arial"/>
                <w:sz w:val="18"/>
                <w:szCs w:val="18"/>
                <w:color w:val="auto"/>
              </w:rPr>
              <w:t>- 6 -</w:t>
            </w:r>
          </w:p>
        </w:tc>
      </w:tr>
      <w:tr>
        <w:trPr>
          <w:trHeight w:val="334"/>
        </w:trPr>
        <w:tc>
          <w:tcPr>
            <w:tcW w:w="760" w:type="dxa"/>
            <w:vAlign w:val="bottom"/>
          </w:tcPr>
          <w:p>
            <w:pPr>
              <w:spacing w:after="0"/>
              <w:rPr>
                <w:sz w:val="24"/>
                <w:szCs w:val="24"/>
                <w:color w:val="auto"/>
              </w:rPr>
            </w:pPr>
          </w:p>
        </w:tc>
        <w:tc>
          <w:tcPr>
            <w:tcW w:w="9680" w:type="dxa"/>
            <w:vAlign w:val="bottom"/>
            <w:gridSpan w:val="5"/>
          </w:tcPr>
          <w:p>
            <w:pPr>
              <w:ind w:left="1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 (unaudited)</w:t>
              </w:r>
            </w:hyperlink>
          </w:p>
        </w:tc>
        <w:tc>
          <w:tcPr>
            <w:tcW w:w="800" w:type="dxa"/>
            <w:vAlign w:val="bottom"/>
          </w:tcPr>
          <w:p>
            <w:pPr>
              <w:ind w:left="300"/>
              <w:spacing w:after="0"/>
              <w:rPr>
                <w:sz w:val="20"/>
                <w:szCs w:val="20"/>
                <w:color w:val="auto"/>
              </w:rPr>
            </w:pPr>
            <w:r>
              <w:rPr>
                <w:rFonts w:ascii="Arial" w:cs="Arial" w:eastAsia="Arial" w:hAnsi="Arial"/>
                <w:sz w:val="18"/>
                <w:szCs w:val="18"/>
                <w:color w:val="auto"/>
              </w:rPr>
              <w:t>- 7 -</w:t>
            </w:r>
          </w:p>
        </w:tc>
      </w:tr>
      <w:tr>
        <w:trPr>
          <w:trHeight w:val="334"/>
        </w:trPr>
        <w:tc>
          <w:tcPr>
            <w:tcW w:w="760" w:type="dxa"/>
            <w:vAlign w:val="bottom"/>
          </w:tcPr>
          <w:p>
            <w:pPr>
              <w:spacing w:after="0"/>
              <w:rPr>
                <w:sz w:val="20"/>
                <w:szCs w:val="20"/>
                <w:color w:val="auto"/>
              </w:rPr>
            </w:pPr>
            <w:r>
              <w:rPr>
                <w:rFonts w:ascii="Arial" w:cs="Arial" w:eastAsia="Arial" w:hAnsi="Arial"/>
                <w:sz w:val="18"/>
                <w:szCs w:val="18"/>
                <w:color w:val="auto"/>
              </w:rPr>
              <w:t>Item 2.</w:t>
            </w:r>
          </w:p>
        </w:tc>
        <w:tc>
          <w:tcPr>
            <w:tcW w:w="9680" w:type="dxa"/>
            <w:vAlign w:val="bottom"/>
            <w:gridSpan w:val="5"/>
          </w:tcPr>
          <w:p>
            <w:pPr>
              <w:ind w:left="12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Management’s Discussion and Analysis of Financial Condition and Results of Operations</w:t>
              </w:r>
            </w:hyperlink>
          </w:p>
        </w:tc>
        <w:tc>
          <w:tcPr>
            <w:tcW w:w="800" w:type="dxa"/>
            <w:vAlign w:val="bottom"/>
          </w:tcPr>
          <w:p>
            <w:pPr>
              <w:ind w:left="280"/>
              <w:spacing w:after="0"/>
              <w:rPr>
                <w:sz w:val="20"/>
                <w:szCs w:val="20"/>
                <w:color w:val="auto"/>
              </w:rPr>
            </w:pPr>
            <w:r>
              <w:rPr>
                <w:rFonts w:ascii="Arial" w:cs="Arial" w:eastAsia="Arial" w:hAnsi="Arial"/>
                <w:sz w:val="18"/>
                <w:szCs w:val="18"/>
                <w:color w:val="auto"/>
              </w:rPr>
              <w:t>-11-</w:t>
            </w:r>
          </w:p>
        </w:tc>
      </w:tr>
      <w:tr>
        <w:trPr>
          <w:trHeight w:val="334"/>
        </w:trPr>
        <w:tc>
          <w:tcPr>
            <w:tcW w:w="760" w:type="dxa"/>
            <w:vAlign w:val="bottom"/>
          </w:tcPr>
          <w:p>
            <w:pPr>
              <w:spacing w:after="0"/>
              <w:rPr>
                <w:sz w:val="20"/>
                <w:szCs w:val="20"/>
                <w:color w:val="auto"/>
              </w:rPr>
            </w:pPr>
            <w:r>
              <w:rPr>
                <w:rFonts w:ascii="Arial" w:cs="Arial" w:eastAsia="Arial" w:hAnsi="Arial"/>
                <w:sz w:val="18"/>
                <w:szCs w:val="18"/>
                <w:color w:val="auto"/>
              </w:rPr>
              <w:t>Item 3.</w:t>
            </w:r>
          </w:p>
        </w:tc>
        <w:tc>
          <w:tcPr>
            <w:tcW w:w="9680" w:type="dxa"/>
            <w:vAlign w:val="bottom"/>
            <w:gridSpan w:val="5"/>
          </w:tcPr>
          <w:p>
            <w:pPr>
              <w:ind w:left="12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Quantitative and Qualitative Disclosure About Market Risk</w:t>
              </w:r>
            </w:hyperlink>
          </w:p>
        </w:tc>
        <w:tc>
          <w:tcPr>
            <w:tcW w:w="800" w:type="dxa"/>
            <w:vAlign w:val="bottom"/>
          </w:tcPr>
          <w:p>
            <w:pPr>
              <w:ind w:left="280"/>
              <w:spacing w:after="0"/>
              <w:rPr>
                <w:sz w:val="20"/>
                <w:szCs w:val="20"/>
                <w:color w:val="auto"/>
              </w:rPr>
            </w:pPr>
            <w:r>
              <w:rPr>
                <w:rFonts w:ascii="Arial" w:cs="Arial" w:eastAsia="Arial" w:hAnsi="Arial"/>
                <w:sz w:val="18"/>
                <w:szCs w:val="18"/>
                <w:color w:val="auto"/>
              </w:rPr>
              <w:t>-16-</w:t>
            </w:r>
          </w:p>
        </w:tc>
      </w:tr>
      <w:tr>
        <w:trPr>
          <w:trHeight w:val="334"/>
        </w:trPr>
        <w:tc>
          <w:tcPr>
            <w:tcW w:w="760" w:type="dxa"/>
            <w:vAlign w:val="bottom"/>
          </w:tcPr>
          <w:p>
            <w:pPr>
              <w:spacing w:after="0"/>
              <w:rPr>
                <w:sz w:val="20"/>
                <w:szCs w:val="20"/>
                <w:color w:val="auto"/>
              </w:rPr>
            </w:pPr>
            <w:r>
              <w:rPr>
                <w:rFonts w:ascii="Arial" w:cs="Arial" w:eastAsia="Arial" w:hAnsi="Arial"/>
                <w:sz w:val="18"/>
                <w:szCs w:val="18"/>
                <w:color w:val="auto"/>
              </w:rPr>
              <w:t>Item 4.</w:t>
            </w:r>
          </w:p>
        </w:tc>
        <w:tc>
          <w:tcPr>
            <w:tcW w:w="9680" w:type="dxa"/>
            <w:vAlign w:val="bottom"/>
            <w:gridSpan w:val="5"/>
          </w:tcPr>
          <w:p>
            <w:pPr>
              <w:ind w:left="12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Controls and Procedures</w:t>
              </w:r>
            </w:hyperlink>
          </w:p>
        </w:tc>
        <w:tc>
          <w:tcPr>
            <w:tcW w:w="800" w:type="dxa"/>
            <w:vAlign w:val="bottom"/>
          </w:tcPr>
          <w:p>
            <w:pPr>
              <w:ind w:left="280"/>
              <w:spacing w:after="0"/>
              <w:rPr>
                <w:sz w:val="20"/>
                <w:szCs w:val="20"/>
                <w:color w:val="auto"/>
              </w:rPr>
            </w:pPr>
            <w:r>
              <w:rPr>
                <w:rFonts w:ascii="Arial" w:cs="Arial" w:eastAsia="Arial" w:hAnsi="Arial"/>
                <w:sz w:val="18"/>
                <w:szCs w:val="18"/>
                <w:color w:val="auto"/>
              </w:rPr>
              <w:t>-16-</w:t>
            </w:r>
          </w:p>
        </w:tc>
      </w:tr>
      <w:tr>
        <w:trPr>
          <w:trHeight w:val="334"/>
        </w:trPr>
        <w:tc>
          <w:tcPr>
            <w:tcW w:w="7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680" w:type="dxa"/>
            <w:vAlign w:val="bottom"/>
            <w:gridSpan w:val="5"/>
          </w:tcPr>
          <w:p>
            <w:pPr>
              <w:ind w:left="120"/>
              <w:spacing w:after="0"/>
              <w:rPr>
                <w:rFonts w:ascii="Arial" w:cs="Arial" w:eastAsia="Arial" w:hAnsi="Arial"/>
                <w:sz w:val="18"/>
                <w:szCs w:val="18"/>
                <w:b w:val="1"/>
                <w:bCs w:val="1"/>
                <w:u w:val="single" w:color="auto"/>
                <w:color w:val="0000EE"/>
              </w:rPr>
            </w:pPr>
            <w:hyperlink w:anchor="page18">
              <w:r>
                <w:rPr>
                  <w:rFonts w:ascii="Arial" w:cs="Arial" w:eastAsia="Arial" w:hAnsi="Arial"/>
                  <w:sz w:val="18"/>
                  <w:szCs w:val="18"/>
                  <w:b w:val="1"/>
                  <w:bCs w:val="1"/>
                  <w:u w:val="single" w:color="auto"/>
                  <w:color w:val="0000EE"/>
                </w:rPr>
                <w:t>OTHER INFORMATION</w:t>
              </w:r>
            </w:hyperlink>
          </w:p>
        </w:tc>
        <w:tc>
          <w:tcPr>
            <w:tcW w:w="800" w:type="dxa"/>
            <w:vAlign w:val="bottom"/>
          </w:tcPr>
          <w:p>
            <w:pPr>
              <w:spacing w:after="0"/>
              <w:rPr>
                <w:sz w:val="24"/>
                <w:szCs w:val="24"/>
                <w:color w:val="auto"/>
              </w:rPr>
            </w:pPr>
          </w:p>
        </w:tc>
      </w:tr>
      <w:tr>
        <w:trPr>
          <w:trHeight w:val="334"/>
        </w:trPr>
        <w:tc>
          <w:tcPr>
            <w:tcW w:w="760" w:type="dxa"/>
            <w:vAlign w:val="bottom"/>
          </w:tcPr>
          <w:p>
            <w:pPr>
              <w:spacing w:after="0"/>
              <w:rPr>
                <w:sz w:val="20"/>
                <w:szCs w:val="20"/>
                <w:color w:val="auto"/>
              </w:rPr>
            </w:pPr>
            <w:r>
              <w:rPr>
                <w:rFonts w:ascii="Arial" w:cs="Arial" w:eastAsia="Arial" w:hAnsi="Arial"/>
                <w:sz w:val="18"/>
                <w:szCs w:val="18"/>
                <w:color w:val="auto"/>
              </w:rPr>
              <w:t>Item 1A.</w:t>
            </w:r>
          </w:p>
        </w:tc>
        <w:tc>
          <w:tcPr>
            <w:tcW w:w="9680" w:type="dxa"/>
            <w:vAlign w:val="bottom"/>
            <w:gridSpan w:val="5"/>
          </w:tcPr>
          <w:p>
            <w:pPr>
              <w:ind w:left="12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Risk Factors</w:t>
              </w:r>
            </w:hyperlink>
          </w:p>
        </w:tc>
        <w:tc>
          <w:tcPr>
            <w:tcW w:w="800" w:type="dxa"/>
            <w:vAlign w:val="bottom"/>
          </w:tcPr>
          <w:p>
            <w:pPr>
              <w:ind w:left="280"/>
              <w:spacing w:after="0"/>
              <w:rPr>
                <w:sz w:val="20"/>
                <w:szCs w:val="20"/>
                <w:color w:val="auto"/>
              </w:rPr>
            </w:pPr>
            <w:r>
              <w:rPr>
                <w:rFonts w:ascii="Arial" w:cs="Arial" w:eastAsia="Arial" w:hAnsi="Arial"/>
                <w:sz w:val="18"/>
                <w:szCs w:val="18"/>
                <w:color w:val="auto"/>
              </w:rPr>
              <w:t>-18-</w:t>
            </w:r>
          </w:p>
        </w:tc>
      </w:tr>
      <w:tr>
        <w:trPr>
          <w:trHeight w:val="334"/>
        </w:trPr>
        <w:tc>
          <w:tcPr>
            <w:tcW w:w="760" w:type="dxa"/>
            <w:vAlign w:val="bottom"/>
          </w:tcPr>
          <w:p>
            <w:pPr>
              <w:spacing w:after="0"/>
              <w:rPr>
                <w:sz w:val="20"/>
                <w:szCs w:val="20"/>
                <w:color w:val="auto"/>
              </w:rPr>
            </w:pPr>
            <w:r>
              <w:rPr>
                <w:rFonts w:ascii="Arial" w:cs="Arial" w:eastAsia="Arial" w:hAnsi="Arial"/>
                <w:sz w:val="18"/>
                <w:szCs w:val="18"/>
                <w:color w:val="auto"/>
              </w:rPr>
              <w:t>Item 6.</w:t>
            </w:r>
          </w:p>
        </w:tc>
        <w:tc>
          <w:tcPr>
            <w:tcW w:w="9680" w:type="dxa"/>
            <w:vAlign w:val="bottom"/>
            <w:gridSpan w:val="5"/>
          </w:tcPr>
          <w:p>
            <w:pPr>
              <w:ind w:left="12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Exhibits</w:t>
              </w:r>
            </w:hyperlink>
          </w:p>
        </w:tc>
        <w:tc>
          <w:tcPr>
            <w:tcW w:w="800" w:type="dxa"/>
            <w:vAlign w:val="bottom"/>
          </w:tcPr>
          <w:p>
            <w:pPr>
              <w:ind w:left="280"/>
              <w:spacing w:after="0"/>
              <w:rPr>
                <w:sz w:val="20"/>
                <w:szCs w:val="20"/>
                <w:color w:val="auto"/>
              </w:rPr>
            </w:pPr>
            <w:r>
              <w:rPr>
                <w:rFonts w:ascii="Arial" w:cs="Arial" w:eastAsia="Arial" w:hAnsi="Arial"/>
                <w:sz w:val="18"/>
                <w:szCs w:val="18"/>
                <w:color w:val="auto"/>
              </w:rPr>
              <w:t>-18-</w:t>
            </w:r>
          </w:p>
        </w:tc>
      </w:tr>
    </w:tbl>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Items 2, 3, 4 and 5 of Part II are omitted because there is no information to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70"/>
        </w:trPr>
        <w:tc>
          <w:tcPr>
            <w:tcW w:w="5800" w:type="dxa"/>
            <w:vAlign w:val="bottom"/>
            <w:tcBorders>
              <w:bottom w:val="single" w:sz="8" w:color="CFF0FC"/>
            </w:tcBorders>
          </w:tcPr>
          <w:p>
            <w:pPr>
              <w:spacing w:after="0"/>
              <w:rPr>
                <w:sz w:val="14"/>
                <w:szCs w:val="14"/>
                <w:color w:val="auto"/>
              </w:rPr>
            </w:pPr>
          </w:p>
        </w:tc>
        <w:tc>
          <w:tcPr>
            <w:tcW w:w="26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800" w:type="dxa"/>
            <w:vAlign w:val="bottom"/>
            <w:shd w:val="clear" w:color="auto" w:fill="CFF0FC"/>
          </w:tcPr>
          <w:p>
            <w:pPr>
              <w:spacing w:after="0" w:line="154" w:lineRule="exact"/>
              <w:rPr>
                <w:sz w:val="20"/>
                <w:szCs w:val="20"/>
                <w:color w:val="auto"/>
              </w:rPr>
            </w:pPr>
            <w:r>
              <w:rPr>
                <w:rFonts w:ascii="Arial" w:cs="Arial" w:eastAsia="Arial" w:hAnsi="Arial"/>
                <w:sz w:val="14"/>
                <w:szCs w:val="14"/>
                <w:b w:val="1"/>
                <w:bCs w:val="1"/>
                <w:color w:val="auto"/>
              </w:rPr>
              <w:t>ASSETS</w:t>
            </w:r>
          </w:p>
        </w:tc>
        <w:tc>
          <w:tcPr>
            <w:tcW w:w="2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80" w:type="dxa"/>
            <w:vAlign w:val="bottom"/>
            <w:shd w:val="clear" w:color="auto" w:fill="CFF0FC"/>
          </w:tcPr>
          <w:p>
            <w:pPr>
              <w:jc w:val="center"/>
              <w:ind w:right="73"/>
              <w:spacing w:after="0" w:line="154"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5800" w:type="dxa"/>
            <w:vAlign w:val="bottom"/>
          </w:tcPr>
          <w:p>
            <w:pPr>
              <w:spacing w:after="0"/>
              <w:rPr>
                <w:sz w:val="20"/>
                <w:szCs w:val="20"/>
                <w:color w:val="auto"/>
              </w:rPr>
            </w:pPr>
            <w:r>
              <w:rPr>
                <w:rFonts w:ascii="Arial" w:cs="Arial" w:eastAsia="Arial" w:hAnsi="Arial"/>
                <w:sz w:val="18"/>
                <w:szCs w:val="18"/>
                <w:color w:val="auto"/>
              </w:rPr>
              <w:t>Current assets:</w:t>
            </w:r>
          </w:p>
        </w:tc>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63,255</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65,075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11,870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12,277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 net</w:t>
            </w:r>
          </w:p>
        </w:tc>
        <w:tc>
          <w:tcPr>
            <w:tcW w:w="2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18,348</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19,166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w:t>
            </w:r>
          </w:p>
        </w:tc>
        <w:tc>
          <w:tcPr>
            <w:tcW w:w="26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6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95,097</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97,772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00" w:type="dxa"/>
            <w:vAlign w:val="bottom"/>
          </w:tcPr>
          <w:p>
            <w:pPr>
              <w:spacing w:after="0"/>
              <w:rPr>
                <w:sz w:val="20"/>
                <w:szCs w:val="20"/>
                <w:color w:val="auto"/>
              </w:rPr>
            </w:pPr>
            <w:r>
              <w:rPr>
                <w:rFonts w:ascii="Arial" w:cs="Arial" w:eastAsia="Arial" w:hAnsi="Arial"/>
                <w:sz w:val="18"/>
                <w:szCs w:val="18"/>
                <w:color w:val="auto"/>
              </w:rPr>
              <w:t>Other assets:</w:t>
            </w:r>
          </w:p>
        </w:tc>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Note receivable from affiliate</w:t>
            </w:r>
          </w:p>
        </w:tc>
        <w:tc>
          <w:tcPr>
            <w:tcW w:w="2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28,100</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30,500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tcPr>
          <w:p>
            <w:pPr>
              <w:ind w:left="260"/>
              <w:spacing w:after="0"/>
              <w:rPr>
                <w:sz w:val="20"/>
                <w:szCs w:val="20"/>
                <w:color w:val="auto"/>
              </w:rPr>
            </w:pPr>
            <w:r>
              <w:rPr>
                <w:rFonts w:ascii="Arial" w:cs="Arial" w:eastAsia="Arial" w:hAnsi="Arial"/>
                <w:sz w:val="18"/>
                <w:szCs w:val="18"/>
                <w:color w:val="auto"/>
              </w:rPr>
              <w:t>Goodwill</w:t>
            </w:r>
          </w:p>
        </w:tc>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23,742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23,742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noncurrent</w:t>
            </w:r>
          </w:p>
        </w:tc>
        <w:tc>
          <w:tcPr>
            <w:tcW w:w="26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assets</w:t>
            </w:r>
          </w:p>
        </w:tc>
        <w:tc>
          <w:tcPr>
            <w:tcW w:w="26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52,432</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54,832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2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tcPr>
          <w:p>
            <w:pPr>
              <w:ind w:left="260"/>
              <w:spacing w:after="0"/>
              <w:rPr>
                <w:sz w:val="20"/>
                <w:szCs w:val="20"/>
                <w:color w:val="auto"/>
              </w:rPr>
            </w:pPr>
            <w:r>
              <w:rPr>
                <w:rFonts w:ascii="Arial" w:cs="Arial" w:eastAsia="Arial" w:hAnsi="Arial"/>
                <w:sz w:val="18"/>
                <w:szCs w:val="18"/>
                <w:color w:val="auto"/>
              </w:rPr>
              <w:t>Land</w:t>
            </w:r>
          </w:p>
        </w:tc>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4,940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4,940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Buildings</w:t>
            </w:r>
          </w:p>
        </w:tc>
        <w:tc>
          <w:tcPr>
            <w:tcW w:w="2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23,047</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23,057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tcPr>
          <w:p>
            <w:pPr>
              <w:ind w:left="260"/>
              <w:spacing w:after="0"/>
              <w:rPr>
                <w:sz w:val="20"/>
                <w:szCs w:val="20"/>
                <w:color w:val="auto"/>
              </w:rPr>
            </w:pPr>
            <w:r>
              <w:rPr>
                <w:rFonts w:ascii="Arial" w:cs="Arial" w:eastAsia="Arial" w:hAnsi="Arial"/>
                <w:sz w:val="18"/>
                <w:szCs w:val="18"/>
                <w:color w:val="auto"/>
              </w:rPr>
              <w:t>Equipment</w:t>
            </w:r>
          </w:p>
        </w:tc>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67,718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68,047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Construction in progress</w:t>
            </w:r>
          </w:p>
        </w:tc>
        <w:tc>
          <w:tcPr>
            <w:tcW w:w="26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1,002</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96,707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96,807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accumulated depreciation</w:t>
            </w:r>
          </w:p>
        </w:tc>
        <w:tc>
          <w:tcPr>
            <w:tcW w:w="26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65,692</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67,445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property and equipment</w:t>
            </w:r>
          </w:p>
        </w:tc>
        <w:tc>
          <w:tcPr>
            <w:tcW w:w="26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31,015</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29,362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26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178,544</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181,966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5800" w:type="dxa"/>
            <w:vAlign w:val="bottom"/>
            <w:vMerge w:val="continue"/>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12,078</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11,075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payable to affiliates</w:t>
            </w:r>
          </w:p>
        </w:tc>
        <w:tc>
          <w:tcPr>
            <w:tcW w:w="26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984</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current liabilities</w:t>
            </w:r>
          </w:p>
        </w:tc>
        <w:tc>
          <w:tcPr>
            <w:tcW w:w="26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13,062</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11,733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 -</w:t>
            </w:r>
          </w:p>
        </w:tc>
        <w:tc>
          <w:tcPr>
            <w:tcW w:w="2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income taxes</w:t>
            </w:r>
          </w:p>
        </w:tc>
        <w:tc>
          <w:tcPr>
            <w:tcW w:w="26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3,287</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3,486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tcPr>
          <w:p>
            <w:pPr>
              <w:ind w:left="260"/>
              <w:spacing w:after="0"/>
              <w:rPr>
                <w:sz w:val="20"/>
                <w:szCs w:val="20"/>
                <w:color w:val="auto"/>
              </w:rPr>
            </w:pPr>
            <w:r>
              <w:rPr>
                <w:rFonts w:ascii="Arial" w:cs="Arial" w:eastAsia="Arial" w:hAnsi="Arial"/>
                <w:sz w:val="18"/>
                <w:szCs w:val="18"/>
                <w:color w:val="auto"/>
              </w:rPr>
              <w:t>Preferred stock</w:t>
            </w:r>
          </w:p>
        </w:tc>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7"/>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A common stock</w:t>
            </w:r>
          </w:p>
        </w:tc>
        <w:tc>
          <w:tcPr>
            <w:tcW w:w="2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55,869</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55,987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26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106,202</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110,636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26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162,195</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166,747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26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178,544</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181,966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 (Note 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4"/>
          </w:tcPr>
          <w:p>
            <w:pPr>
              <w:jc w:val="center"/>
              <w:ind w:right="172"/>
              <w:spacing w:after="0"/>
              <w:rPr>
                <w:sz w:val="20"/>
                <w:szCs w:val="20"/>
                <w:color w:val="auto"/>
              </w:rPr>
            </w:pPr>
            <w:r>
              <w:rPr>
                <w:rFonts w:ascii="Arial" w:cs="Arial" w:eastAsia="Arial" w:hAnsi="Arial"/>
                <w:sz w:val="14"/>
                <w:szCs w:val="14"/>
                <w:b w:val="1"/>
                <w:bCs w:val="1"/>
                <w:color w:val="auto"/>
                <w:w w:val="90"/>
              </w:rPr>
              <w:t>Three months ended</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9"/>
              </w:rPr>
              <w:t>Nine months ended</w:t>
            </w:r>
          </w:p>
        </w:tc>
      </w:tr>
      <w:tr>
        <w:trPr>
          <w:trHeight w:val="170"/>
        </w:trPr>
        <w:tc>
          <w:tcPr>
            <w:tcW w:w="57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left="436"/>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left="436"/>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4"/>
        </w:trPr>
        <w:tc>
          <w:tcPr>
            <w:tcW w:w="57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6"/>
              <w:spacing w:after="0" w:line="154"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2"/>
              <w:spacing w:after="0" w:line="154"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6"/>
              <w:spacing w:after="0" w:line="154"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2"/>
              <w:spacing w:after="0" w:line="154"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r>
      <w:tr>
        <w:trPr>
          <w:trHeight w:val="154"/>
        </w:trPr>
        <w:tc>
          <w:tcPr>
            <w:tcW w:w="5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3"/>
          </w:tcPr>
          <w:p>
            <w:pPr>
              <w:jc w:val="center"/>
              <w:ind w:left="436"/>
              <w:spacing w:after="0" w:line="154" w:lineRule="exact"/>
              <w:rPr>
                <w:sz w:val="20"/>
                <w:szCs w:val="20"/>
                <w:color w:val="auto"/>
              </w:rPr>
            </w:pPr>
            <w:r>
              <w:rPr>
                <w:rFonts w:ascii="Arial" w:cs="Arial" w:eastAsia="Arial" w:hAnsi="Arial"/>
                <w:sz w:val="14"/>
                <w:szCs w:val="14"/>
                <w:b w:val="1"/>
                <w:bCs w:val="1"/>
                <w:color w:val="auto"/>
                <w:w w:val="94"/>
              </w:rPr>
              <w:t>(unaudited)</w:t>
            </w: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3"/>
          </w:tcPr>
          <w:p>
            <w:pPr>
              <w:jc w:val="center"/>
              <w:ind w:left="436"/>
              <w:spacing w:after="0" w:line="154" w:lineRule="exact"/>
              <w:rPr>
                <w:sz w:val="20"/>
                <w:szCs w:val="20"/>
                <w:color w:val="auto"/>
              </w:rPr>
            </w:pPr>
            <w:r>
              <w:rPr>
                <w:rFonts w:ascii="Arial" w:cs="Arial" w:eastAsia="Arial" w:hAnsi="Arial"/>
                <w:sz w:val="14"/>
                <w:szCs w:val="14"/>
                <w:b w:val="1"/>
                <w:bCs w:val="1"/>
                <w:color w:val="auto"/>
                <w:w w:val="94"/>
              </w:rPr>
              <w:t>(unaudited)</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7"/>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29,703</w:t>
            </w:r>
          </w:p>
        </w:tc>
        <w:tc>
          <w:tcPr>
            <w:tcW w:w="64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28,426</w:t>
            </w:r>
          </w:p>
        </w:tc>
        <w:tc>
          <w:tcPr>
            <w:tcW w:w="54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94,610</w:t>
            </w:r>
          </w:p>
        </w:tc>
        <w:tc>
          <w:tcPr>
            <w:tcW w:w="64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84,537</w:t>
            </w:r>
          </w:p>
        </w:tc>
        <w:tc>
          <w:tcPr>
            <w:tcW w:w="100" w:type="dxa"/>
            <w:vAlign w:val="bottom"/>
            <w:shd w:val="clear" w:color="auto" w:fill="CFF0FC"/>
          </w:tcPr>
          <w:p>
            <w:pPr>
              <w:spacing w:after="0"/>
              <w:rPr>
                <w:sz w:val="19"/>
                <w:szCs w:val="19"/>
                <w:color w:val="auto"/>
              </w:rPr>
            </w:pPr>
          </w:p>
        </w:tc>
      </w:tr>
      <w:tr>
        <w:trPr>
          <w:trHeight w:val="227"/>
        </w:trPr>
        <w:tc>
          <w:tcPr>
            <w:tcW w:w="5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20,227</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21,098</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64,571</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59,412</w:t>
            </w:r>
          </w:p>
        </w:tc>
        <w:tc>
          <w:tcPr>
            <w:tcW w:w="100" w:type="dxa"/>
            <w:vAlign w:val="bottom"/>
            <w:tcBorders>
              <w:bottom w:val="single" w:sz="8" w:color="CFF0FC"/>
            </w:tcBorders>
          </w:tcPr>
          <w:p>
            <w:pPr>
              <w:spacing w:after="0"/>
              <w:rPr>
                <w:sz w:val="19"/>
                <w:szCs w:val="19"/>
                <w:color w:val="auto"/>
              </w:rPr>
            </w:pPr>
          </w:p>
        </w:tc>
      </w:tr>
      <w:tr>
        <w:trPr>
          <w:trHeight w:val="221"/>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7,328</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30,039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25,125</w:t>
            </w:r>
          </w:p>
        </w:tc>
        <w:tc>
          <w:tcPr>
            <w:tcW w:w="100" w:type="dxa"/>
            <w:vAlign w:val="bottom"/>
            <w:shd w:val="clear" w:color="auto" w:fill="CFF0FC"/>
          </w:tcPr>
          <w:p>
            <w:pPr>
              <w:spacing w:after="0"/>
              <w:rPr>
                <w:sz w:val="19"/>
                <w:szCs w:val="19"/>
                <w:color w:val="auto"/>
              </w:rPr>
            </w:pPr>
          </w:p>
        </w:tc>
      </w:tr>
      <w:tr>
        <w:trPr>
          <w:trHeight w:val="227"/>
        </w:trPr>
        <w:tc>
          <w:tcPr>
            <w:tcW w:w="5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 expense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5,210</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5,246</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15,860</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15,654</w:t>
            </w:r>
          </w:p>
        </w:tc>
        <w:tc>
          <w:tcPr>
            <w:tcW w:w="100" w:type="dxa"/>
            <w:vAlign w:val="bottom"/>
            <w:tcBorders>
              <w:bottom w:val="single" w:sz="8" w:color="CFF0FC"/>
            </w:tcBorders>
          </w:tcPr>
          <w:p>
            <w:pPr>
              <w:spacing w:after="0"/>
              <w:rPr>
                <w:sz w:val="19"/>
                <w:szCs w:val="19"/>
                <w:color w:val="auto"/>
              </w:rPr>
            </w:pPr>
          </w:p>
        </w:tc>
      </w:tr>
      <w:tr>
        <w:trPr>
          <w:trHeight w:val="221"/>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2,082</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9,471</w:t>
            </w:r>
          </w:p>
        </w:tc>
        <w:tc>
          <w:tcPr>
            <w:tcW w:w="100" w:type="dxa"/>
            <w:vAlign w:val="bottom"/>
            <w:shd w:val="clear" w:color="auto" w:fill="CFF0FC"/>
          </w:tcPr>
          <w:p>
            <w:pPr>
              <w:spacing w:after="0"/>
              <w:rPr>
                <w:sz w:val="19"/>
                <w:szCs w:val="19"/>
                <w:color w:val="auto"/>
              </w:rPr>
            </w:pPr>
          </w:p>
        </w:tc>
      </w:tr>
      <w:tr>
        <w:trPr>
          <w:trHeight w:val="227"/>
        </w:trPr>
        <w:tc>
          <w:tcPr>
            <w:tcW w:w="5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360</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2,512</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1,337</w:t>
            </w:r>
          </w:p>
        </w:tc>
        <w:tc>
          <w:tcPr>
            <w:tcW w:w="100" w:type="dxa"/>
            <w:vAlign w:val="bottom"/>
            <w:tcBorders>
              <w:bottom w:val="single" w:sz="8" w:color="CFF0FC"/>
            </w:tcBorders>
          </w:tcPr>
          <w:p>
            <w:pPr>
              <w:spacing w:after="0"/>
              <w:rPr>
                <w:sz w:val="19"/>
                <w:szCs w:val="19"/>
                <w:color w:val="auto"/>
              </w:rPr>
            </w:pPr>
          </w:p>
        </w:tc>
      </w:tr>
      <w:tr>
        <w:trPr>
          <w:trHeight w:val="221"/>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before taxes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2,442</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16,691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10,808</w:t>
            </w:r>
          </w:p>
        </w:tc>
        <w:tc>
          <w:tcPr>
            <w:tcW w:w="100" w:type="dxa"/>
            <w:vAlign w:val="bottom"/>
            <w:shd w:val="clear" w:color="auto" w:fill="CFF0FC"/>
          </w:tcPr>
          <w:p>
            <w:pPr>
              <w:spacing w:after="0"/>
              <w:rPr>
                <w:sz w:val="19"/>
                <w:szCs w:val="19"/>
                <w:color w:val="auto"/>
              </w:rPr>
            </w:pPr>
          </w:p>
        </w:tc>
      </w:tr>
      <w:tr>
        <w:trPr>
          <w:trHeight w:val="227"/>
        </w:trPr>
        <w:tc>
          <w:tcPr>
            <w:tcW w:w="5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610</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3,923</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2,640</w:t>
            </w:r>
          </w:p>
        </w:tc>
        <w:tc>
          <w:tcPr>
            <w:tcW w:w="100" w:type="dxa"/>
            <w:vAlign w:val="bottom"/>
            <w:tcBorders>
              <w:bottom w:val="single" w:sz="8" w:color="CFF0FC"/>
            </w:tcBorders>
          </w:tcPr>
          <w:p>
            <w:pPr>
              <w:spacing w:after="0"/>
              <w:rPr>
                <w:sz w:val="19"/>
                <w:szCs w:val="19"/>
                <w:color w:val="auto"/>
              </w:rPr>
            </w:pPr>
          </w:p>
        </w:tc>
      </w:tr>
      <w:tr>
        <w:trPr>
          <w:trHeight w:val="221"/>
        </w:trPr>
        <w:tc>
          <w:tcPr>
            <w:tcW w:w="57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3,887</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1,832</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12,768</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8,168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income per common share</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0.31</w:t>
            </w:r>
          </w:p>
        </w:tc>
        <w:tc>
          <w:tcPr>
            <w:tcW w:w="64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0.15</w:t>
            </w:r>
          </w:p>
        </w:tc>
        <w:tc>
          <w:tcPr>
            <w:tcW w:w="54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64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0.66</w:t>
            </w:r>
          </w:p>
        </w:tc>
        <w:tc>
          <w:tcPr>
            <w:tcW w:w="100" w:type="dxa"/>
            <w:vAlign w:val="bottom"/>
            <w:shd w:val="clear" w:color="auto" w:fill="CFF0FC"/>
          </w:tcPr>
          <w:p>
            <w:pPr>
              <w:spacing w:after="0"/>
              <w:rPr>
                <w:sz w:val="19"/>
                <w:szCs w:val="19"/>
                <w:color w:val="auto"/>
              </w:rPr>
            </w:pPr>
          </w:p>
        </w:tc>
      </w:tr>
      <w:tr>
        <w:trPr>
          <w:trHeight w:val="20"/>
        </w:trPr>
        <w:tc>
          <w:tcPr>
            <w:tcW w:w="57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07"/>
        </w:trPr>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5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12,433</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12,451</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12,439</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12,447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Three months ended September 30, 2019 and 2020 (unaudited)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840" w:type="dxa"/>
            <w:vAlign w:val="bottom"/>
          </w:tcPr>
          <w:p>
            <w:pPr>
              <w:spacing w:after="0"/>
              <w:rPr>
                <w:sz w:val="12"/>
                <w:szCs w:val="12"/>
                <w:color w:val="auto"/>
              </w:rPr>
            </w:pPr>
          </w:p>
        </w:tc>
        <w:tc>
          <w:tcPr>
            <w:tcW w:w="840" w:type="dxa"/>
            <w:vAlign w:val="bottom"/>
            <w:tcBorders>
              <w:top w:val="single" w:sz="8" w:color="auto"/>
            </w:tcBorders>
          </w:tcPr>
          <w:p>
            <w:pPr>
              <w:jc w:val="center"/>
              <w:ind w:left="227"/>
              <w:spacing w:after="0" w:line="146" w:lineRule="exact"/>
              <w:rPr>
                <w:sz w:val="20"/>
                <w:szCs w:val="20"/>
                <w:color w:val="auto"/>
              </w:rPr>
            </w:pPr>
            <w:r>
              <w:rPr>
                <w:rFonts w:ascii="Arial" w:cs="Arial" w:eastAsia="Arial" w:hAnsi="Arial"/>
                <w:sz w:val="14"/>
                <w:szCs w:val="14"/>
                <w:b w:val="1"/>
                <w:bCs w:val="1"/>
                <w:color w:val="auto"/>
                <w:w w:val="89"/>
              </w:rPr>
              <w:t>Class A</w:t>
            </w: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center"/>
              <w:ind w:right="520"/>
              <w:spacing w:after="0" w:line="146" w:lineRule="exact"/>
              <w:rPr>
                <w:sz w:val="20"/>
                <w:szCs w:val="20"/>
                <w:color w:val="auto"/>
              </w:rPr>
            </w:pPr>
            <w:r>
              <w:rPr>
                <w:rFonts w:ascii="Arial" w:cs="Arial" w:eastAsia="Arial" w:hAnsi="Arial"/>
                <w:sz w:val="14"/>
                <w:szCs w:val="14"/>
                <w:b w:val="1"/>
                <w:bCs w:val="1"/>
                <w:color w:val="auto"/>
                <w:w w:val="96"/>
              </w:rPr>
              <w:t>Additional</w:t>
            </w:r>
          </w:p>
        </w:tc>
        <w:tc>
          <w:tcPr>
            <w:tcW w:w="2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center"/>
              <w:ind w:right="175"/>
              <w:spacing w:after="0" w:line="146"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r>
      <w:tr>
        <w:trPr>
          <w:trHeight w:val="160"/>
        </w:trPr>
        <w:tc>
          <w:tcPr>
            <w:tcW w:w="4840" w:type="dxa"/>
            <w:vAlign w:val="bottom"/>
          </w:tcPr>
          <w:p>
            <w:pPr>
              <w:spacing w:after="0"/>
              <w:rPr>
                <w:sz w:val="13"/>
                <w:szCs w:val="13"/>
                <w:color w:val="auto"/>
              </w:rPr>
            </w:pPr>
          </w:p>
        </w:tc>
        <w:tc>
          <w:tcPr>
            <w:tcW w:w="840" w:type="dxa"/>
            <w:vAlign w:val="bottom"/>
          </w:tcPr>
          <w:p>
            <w:pPr>
              <w:jc w:val="center"/>
              <w:ind w:left="207"/>
              <w:spacing w:after="0"/>
              <w:rPr>
                <w:sz w:val="20"/>
                <w:szCs w:val="20"/>
                <w:color w:val="auto"/>
              </w:rPr>
            </w:pPr>
            <w:r>
              <w:rPr>
                <w:rFonts w:ascii="Arial" w:cs="Arial" w:eastAsia="Arial" w:hAnsi="Arial"/>
                <w:sz w:val="14"/>
                <w:szCs w:val="14"/>
                <w:b w:val="1"/>
                <w:bCs w:val="1"/>
                <w:color w:val="auto"/>
                <w:w w:val="89"/>
              </w:rPr>
              <w:t>common</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paid-in</w:t>
            </w:r>
          </w:p>
        </w:tc>
        <w:tc>
          <w:tcPr>
            <w:tcW w:w="280" w:type="dxa"/>
            <w:vAlign w:val="bottom"/>
          </w:tcPr>
          <w:p>
            <w:pPr>
              <w:spacing w:after="0"/>
              <w:rPr>
                <w:sz w:val="13"/>
                <w:szCs w:val="13"/>
                <w:color w:val="auto"/>
              </w:rPr>
            </w:pPr>
          </w:p>
        </w:tc>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stockholders'</w:t>
            </w:r>
          </w:p>
        </w:tc>
      </w:tr>
      <w:tr>
        <w:trPr>
          <w:trHeight w:val="170"/>
        </w:trPr>
        <w:tc>
          <w:tcPr>
            <w:tcW w:w="4840" w:type="dxa"/>
            <w:vAlign w:val="bottom"/>
          </w:tcPr>
          <w:p>
            <w:pPr>
              <w:spacing w:after="0"/>
              <w:rPr>
                <w:sz w:val="14"/>
                <w:szCs w:val="14"/>
                <w:color w:val="auto"/>
              </w:rPr>
            </w:pPr>
          </w:p>
        </w:tc>
        <w:tc>
          <w:tcPr>
            <w:tcW w:w="840" w:type="dxa"/>
            <w:vAlign w:val="bottom"/>
            <w:tcBorders>
              <w:bottom w:val="single" w:sz="8" w:color="auto"/>
            </w:tcBorders>
          </w:tcPr>
          <w:p>
            <w:pPr>
              <w:jc w:val="center"/>
              <w:ind w:left="207"/>
              <w:spacing w:after="0"/>
              <w:rPr>
                <w:sz w:val="20"/>
                <w:szCs w:val="20"/>
                <w:color w:val="auto"/>
              </w:rPr>
            </w:pPr>
            <w:r>
              <w:rPr>
                <w:rFonts w:ascii="Arial" w:cs="Arial" w:eastAsia="Arial" w:hAnsi="Arial"/>
                <w:sz w:val="14"/>
                <w:szCs w:val="14"/>
                <w:b w:val="1"/>
                <w:bCs w:val="1"/>
                <w:color w:val="auto"/>
                <w:w w:val="87"/>
              </w:rPr>
              <w:t>stock</w:t>
            </w:r>
          </w:p>
        </w:tc>
        <w:tc>
          <w:tcPr>
            <w:tcW w:w="3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4"/>
              </w:rPr>
              <w:t>capital</w:t>
            </w:r>
          </w:p>
        </w:tc>
        <w:tc>
          <w:tcPr>
            <w:tcW w:w="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earnings</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2"/>
              </w:rPr>
              <w:t>equity</w:t>
            </w:r>
          </w:p>
        </w:tc>
        <w:tc>
          <w:tcPr>
            <w:tcW w:w="100" w:type="dxa"/>
            <w:vAlign w:val="bottom"/>
          </w:tcPr>
          <w:p>
            <w:pPr>
              <w:spacing w:after="0"/>
              <w:rPr>
                <w:sz w:val="14"/>
                <w:szCs w:val="14"/>
                <w:color w:val="auto"/>
              </w:rPr>
            </w:pPr>
          </w:p>
        </w:tc>
      </w:tr>
      <w:tr>
        <w:trPr>
          <w:trHeight w:val="447"/>
        </w:trPr>
        <w:tc>
          <w:tcPr>
            <w:tcW w:w="4840" w:type="dxa"/>
            <w:vAlign w:val="bottom"/>
          </w:tcPr>
          <w:p>
            <w:pPr>
              <w:spacing w:after="0"/>
              <w:rPr>
                <w:sz w:val="20"/>
                <w:szCs w:val="20"/>
                <w:color w:val="auto"/>
              </w:rPr>
            </w:pPr>
            <w:r>
              <w:rPr>
                <w:rFonts w:ascii="Arial" w:cs="Arial" w:eastAsia="Arial" w:hAnsi="Arial"/>
                <w:sz w:val="18"/>
                <w:szCs w:val="18"/>
                <w:color w:val="auto"/>
              </w:rPr>
              <w:t>Balance at June 30, 2019</w:t>
            </w:r>
          </w:p>
        </w:tc>
        <w:tc>
          <w:tcPr>
            <w:tcW w:w="840" w:type="dxa"/>
            <w:vAlign w:val="bottom"/>
          </w:tcPr>
          <w:p>
            <w:pPr>
              <w:jc w:val="right"/>
              <w:ind w:right="687"/>
              <w:spacing w:after="0"/>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124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55,869</w:t>
            </w:r>
          </w:p>
        </w:tc>
        <w:tc>
          <w:tcPr>
            <w:tcW w:w="320" w:type="dxa"/>
            <w:vAlign w:val="bottom"/>
          </w:tcPr>
          <w:p>
            <w:pPr>
              <w:spacing w:after="0"/>
              <w:rPr>
                <w:sz w:val="24"/>
                <w:szCs w:val="24"/>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100,826</w:t>
            </w:r>
          </w:p>
        </w:tc>
        <w:tc>
          <w:tcPr>
            <w:tcW w:w="320" w:type="dxa"/>
            <w:vAlign w:val="bottom"/>
          </w:tcPr>
          <w:p>
            <w:pPr>
              <w:spacing w:after="0"/>
              <w:rPr>
                <w:sz w:val="24"/>
                <w:szCs w:val="24"/>
                <w:color w:val="auto"/>
              </w:rPr>
            </w:pPr>
          </w:p>
        </w:tc>
        <w:tc>
          <w:tcPr>
            <w:tcW w:w="240" w:type="dxa"/>
            <w:vAlign w:val="bottom"/>
            <w:gridSpan w:val="2"/>
          </w:tcPr>
          <w:p>
            <w:pPr>
              <w:jc w:val="right"/>
              <w:ind w:right="68"/>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156,819</w:t>
            </w:r>
          </w:p>
        </w:tc>
        <w:tc>
          <w:tcPr>
            <w:tcW w:w="100" w:type="dxa"/>
            <w:vAlign w:val="bottom"/>
          </w:tcPr>
          <w:p>
            <w:pPr>
              <w:spacing w:after="0"/>
              <w:rPr>
                <w:sz w:val="24"/>
                <w:szCs w:val="24"/>
                <w:color w:val="auto"/>
              </w:rPr>
            </w:pPr>
          </w:p>
        </w:tc>
      </w:tr>
      <w:tr>
        <w:trPr>
          <w:trHeight w:val="228"/>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3,887</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3,887</w:t>
            </w:r>
          </w:p>
        </w:tc>
        <w:tc>
          <w:tcPr>
            <w:tcW w:w="100" w:type="dxa"/>
            <w:vAlign w:val="bottom"/>
            <w:shd w:val="clear" w:color="auto" w:fill="CFF0FC"/>
          </w:tcPr>
          <w:p>
            <w:pPr>
              <w:spacing w:after="0"/>
              <w:rPr>
                <w:sz w:val="19"/>
                <w:szCs w:val="19"/>
                <w:color w:val="auto"/>
              </w:rPr>
            </w:pPr>
          </w:p>
        </w:tc>
      </w:tr>
      <w:tr>
        <w:trPr>
          <w:trHeight w:val="227"/>
        </w:trPr>
        <w:tc>
          <w:tcPr>
            <w:tcW w:w="4840" w:type="dxa"/>
            <w:vAlign w:val="bottom"/>
          </w:tcPr>
          <w:p>
            <w:pPr>
              <w:spacing w:after="0"/>
              <w:rPr>
                <w:sz w:val="20"/>
                <w:szCs w:val="20"/>
                <w:color w:val="auto"/>
              </w:rPr>
            </w:pPr>
            <w:r>
              <w:rPr>
                <w:rFonts w:ascii="Arial" w:cs="Arial" w:eastAsia="Arial" w:hAnsi="Arial"/>
                <w:sz w:val="18"/>
                <w:szCs w:val="18"/>
                <w:color w:val="auto"/>
              </w:rPr>
              <w:t>Cash dividends ($0.07 per share)</w:t>
            </w:r>
          </w:p>
        </w:tc>
        <w:tc>
          <w:tcPr>
            <w:tcW w:w="8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(871)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(871)</w:t>
            </w:r>
          </w:p>
        </w:tc>
      </w:tr>
      <w:tr>
        <w:trPr>
          <w:trHeight w:val="221"/>
        </w:trPr>
        <w:tc>
          <w:tcPr>
            <w:tcW w:w="4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2019</w:t>
            </w:r>
          </w:p>
        </w:tc>
        <w:tc>
          <w:tcPr>
            <w:tcW w:w="840" w:type="dxa"/>
            <w:vAlign w:val="bottom"/>
            <w:tcBorders>
              <w:top w:val="single" w:sz="8" w:color="auto"/>
              <w:bottom w:val="single" w:sz="8" w:color="auto"/>
            </w:tcBorders>
            <w:shd w:val="clear" w:color="auto" w:fill="CFF0FC"/>
          </w:tcPr>
          <w:p>
            <w:pPr>
              <w:jc w:val="right"/>
              <w:ind w:right="687"/>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124</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55,869</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103,842</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159,835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4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Balance at June 30, 2020</w:t>
            </w:r>
          </w:p>
        </w:tc>
        <w:tc>
          <w:tcPr>
            <w:tcW w:w="840" w:type="dxa"/>
            <w:vAlign w:val="bottom"/>
            <w:shd w:val="clear" w:color="auto" w:fill="CFF0FC"/>
          </w:tcPr>
          <w:p>
            <w:pPr>
              <w:jc w:val="right"/>
              <w:ind w:right="687"/>
              <w:spacing w:after="0"/>
              <w:rPr>
                <w:sz w:val="20"/>
                <w:szCs w:val="20"/>
                <w:color w:val="auto"/>
              </w:rPr>
            </w:pPr>
            <w:r>
              <w:rPr>
                <w:rFonts w:ascii="Arial" w:cs="Arial" w:eastAsia="Arial" w:hAnsi="Arial"/>
                <w:sz w:val="14"/>
                <w:szCs w:val="14"/>
                <w:color w:val="auto"/>
                <w:w w:val="76"/>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124</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55,987</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110,049</w:t>
            </w:r>
          </w:p>
        </w:tc>
        <w:tc>
          <w:tcPr>
            <w:tcW w:w="3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166,160</w:t>
            </w:r>
          </w:p>
        </w:tc>
        <w:tc>
          <w:tcPr>
            <w:tcW w:w="100" w:type="dxa"/>
            <w:vAlign w:val="bottom"/>
            <w:shd w:val="clear" w:color="auto" w:fill="CFF0FC"/>
          </w:tcPr>
          <w:p>
            <w:pPr>
              <w:spacing w:after="0"/>
              <w:rPr>
                <w:sz w:val="19"/>
                <w:szCs w:val="19"/>
                <w:color w:val="auto"/>
              </w:rPr>
            </w:pPr>
          </w:p>
        </w:tc>
      </w:tr>
      <w:tr>
        <w:trPr>
          <w:trHeight w:val="227"/>
        </w:trPr>
        <w:tc>
          <w:tcPr>
            <w:tcW w:w="4840" w:type="dxa"/>
            <w:vAlign w:val="bottom"/>
          </w:tcPr>
          <w:p>
            <w:pPr>
              <w:spacing w:after="0"/>
              <w:rPr>
                <w:sz w:val="20"/>
                <w:szCs w:val="20"/>
                <w:color w:val="auto"/>
              </w:rPr>
            </w:pPr>
            <w:r>
              <w:rPr>
                <w:rFonts w:ascii="Arial" w:cs="Arial" w:eastAsia="Arial" w:hAnsi="Arial"/>
                <w:sz w:val="18"/>
                <w:szCs w:val="18"/>
                <w:color w:val="auto"/>
              </w:rPr>
              <w:t>Net income</w:t>
            </w:r>
          </w:p>
        </w:tc>
        <w:tc>
          <w:tcPr>
            <w:tcW w:w="8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1,832</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1,832</w:t>
            </w:r>
          </w:p>
        </w:tc>
        <w:tc>
          <w:tcPr>
            <w:tcW w:w="100" w:type="dxa"/>
            <w:vAlign w:val="bottom"/>
          </w:tcPr>
          <w:p>
            <w:pPr>
              <w:spacing w:after="0"/>
              <w:rPr>
                <w:sz w:val="19"/>
                <w:szCs w:val="19"/>
                <w:color w:val="auto"/>
              </w:rPr>
            </w:pPr>
          </w:p>
        </w:tc>
      </w:tr>
      <w:tr>
        <w:trPr>
          <w:trHeight w:val="228"/>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($0.10 per share)</w:t>
            </w: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(1,245)</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(1,245)</w:t>
            </w:r>
          </w:p>
        </w:tc>
      </w:tr>
      <w:tr>
        <w:trPr>
          <w:trHeight w:val="221"/>
        </w:trPr>
        <w:tc>
          <w:tcPr>
            <w:tcW w:w="4840" w:type="dxa"/>
            <w:vAlign w:val="bottom"/>
          </w:tcPr>
          <w:p>
            <w:pPr>
              <w:spacing w:after="0"/>
              <w:rPr>
                <w:sz w:val="20"/>
                <w:szCs w:val="20"/>
                <w:color w:val="auto"/>
              </w:rPr>
            </w:pPr>
            <w:r>
              <w:rPr>
                <w:rFonts w:ascii="Arial" w:cs="Arial" w:eastAsia="Arial" w:hAnsi="Arial"/>
                <w:sz w:val="18"/>
                <w:szCs w:val="18"/>
                <w:color w:val="auto"/>
              </w:rPr>
              <w:t>Balance at September 30, 2020</w:t>
            </w:r>
          </w:p>
        </w:tc>
        <w:tc>
          <w:tcPr>
            <w:tcW w:w="840" w:type="dxa"/>
            <w:vAlign w:val="bottom"/>
            <w:tcBorders>
              <w:top w:val="single" w:sz="8" w:color="auto"/>
              <w:bottom w:val="single" w:sz="8" w:color="auto"/>
            </w:tcBorders>
          </w:tcPr>
          <w:p>
            <w:pPr>
              <w:jc w:val="right"/>
              <w:ind w:right="687"/>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124</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55,987</w:t>
            </w:r>
          </w:p>
        </w:tc>
        <w:tc>
          <w:tcPr>
            <w:tcW w:w="3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110,636</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166,747</w:t>
            </w:r>
          </w:p>
        </w:tc>
        <w:tc>
          <w:tcPr>
            <w:tcW w:w="100" w:type="dxa"/>
            <w:vAlign w:val="bottom"/>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35"/>
        </w:trPr>
        <w:tc>
          <w:tcPr>
            <w:tcW w:w="4840" w:type="dxa"/>
            <w:vAlign w:val="bottom"/>
          </w:tcPr>
          <w:p>
            <w:pPr>
              <w:spacing w:after="0"/>
              <w:rPr>
                <w:sz w:val="24"/>
                <w:szCs w:val="24"/>
                <w:color w:val="auto"/>
              </w:rPr>
            </w:pPr>
          </w:p>
        </w:tc>
        <w:tc>
          <w:tcPr>
            <w:tcW w:w="6400" w:type="dxa"/>
            <w:vAlign w:val="bottom"/>
            <w:gridSpan w:val="13"/>
          </w:tcPr>
          <w:p>
            <w:pPr>
              <w:jc w:val="right"/>
              <w:ind w:right="920"/>
              <w:spacing w:after="0"/>
              <w:rPr>
                <w:sz w:val="20"/>
                <w:szCs w:val="20"/>
                <w:color w:val="auto"/>
              </w:rPr>
            </w:pPr>
            <w:r>
              <w:rPr>
                <w:rFonts w:ascii="Arial" w:cs="Arial" w:eastAsia="Arial" w:hAnsi="Arial"/>
                <w:sz w:val="18"/>
                <w:szCs w:val="18"/>
                <w:b w:val="1"/>
                <w:bCs w:val="1"/>
                <w:color w:val="auto"/>
              </w:rPr>
              <w:t>Nine months ended September 30, 2019 and 2020 (unaudited)</w:t>
            </w:r>
          </w:p>
        </w:tc>
      </w:tr>
      <w:tr>
        <w:trPr>
          <w:trHeight w:val="145"/>
        </w:trPr>
        <w:tc>
          <w:tcPr>
            <w:tcW w:w="4840" w:type="dxa"/>
            <w:vAlign w:val="bottom"/>
          </w:tcPr>
          <w:p>
            <w:pPr>
              <w:spacing w:after="0"/>
              <w:rPr>
                <w:sz w:val="12"/>
                <w:szCs w:val="12"/>
                <w:color w:val="auto"/>
              </w:rPr>
            </w:pPr>
          </w:p>
        </w:tc>
        <w:tc>
          <w:tcPr>
            <w:tcW w:w="840" w:type="dxa"/>
            <w:vAlign w:val="bottom"/>
            <w:tcBorders>
              <w:top w:val="single" w:sz="8" w:color="auto"/>
            </w:tcBorders>
          </w:tcPr>
          <w:p>
            <w:pPr>
              <w:jc w:val="center"/>
              <w:ind w:left="227"/>
              <w:spacing w:after="0" w:line="145" w:lineRule="exact"/>
              <w:rPr>
                <w:sz w:val="20"/>
                <w:szCs w:val="20"/>
                <w:color w:val="auto"/>
              </w:rPr>
            </w:pPr>
            <w:r>
              <w:rPr>
                <w:rFonts w:ascii="Arial" w:cs="Arial" w:eastAsia="Arial" w:hAnsi="Arial"/>
                <w:sz w:val="14"/>
                <w:szCs w:val="14"/>
                <w:b w:val="1"/>
                <w:bCs w:val="1"/>
                <w:color w:val="auto"/>
                <w:w w:val="89"/>
              </w:rPr>
              <w:t>Class A</w:t>
            </w: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center"/>
              <w:ind w:right="520"/>
              <w:spacing w:after="0" w:line="145" w:lineRule="exact"/>
              <w:rPr>
                <w:sz w:val="20"/>
                <w:szCs w:val="20"/>
                <w:color w:val="auto"/>
              </w:rPr>
            </w:pPr>
            <w:r>
              <w:rPr>
                <w:rFonts w:ascii="Arial" w:cs="Arial" w:eastAsia="Arial" w:hAnsi="Arial"/>
                <w:sz w:val="14"/>
                <w:szCs w:val="14"/>
                <w:b w:val="1"/>
                <w:bCs w:val="1"/>
                <w:color w:val="auto"/>
                <w:w w:val="96"/>
              </w:rPr>
              <w:t>Additional</w:t>
            </w:r>
          </w:p>
        </w:tc>
        <w:tc>
          <w:tcPr>
            <w:tcW w:w="2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center"/>
              <w:ind w:right="175"/>
              <w:spacing w:after="0" w:line="145"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r>
      <w:tr>
        <w:trPr>
          <w:trHeight w:val="160"/>
        </w:trPr>
        <w:tc>
          <w:tcPr>
            <w:tcW w:w="4840" w:type="dxa"/>
            <w:vAlign w:val="bottom"/>
          </w:tcPr>
          <w:p>
            <w:pPr>
              <w:spacing w:after="0"/>
              <w:rPr>
                <w:sz w:val="13"/>
                <w:szCs w:val="13"/>
                <w:color w:val="auto"/>
              </w:rPr>
            </w:pPr>
          </w:p>
        </w:tc>
        <w:tc>
          <w:tcPr>
            <w:tcW w:w="840" w:type="dxa"/>
            <w:vAlign w:val="bottom"/>
          </w:tcPr>
          <w:p>
            <w:pPr>
              <w:jc w:val="center"/>
              <w:ind w:left="207"/>
              <w:spacing w:after="0"/>
              <w:rPr>
                <w:sz w:val="20"/>
                <w:szCs w:val="20"/>
                <w:color w:val="auto"/>
              </w:rPr>
            </w:pPr>
            <w:r>
              <w:rPr>
                <w:rFonts w:ascii="Arial" w:cs="Arial" w:eastAsia="Arial" w:hAnsi="Arial"/>
                <w:sz w:val="14"/>
                <w:szCs w:val="14"/>
                <w:b w:val="1"/>
                <w:bCs w:val="1"/>
                <w:color w:val="auto"/>
                <w:w w:val="89"/>
              </w:rPr>
              <w:t>common</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paid-in</w:t>
            </w:r>
          </w:p>
        </w:tc>
        <w:tc>
          <w:tcPr>
            <w:tcW w:w="280" w:type="dxa"/>
            <w:vAlign w:val="bottom"/>
          </w:tcPr>
          <w:p>
            <w:pPr>
              <w:spacing w:after="0"/>
              <w:rPr>
                <w:sz w:val="13"/>
                <w:szCs w:val="13"/>
                <w:color w:val="auto"/>
              </w:rPr>
            </w:pPr>
          </w:p>
        </w:tc>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stockholders'</w:t>
            </w:r>
          </w:p>
        </w:tc>
      </w:tr>
      <w:tr>
        <w:trPr>
          <w:trHeight w:val="170"/>
        </w:trPr>
        <w:tc>
          <w:tcPr>
            <w:tcW w:w="4840" w:type="dxa"/>
            <w:vAlign w:val="bottom"/>
          </w:tcPr>
          <w:p>
            <w:pPr>
              <w:spacing w:after="0"/>
              <w:rPr>
                <w:sz w:val="14"/>
                <w:szCs w:val="14"/>
                <w:color w:val="auto"/>
              </w:rPr>
            </w:pPr>
          </w:p>
        </w:tc>
        <w:tc>
          <w:tcPr>
            <w:tcW w:w="840" w:type="dxa"/>
            <w:vAlign w:val="bottom"/>
            <w:tcBorders>
              <w:bottom w:val="single" w:sz="8" w:color="auto"/>
            </w:tcBorders>
          </w:tcPr>
          <w:p>
            <w:pPr>
              <w:jc w:val="center"/>
              <w:ind w:left="207"/>
              <w:spacing w:after="0"/>
              <w:rPr>
                <w:sz w:val="20"/>
                <w:szCs w:val="20"/>
                <w:color w:val="auto"/>
              </w:rPr>
            </w:pPr>
            <w:r>
              <w:rPr>
                <w:rFonts w:ascii="Arial" w:cs="Arial" w:eastAsia="Arial" w:hAnsi="Arial"/>
                <w:sz w:val="14"/>
                <w:szCs w:val="14"/>
                <w:b w:val="1"/>
                <w:bCs w:val="1"/>
                <w:color w:val="auto"/>
                <w:w w:val="87"/>
              </w:rPr>
              <w:t>stock</w:t>
            </w:r>
          </w:p>
        </w:tc>
        <w:tc>
          <w:tcPr>
            <w:tcW w:w="3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4"/>
              </w:rPr>
              <w:t>capital</w:t>
            </w:r>
          </w:p>
        </w:tc>
        <w:tc>
          <w:tcPr>
            <w:tcW w:w="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earnings</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2"/>
              </w:rPr>
              <w:t>equity</w:t>
            </w:r>
          </w:p>
        </w:tc>
        <w:tc>
          <w:tcPr>
            <w:tcW w:w="100" w:type="dxa"/>
            <w:vAlign w:val="bottom"/>
          </w:tcPr>
          <w:p>
            <w:pPr>
              <w:spacing w:after="0"/>
              <w:rPr>
                <w:sz w:val="14"/>
                <w:szCs w:val="14"/>
                <w:color w:val="auto"/>
              </w:rPr>
            </w:pPr>
          </w:p>
        </w:tc>
      </w:tr>
      <w:tr>
        <w:trPr>
          <w:trHeight w:val="447"/>
        </w:trPr>
        <w:tc>
          <w:tcPr>
            <w:tcW w:w="4840" w:type="dxa"/>
            <w:vAlign w:val="bottom"/>
          </w:tcPr>
          <w:p>
            <w:pPr>
              <w:spacing w:after="0"/>
              <w:rPr>
                <w:sz w:val="20"/>
                <w:szCs w:val="20"/>
                <w:color w:val="auto"/>
              </w:rPr>
            </w:pPr>
            <w:r>
              <w:rPr>
                <w:rFonts w:ascii="Arial" w:cs="Arial" w:eastAsia="Arial" w:hAnsi="Arial"/>
                <w:sz w:val="18"/>
                <w:szCs w:val="18"/>
                <w:color w:val="auto"/>
              </w:rPr>
              <w:t>Balance at December 31, 2018</w:t>
            </w:r>
          </w:p>
        </w:tc>
        <w:tc>
          <w:tcPr>
            <w:tcW w:w="840" w:type="dxa"/>
            <w:vAlign w:val="bottom"/>
          </w:tcPr>
          <w:p>
            <w:pPr>
              <w:jc w:val="right"/>
              <w:ind w:right="687"/>
              <w:spacing w:after="0"/>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124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55,751</w:t>
            </w:r>
          </w:p>
        </w:tc>
        <w:tc>
          <w:tcPr>
            <w:tcW w:w="320" w:type="dxa"/>
            <w:vAlign w:val="bottom"/>
          </w:tcPr>
          <w:p>
            <w:pPr>
              <w:spacing w:after="0"/>
              <w:rPr>
                <w:sz w:val="24"/>
                <w:szCs w:val="24"/>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93,687</w:t>
            </w:r>
          </w:p>
        </w:tc>
        <w:tc>
          <w:tcPr>
            <w:tcW w:w="320" w:type="dxa"/>
            <w:vAlign w:val="bottom"/>
          </w:tcPr>
          <w:p>
            <w:pPr>
              <w:spacing w:after="0"/>
              <w:rPr>
                <w:sz w:val="24"/>
                <w:szCs w:val="24"/>
                <w:color w:val="auto"/>
              </w:rPr>
            </w:pPr>
          </w:p>
        </w:tc>
        <w:tc>
          <w:tcPr>
            <w:tcW w:w="240" w:type="dxa"/>
            <w:vAlign w:val="bottom"/>
            <w:gridSpan w:val="2"/>
          </w:tcPr>
          <w:p>
            <w:pPr>
              <w:jc w:val="right"/>
              <w:ind w:right="68"/>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149,562</w:t>
            </w:r>
          </w:p>
        </w:tc>
        <w:tc>
          <w:tcPr>
            <w:tcW w:w="100" w:type="dxa"/>
            <w:vAlign w:val="bottom"/>
          </w:tcPr>
          <w:p>
            <w:pPr>
              <w:spacing w:after="0"/>
              <w:rPr>
                <w:sz w:val="24"/>
                <w:szCs w:val="24"/>
                <w:color w:val="auto"/>
              </w:rPr>
            </w:pPr>
          </w:p>
        </w:tc>
      </w:tr>
      <w:tr>
        <w:trPr>
          <w:trHeight w:val="228"/>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12,768</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12,768</w:t>
            </w:r>
          </w:p>
        </w:tc>
        <w:tc>
          <w:tcPr>
            <w:tcW w:w="100" w:type="dxa"/>
            <w:vAlign w:val="bottom"/>
            <w:shd w:val="clear" w:color="auto" w:fill="CFF0FC"/>
          </w:tcPr>
          <w:p>
            <w:pPr>
              <w:spacing w:after="0"/>
              <w:rPr>
                <w:sz w:val="19"/>
                <w:szCs w:val="19"/>
                <w:color w:val="auto"/>
              </w:rPr>
            </w:pPr>
          </w:p>
        </w:tc>
      </w:tr>
      <w:tr>
        <w:trPr>
          <w:trHeight w:val="227"/>
        </w:trPr>
        <w:tc>
          <w:tcPr>
            <w:tcW w:w="484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8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r>
      <w:tr>
        <w:trPr>
          <w:trHeight w:val="228"/>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($0.21 per share)</w:t>
            </w: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(2,613)</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(2,613)</w:t>
            </w:r>
          </w:p>
        </w:tc>
      </w:tr>
      <w:tr>
        <w:trPr>
          <w:trHeight w:val="260"/>
        </w:trPr>
        <w:tc>
          <w:tcPr>
            <w:tcW w:w="4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September 30, 2019</w:t>
            </w:r>
          </w:p>
        </w:tc>
        <w:tc>
          <w:tcPr>
            <w:tcW w:w="840" w:type="dxa"/>
            <w:vAlign w:val="bottom"/>
            <w:tcBorders>
              <w:top w:val="single" w:sz="8" w:color="auto"/>
              <w:bottom w:val="single" w:sz="8" w:color="auto"/>
            </w:tcBorders>
          </w:tcPr>
          <w:p>
            <w:pPr>
              <w:jc w:val="right"/>
              <w:ind w:right="687"/>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124</w:t>
            </w:r>
          </w:p>
        </w:tc>
        <w:tc>
          <w:tcPr>
            <w:tcW w:w="3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55,869</w:t>
            </w:r>
          </w:p>
        </w:tc>
        <w:tc>
          <w:tcPr>
            <w:tcW w:w="32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103,842</w:t>
            </w:r>
          </w:p>
        </w:tc>
        <w:tc>
          <w:tcPr>
            <w:tcW w:w="3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159,835</w:t>
            </w:r>
          </w:p>
        </w:tc>
        <w:tc>
          <w:tcPr>
            <w:tcW w:w="100" w:type="dxa"/>
            <w:vAlign w:val="bottom"/>
            <w:tcBorders>
              <w:bottom w:val="single" w:sz="8" w:color="CFF0FC"/>
            </w:tcBorders>
          </w:tcPr>
          <w:p>
            <w:pPr>
              <w:spacing w:after="0"/>
              <w:rPr>
                <w:sz w:val="22"/>
                <w:szCs w:val="22"/>
                <w:color w:val="auto"/>
              </w:rPr>
            </w:pPr>
          </w:p>
        </w:tc>
      </w:tr>
      <w:tr>
        <w:trPr>
          <w:trHeight w:val="208"/>
        </w:trPr>
        <w:tc>
          <w:tcPr>
            <w:tcW w:w="48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7"/>
        </w:trPr>
        <w:tc>
          <w:tcPr>
            <w:tcW w:w="484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840" w:type="dxa"/>
            <w:vAlign w:val="bottom"/>
          </w:tcPr>
          <w:p>
            <w:pPr>
              <w:jc w:val="right"/>
              <w:ind w:right="687"/>
              <w:spacing w:after="0"/>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124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55,869</w:t>
            </w:r>
          </w:p>
        </w:tc>
        <w:tc>
          <w:tcPr>
            <w:tcW w:w="320" w:type="dxa"/>
            <w:vAlign w:val="bottom"/>
          </w:tcPr>
          <w:p>
            <w:pPr>
              <w:spacing w:after="0"/>
              <w:rPr>
                <w:sz w:val="19"/>
                <w:szCs w:val="19"/>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106,202</w:t>
            </w:r>
          </w:p>
        </w:tc>
        <w:tc>
          <w:tcPr>
            <w:tcW w:w="320" w:type="dxa"/>
            <w:vAlign w:val="bottom"/>
          </w:tcPr>
          <w:p>
            <w:pPr>
              <w:spacing w:after="0"/>
              <w:rPr>
                <w:sz w:val="19"/>
                <w:szCs w:val="19"/>
                <w:color w:val="auto"/>
              </w:rPr>
            </w:pPr>
          </w:p>
        </w:tc>
        <w:tc>
          <w:tcPr>
            <w:tcW w:w="240" w:type="dxa"/>
            <w:vAlign w:val="bottom"/>
            <w:gridSpan w:val="2"/>
          </w:tcPr>
          <w:p>
            <w:pPr>
              <w:jc w:val="right"/>
              <w:ind w:right="68"/>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162,195</w:t>
            </w:r>
          </w:p>
        </w:tc>
        <w:tc>
          <w:tcPr>
            <w:tcW w:w="100" w:type="dxa"/>
            <w:vAlign w:val="bottom"/>
          </w:tcPr>
          <w:p>
            <w:pPr>
              <w:spacing w:after="0"/>
              <w:rPr>
                <w:sz w:val="19"/>
                <w:szCs w:val="19"/>
                <w:color w:val="auto"/>
              </w:rPr>
            </w:pPr>
          </w:p>
        </w:tc>
      </w:tr>
      <w:tr>
        <w:trPr>
          <w:trHeight w:val="228"/>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8,168</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8,168</w:t>
            </w:r>
          </w:p>
        </w:tc>
        <w:tc>
          <w:tcPr>
            <w:tcW w:w="100" w:type="dxa"/>
            <w:vAlign w:val="bottom"/>
            <w:shd w:val="clear" w:color="auto" w:fill="CFF0FC"/>
          </w:tcPr>
          <w:p>
            <w:pPr>
              <w:spacing w:after="0"/>
              <w:rPr>
                <w:sz w:val="19"/>
                <w:szCs w:val="19"/>
                <w:color w:val="auto"/>
              </w:rPr>
            </w:pPr>
          </w:p>
        </w:tc>
      </w:tr>
      <w:tr>
        <w:trPr>
          <w:trHeight w:val="227"/>
        </w:trPr>
        <w:tc>
          <w:tcPr>
            <w:tcW w:w="484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8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r>
      <w:tr>
        <w:trPr>
          <w:trHeight w:val="228"/>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($0.30 per share)</w:t>
            </w: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(3,734)</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(3,734)</w:t>
            </w:r>
          </w:p>
        </w:tc>
      </w:tr>
      <w:tr>
        <w:trPr>
          <w:trHeight w:val="221"/>
        </w:trPr>
        <w:tc>
          <w:tcPr>
            <w:tcW w:w="4840" w:type="dxa"/>
            <w:vAlign w:val="bottom"/>
          </w:tcPr>
          <w:p>
            <w:pPr>
              <w:spacing w:after="0"/>
              <w:rPr>
                <w:sz w:val="20"/>
                <w:szCs w:val="20"/>
                <w:color w:val="auto"/>
              </w:rPr>
            </w:pPr>
            <w:r>
              <w:rPr>
                <w:rFonts w:ascii="Arial" w:cs="Arial" w:eastAsia="Arial" w:hAnsi="Arial"/>
                <w:sz w:val="18"/>
                <w:szCs w:val="18"/>
                <w:color w:val="auto"/>
              </w:rPr>
              <w:t>Balance at September 30, 2020</w:t>
            </w:r>
          </w:p>
        </w:tc>
        <w:tc>
          <w:tcPr>
            <w:tcW w:w="840" w:type="dxa"/>
            <w:vAlign w:val="bottom"/>
            <w:tcBorders>
              <w:top w:val="single" w:sz="8" w:color="auto"/>
              <w:bottom w:val="single" w:sz="8" w:color="auto"/>
            </w:tcBorders>
          </w:tcPr>
          <w:p>
            <w:pPr>
              <w:jc w:val="right"/>
              <w:ind w:right="687"/>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124</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55,987</w:t>
            </w:r>
          </w:p>
        </w:tc>
        <w:tc>
          <w:tcPr>
            <w:tcW w:w="3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110,636</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166,747</w:t>
            </w:r>
          </w:p>
        </w:tc>
        <w:tc>
          <w:tcPr>
            <w:tcW w:w="100" w:type="dxa"/>
            <w:vAlign w:val="bottom"/>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gridSpan w:val="3"/>
          </w:tcPr>
          <w:p>
            <w:pPr>
              <w:jc w:val="center"/>
              <w:ind w:left="394"/>
              <w:spacing w:after="0"/>
              <w:rPr>
                <w:sz w:val="20"/>
                <w:szCs w:val="20"/>
                <w:color w:val="auto"/>
              </w:rPr>
            </w:pPr>
            <w:r>
              <w:rPr>
                <w:rFonts w:ascii="Arial" w:cs="Arial" w:eastAsia="Arial" w:hAnsi="Arial"/>
                <w:sz w:val="14"/>
                <w:szCs w:val="14"/>
                <w:b w:val="1"/>
                <w:bCs w:val="1"/>
                <w:color w:val="auto"/>
                <w:w w:val="89"/>
              </w:rPr>
              <w:t>Nine months ended</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0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center"/>
              <w:ind w:left="394"/>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0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w w:val="83"/>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0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3"/>
          </w:tcPr>
          <w:p>
            <w:pPr>
              <w:jc w:val="center"/>
              <w:ind w:left="394"/>
              <w:spacing w:after="0"/>
              <w:rPr>
                <w:sz w:val="20"/>
                <w:szCs w:val="20"/>
                <w:color w:val="auto"/>
              </w:rPr>
            </w:pPr>
            <w:r>
              <w:rPr>
                <w:rFonts w:ascii="Arial" w:cs="Arial" w:eastAsia="Arial" w:hAnsi="Arial"/>
                <w:sz w:val="14"/>
                <w:szCs w:val="14"/>
                <w:b w:val="1"/>
                <w:bCs w:val="1"/>
                <w:color w:val="auto"/>
                <w:w w:val="94"/>
              </w:rPr>
              <w:t>(unaudited)</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2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6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68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12,768</w:t>
            </w:r>
          </w:p>
        </w:tc>
        <w:tc>
          <w:tcPr>
            <w:tcW w:w="280" w:type="dxa"/>
            <w:vAlign w:val="bottom"/>
          </w:tcPr>
          <w:p>
            <w:pPr>
              <w:spacing w:after="0"/>
              <w:rPr>
                <w:sz w:val="19"/>
                <w:szCs w:val="19"/>
                <w:color w:val="auto"/>
              </w:rPr>
            </w:pPr>
          </w:p>
        </w:tc>
        <w:tc>
          <w:tcPr>
            <w:tcW w:w="440" w:type="dxa"/>
            <w:vAlign w:val="bottom"/>
          </w:tcPr>
          <w:p>
            <w:pPr>
              <w:jc w:val="right"/>
              <w:ind w:right="28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2,738</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6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2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net</w:t>
            </w:r>
          </w:p>
        </w:tc>
        <w:tc>
          <w:tcPr>
            <w:tcW w:w="2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60" w:type="dxa"/>
            <w:vAlign w:val="bottom"/>
          </w:tcPr>
          <w:p>
            <w:pPr>
              <w:ind w:left="260"/>
              <w:spacing w:after="0"/>
              <w:rPr>
                <w:sz w:val="20"/>
                <w:szCs w:val="20"/>
                <w:color w:val="auto"/>
              </w:rPr>
            </w:pPr>
            <w:r>
              <w:rPr>
                <w:rFonts w:ascii="Arial" w:cs="Arial" w:eastAsia="Arial" w:hAnsi="Arial"/>
                <w:sz w:val="18"/>
                <w:szCs w:val="18"/>
                <w:color w:val="auto"/>
              </w:rPr>
              <w:t>Change in assets and liabilities:</w:t>
            </w:r>
          </w:p>
        </w:tc>
        <w:tc>
          <w:tcPr>
            <w:tcW w:w="2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 net</w:t>
            </w:r>
          </w:p>
        </w:tc>
        <w:tc>
          <w:tcPr>
            <w:tcW w:w="2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(1,308)</w:t>
            </w:r>
          </w:p>
        </w:tc>
        <w:tc>
          <w:tcPr>
            <w:tcW w:w="4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(423)</w:t>
            </w:r>
          </w:p>
        </w:tc>
        <w:tc>
          <w:tcPr>
            <w:tcW w:w="0" w:type="dxa"/>
            <w:vAlign w:val="bottom"/>
          </w:tcPr>
          <w:p>
            <w:pPr>
              <w:spacing w:after="0"/>
              <w:rPr>
                <w:sz w:val="1"/>
                <w:szCs w:val="1"/>
                <w:color w:val="auto"/>
              </w:rPr>
            </w:pPr>
          </w:p>
        </w:tc>
      </w:tr>
      <w:tr>
        <w:trPr>
          <w:trHeight w:val="227"/>
        </w:trPr>
        <w:tc>
          <w:tcPr>
            <w:tcW w:w="6060" w:type="dxa"/>
            <w:vAlign w:val="bottom"/>
          </w:tcPr>
          <w:p>
            <w:pPr>
              <w:ind w:left="500"/>
              <w:spacing w:after="0"/>
              <w:rPr>
                <w:sz w:val="20"/>
                <w:szCs w:val="20"/>
                <w:color w:val="auto"/>
              </w:rPr>
            </w:pPr>
            <w:r>
              <w:rPr>
                <w:rFonts w:ascii="Arial" w:cs="Arial" w:eastAsia="Arial" w:hAnsi="Arial"/>
                <w:sz w:val="18"/>
                <w:szCs w:val="18"/>
                <w:color w:val="auto"/>
              </w:rPr>
              <w:t>Inventories, net</w:t>
            </w:r>
          </w:p>
        </w:tc>
        <w:tc>
          <w:tcPr>
            <w:tcW w:w="2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(1,888)</w:t>
            </w:r>
          </w:p>
        </w:tc>
        <w:tc>
          <w:tcPr>
            <w:tcW w:w="4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(937)</w:t>
            </w:r>
          </w:p>
        </w:tc>
        <w:tc>
          <w:tcPr>
            <w:tcW w:w="0" w:type="dxa"/>
            <w:vAlign w:val="bottom"/>
          </w:tcPr>
          <w:p>
            <w:pPr>
              <w:spacing w:after="0"/>
              <w:rPr>
                <w:sz w:val="1"/>
                <w:szCs w:val="1"/>
                <w:color w:val="auto"/>
              </w:rPr>
            </w:pPr>
          </w:p>
        </w:tc>
      </w:tr>
      <w:tr>
        <w:trPr>
          <w:trHeight w:val="227"/>
        </w:trPr>
        <w:tc>
          <w:tcPr>
            <w:tcW w:w="6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 and accrued liabilities</w:t>
            </w:r>
          </w:p>
        </w:tc>
        <w:tc>
          <w:tcPr>
            <w:tcW w:w="2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(130)</w:t>
            </w:r>
          </w:p>
        </w:tc>
        <w:tc>
          <w:tcPr>
            <w:tcW w:w="4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(934)</w:t>
            </w:r>
          </w:p>
        </w:tc>
        <w:tc>
          <w:tcPr>
            <w:tcW w:w="0" w:type="dxa"/>
            <w:vAlign w:val="bottom"/>
          </w:tcPr>
          <w:p>
            <w:pPr>
              <w:spacing w:after="0"/>
              <w:rPr>
                <w:sz w:val="1"/>
                <w:szCs w:val="1"/>
                <w:color w:val="auto"/>
              </w:rPr>
            </w:pPr>
          </w:p>
        </w:tc>
      </w:tr>
      <w:tr>
        <w:trPr>
          <w:trHeight w:val="227"/>
        </w:trPr>
        <w:tc>
          <w:tcPr>
            <w:tcW w:w="6060" w:type="dxa"/>
            <w:vAlign w:val="bottom"/>
          </w:tcPr>
          <w:p>
            <w:pPr>
              <w:ind w:left="500"/>
              <w:spacing w:after="0"/>
              <w:rPr>
                <w:sz w:val="20"/>
                <w:szCs w:val="20"/>
                <w:color w:val="auto"/>
              </w:rPr>
            </w:pPr>
            <w:r>
              <w:rPr>
                <w:rFonts w:ascii="Arial" w:cs="Arial" w:eastAsia="Arial" w:hAnsi="Arial"/>
                <w:sz w:val="18"/>
                <w:szCs w:val="18"/>
                <w:color w:val="auto"/>
              </w:rPr>
              <w:t>Accounts with affiliates</w:t>
            </w:r>
          </w:p>
        </w:tc>
        <w:tc>
          <w:tcPr>
            <w:tcW w:w="2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(432)</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Prepaids and other, net</w:t>
            </w:r>
          </w:p>
        </w:tc>
        <w:tc>
          <w:tcPr>
            <w:tcW w:w="2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(195)</w:t>
            </w:r>
          </w:p>
        </w:tc>
        <w:tc>
          <w:tcPr>
            <w:tcW w:w="0" w:type="dxa"/>
            <w:vAlign w:val="bottom"/>
          </w:tcPr>
          <w:p>
            <w:pPr>
              <w:spacing w:after="0"/>
              <w:rPr>
                <w:sz w:val="1"/>
                <w:szCs w:val="1"/>
                <w:color w:val="auto"/>
              </w:rPr>
            </w:pPr>
          </w:p>
        </w:tc>
      </w:tr>
      <w:tr>
        <w:trPr>
          <w:trHeight w:val="221"/>
        </w:trPr>
        <w:tc>
          <w:tcPr>
            <w:tcW w:w="606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provided by operating activities</w:t>
            </w:r>
          </w:p>
        </w:tc>
        <w:tc>
          <w:tcPr>
            <w:tcW w:w="24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12,455</w:t>
            </w:r>
          </w:p>
        </w:tc>
        <w:tc>
          <w:tcPr>
            <w:tcW w:w="28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9,245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2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60" w:type="dxa"/>
            <w:vAlign w:val="bottom"/>
          </w:tcPr>
          <w:p>
            <w:pPr>
              <w:ind w:left="260"/>
              <w:spacing w:after="0"/>
              <w:rPr>
                <w:sz w:val="20"/>
                <w:szCs w:val="20"/>
                <w:color w:val="auto"/>
              </w:rPr>
            </w:pPr>
            <w:r>
              <w:rPr>
                <w:rFonts w:ascii="Arial" w:cs="Arial" w:eastAsia="Arial" w:hAnsi="Arial"/>
                <w:sz w:val="18"/>
                <w:szCs w:val="18"/>
                <w:color w:val="auto"/>
              </w:rPr>
              <w:t>Capital expenditures</w:t>
            </w:r>
          </w:p>
        </w:tc>
        <w:tc>
          <w:tcPr>
            <w:tcW w:w="2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(2,453)</w:t>
            </w:r>
          </w:p>
        </w:tc>
        <w:tc>
          <w:tcPr>
            <w:tcW w:w="4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(1,291)</w:t>
            </w:r>
          </w:p>
        </w:tc>
        <w:tc>
          <w:tcPr>
            <w:tcW w:w="0" w:type="dxa"/>
            <w:vAlign w:val="bottom"/>
          </w:tcPr>
          <w:p>
            <w:pPr>
              <w:spacing w:after="0"/>
              <w:rPr>
                <w:sz w:val="1"/>
                <w:szCs w:val="1"/>
                <w:color w:val="auto"/>
              </w:rPr>
            </w:pPr>
          </w:p>
        </w:tc>
      </w:tr>
      <w:tr>
        <w:trPr>
          <w:trHeight w:val="227"/>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 of fixed assets</w:t>
            </w:r>
          </w:p>
        </w:tc>
        <w:tc>
          <w:tcPr>
            <w:tcW w:w="2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7"/>
        </w:trPr>
        <w:tc>
          <w:tcPr>
            <w:tcW w:w="6060" w:type="dxa"/>
            <w:vAlign w:val="bottom"/>
          </w:tcPr>
          <w:p>
            <w:pPr>
              <w:ind w:left="260"/>
              <w:spacing w:after="0"/>
              <w:rPr>
                <w:sz w:val="20"/>
                <w:szCs w:val="20"/>
                <w:color w:val="auto"/>
              </w:rPr>
            </w:pPr>
            <w:r>
              <w:rPr>
                <w:rFonts w:ascii="Arial" w:cs="Arial" w:eastAsia="Arial" w:hAnsi="Arial"/>
                <w:sz w:val="18"/>
                <w:szCs w:val="18"/>
                <w:color w:val="auto"/>
              </w:rPr>
              <w:t>Note receivable from affiliate:</w:t>
            </w:r>
          </w:p>
        </w:tc>
        <w:tc>
          <w:tcPr>
            <w:tcW w:w="2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Collections</w:t>
            </w:r>
          </w:p>
        </w:tc>
        <w:tc>
          <w:tcPr>
            <w:tcW w:w="2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25,400</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22,828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60" w:type="dxa"/>
            <w:vAlign w:val="bottom"/>
          </w:tcPr>
          <w:p>
            <w:pPr>
              <w:ind w:left="500"/>
              <w:spacing w:after="0"/>
              <w:rPr>
                <w:sz w:val="20"/>
                <w:szCs w:val="20"/>
                <w:color w:val="auto"/>
              </w:rPr>
            </w:pPr>
            <w:r>
              <w:rPr>
                <w:rFonts w:ascii="Arial" w:cs="Arial" w:eastAsia="Arial" w:hAnsi="Arial"/>
                <w:sz w:val="18"/>
                <w:szCs w:val="18"/>
                <w:color w:val="auto"/>
              </w:rPr>
              <w:t>Advances</w:t>
            </w:r>
          </w:p>
        </w:tc>
        <w:tc>
          <w:tcPr>
            <w:tcW w:w="2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(28,100)</w:t>
            </w:r>
          </w:p>
        </w:tc>
        <w:tc>
          <w:tcPr>
            <w:tcW w:w="4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(25,228)</w:t>
            </w:r>
          </w:p>
        </w:tc>
        <w:tc>
          <w:tcPr>
            <w:tcW w:w="0" w:type="dxa"/>
            <w:vAlign w:val="bottom"/>
          </w:tcPr>
          <w:p>
            <w:pPr>
              <w:spacing w:after="0"/>
              <w:rPr>
                <w:sz w:val="1"/>
                <w:szCs w:val="1"/>
                <w:color w:val="auto"/>
              </w:rPr>
            </w:pPr>
          </w:p>
        </w:tc>
      </w:tr>
      <w:tr>
        <w:trPr>
          <w:trHeight w:val="221"/>
        </w:trPr>
        <w:tc>
          <w:tcPr>
            <w:tcW w:w="606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used in investing activities</w:t>
            </w:r>
          </w:p>
        </w:tc>
        <w:tc>
          <w:tcPr>
            <w:tcW w:w="24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(5,032)</w:t>
            </w:r>
          </w:p>
        </w:tc>
        <w:tc>
          <w:tcPr>
            <w:tcW w:w="2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(3,691)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60" w:type="dxa"/>
            <w:vAlign w:val="bottom"/>
          </w:tcPr>
          <w:p>
            <w:pPr>
              <w:spacing w:after="0"/>
              <w:rPr>
                <w:sz w:val="20"/>
                <w:szCs w:val="20"/>
                <w:color w:val="auto"/>
              </w:rPr>
            </w:pPr>
            <w:r>
              <w:rPr>
                <w:rFonts w:ascii="Arial" w:cs="Arial" w:eastAsia="Arial" w:hAnsi="Arial"/>
                <w:sz w:val="18"/>
                <w:szCs w:val="18"/>
                <w:color w:val="auto"/>
              </w:rPr>
              <w:t>Cash flows from financing activities -</w:t>
            </w:r>
          </w:p>
        </w:tc>
        <w:tc>
          <w:tcPr>
            <w:tcW w:w="2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Dividends paid</w:t>
            </w:r>
          </w:p>
        </w:tc>
        <w:tc>
          <w:tcPr>
            <w:tcW w:w="2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(2,613)</w:t>
            </w:r>
          </w:p>
        </w:tc>
        <w:tc>
          <w:tcPr>
            <w:tcW w:w="4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(3,734)</w:t>
            </w:r>
          </w:p>
        </w:tc>
        <w:tc>
          <w:tcPr>
            <w:tcW w:w="0" w:type="dxa"/>
            <w:vAlign w:val="bottom"/>
          </w:tcPr>
          <w:p>
            <w:pPr>
              <w:spacing w:after="0"/>
              <w:rPr>
                <w:sz w:val="1"/>
                <w:szCs w:val="1"/>
                <w:color w:val="auto"/>
              </w:rPr>
            </w:pPr>
          </w:p>
        </w:tc>
      </w:tr>
      <w:tr>
        <w:trPr>
          <w:trHeight w:val="220"/>
        </w:trPr>
        <w:tc>
          <w:tcPr>
            <w:tcW w:w="6060" w:type="dxa"/>
            <w:vAlign w:val="bottom"/>
          </w:tcPr>
          <w:p>
            <w:pPr>
              <w:spacing w:after="0"/>
              <w:rPr>
                <w:sz w:val="20"/>
                <w:szCs w:val="20"/>
                <w:color w:val="auto"/>
              </w:rPr>
            </w:pPr>
            <w:r>
              <w:rPr>
                <w:rFonts w:ascii="Arial" w:cs="Arial" w:eastAsia="Arial" w:hAnsi="Arial"/>
                <w:sz w:val="18"/>
                <w:szCs w:val="18"/>
                <w:color w:val="auto"/>
              </w:rPr>
              <w:t>Cash and cash equivalents - net change from:</w:t>
            </w:r>
          </w:p>
        </w:tc>
        <w:tc>
          <w:tcPr>
            <w:tcW w:w="24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investing and financing activities</w:t>
            </w:r>
          </w:p>
        </w:tc>
        <w:tc>
          <w:tcPr>
            <w:tcW w:w="2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4,810</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beginning of period</w:t>
            </w:r>
          </w:p>
        </w:tc>
        <w:tc>
          <w:tcPr>
            <w:tcW w:w="24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45,414</w:t>
            </w: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63,255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period</w:t>
            </w:r>
          </w:p>
        </w:tc>
        <w:tc>
          <w:tcPr>
            <w:tcW w:w="24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50,224</w:t>
            </w:r>
          </w:p>
        </w:tc>
        <w:tc>
          <w:tcPr>
            <w:tcW w:w="2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65,075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Supplemental disclosures -</w:t>
            </w:r>
          </w:p>
        </w:tc>
        <w:tc>
          <w:tcPr>
            <w:tcW w:w="2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60" w:type="dxa"/>
            <w:vAlign w:val="bottom"/>
            <w:vMerge w:val="continue"/>
          </w:tcPr>
          <w:p>
            <w:pPr>
              <w:spacing w:after="0"/>
              <w:rPr>
                <w:sz w:val="17"/>
                <w:szCs w:val="17"/>
                <w:color w:val="auto"/>
              </w:rPr>
            </w:pPr>
          </w:p>
        </w:tc>
        <w:tc>
          <w:tcPr>
            <w:tcW w:w="2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income taxes</w:t>
            </w:r>
          </w:p>
        </w:tc>
        <w:tc>
          <w:tcPr>
            <w:tcW w:w="268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4,020</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8"/>
              <w:spacing w:after="0"/>
              <w:rPr>
                <w:sz w:val="20"/>
                <w:szCs w:val="20"/>
                <w:color w:val="auto"/>
              </w:rPr>
            </w:pPr>
            <w:r>
              <w:rPr>
                <w:rFonts w:ascii="Arial" w:cs="Arial" w:eastAsia="Arial" w:hAnsi="Arial"/>
                <w:sz w:val="14"/>
                <w:szCs w:val="14"/>
                <w:b w:val="1"/>
                <w:bCs w:val="1"/>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18" w:lineRule="exact"/>
        <w:rPr>
          <w:sz w:val="20"/>
          <w:szCs w:val="20"/>
          <w:color w:val="auto"/>
        </w:rPr>
      </w:pPr>
    </w:p>
    <w:p>
      <w:pPr>
        <w:jc w:val="both"/>
        <w:ind w:firstLine="510"/>
        <w:spacing w:after="0" w:line="266" w:lineRule="auto"/>
        <w:rPr>
          <w:sz w:val="20"/>
          <w:szCs w:val="20"/>
          <w:color w:val="auto"/>
        </w:rPr>
      </w:pPr>
      <w:r>
        <w:rPr>
          <w:rFonts w:ascii="Arial" w:cs="Arial" w:eastAsia="Arial" w:hAnsi="Arial"/>
          <w:sz w:val="17"/>
          <w:szCs w:val="17"/>
          <w:i w:val="1"/>
          <w:iCs w:val="1"/>
          <w:color w:val="auto"/>
        </w:rPr>
        <w:t>Organization</w:t>
      </w:r>
      <w:r>
        <w:rPr>
          <w:rFonts w:ascii="Arial" w:cs="Arial" w:eastAsia="Arial" w:hAnsi="Arial"/>
          <w:sz w:val="17"/>
          <w:szCs w:val="17"/>
          <w:color w:val="auto"/>
        </w:rPr>
        <w:t>. We (NYSE American: CIX) were approximately 86% owned by NL Industries, Inc. (NYSE: NL) at September 30, 2020. We</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manufacture and sell component products (security products and recreational marine components). At September 30, 2020, Valhi, Inc. (NYSE: VHI) owned approximately 83% of NL’s outstanding common stock and a wholly-owned subsidiary of Contran Corporation owned approximately 92% of Valhi’s outstanding common stock. A majority of Contran's outstanding voting stock is held directly by Lisa K. Simmons and various family trusts established for the benefit of Ms. Simmons, Thomas C. Connelly (the husband of Ms. Simmons’ late sister) and their children and for which Ms. Simmons or Mr. Connelly, as applicable, serve as trustee (collectively, the “Other Trusts”). With respect to the Other Trusts for which Mr. Connelly serves as trustee, he is required to vote the shares of Contran voting stock held in such trusts in the same manner as Ms. Simmons. Such voting rights of Ms. Simmons last through April 22, 2030 and are personal to Ms. Simmons. The remainder of Contran’s outstanding voting stock is held by another trust (the “Family Trust”), which was established for the benefit of Ms. Simmons and her late sister and their children and for which a third-party financial institution serves as trustee. Consequently, at September 30, 2020 Ms. Simmons and the Family Trust may be deemed to control Contran, and therefore may be deemed to indirectly control the wholly-owned subsidiary of Contran, Valhi, NL and us.</w:t>
      </w:r>
    </w:p>
    <w:p>
      <w:pPr>
        <w:spacing w:after="0" w:line="292" w:lineRule="exact"/>
        <w:rPr>
          <w:sz w:val="20"/>
          <w:szCs w:val="20"/>
          <w:color w:val="auto"/>
        </w:rPr>
      </w:pPr>
    </w:p>
    <w:p>
      <w:pPr>
        <w:jc w:val="both"/>
        <w:ind w:firstLine="510"/>
        <w:spacing w:after="0" w:line="284" w:lineRule="auto"/>
        <w:rPr>
          <w:sz w:val="20"/>
          <w:szCs w:val="20"/>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Consolidated in this Quarterly Report are the results of CompX International Inc. and its subsidiaries. The unaudited</w:t>
      </w:r>
      <w:r>
        <w:rPr>
          <w:rFonts w:ascii="Arial" w:cs="Arial" w:eastAsia="Arial" w:hAnsi="Arial"/>
          <w:sz w:val="16"/>
          <w:szCs w:val="16"/>
          <w:i w:val="1"/>
          <w:iCs w:val="1"/>
          <w:color w:val="auto"/>
        </w:rPr>
        <w:t xml:space="preserve"> </w:t>
      </w:r>
      <w:r>
        <w:rPr>
          <w:rFonts w:ascii="Arial" w:cs="Arial" w:eastAsia="Arial" w:hAnsi="Arial"/>
          <w:sz w:val="16"/>
          <w:szCs w:val="16"/>
          <w:color w:val="auto"/>
        </w:rPr>
        <w:t>Condensed Consolidated Financial Statements contained in this Quarterly Report have been prepared on the same basis as the audited Consolidated Financial Statements included in our Annual Report on Form 10-K for the year ended December 31, 2019 that we filed with the Securities and Exchange Commission (“SEC”) on February 26, 2020 (the “2019 Annual Report”). In our opinion, we have made all necessary adjustments (which include only normal recurring adjustments) in order to state fairly, in all material respects, our consolidated financial position, results of operations and cash flows as of the dates and for the periods presented. We have condensed the Consolidated Balance Sheet at December 31, 2019 contained in this Quarterly Report as compared to our audited Consolidated Financial Statements at that date, and we have omitted certain information and footnote disclosures (including those related to the Consolidated Balance Sheet at December 31, 2019) normally included in financial statements prepared in accordance with accounting principles generally accepted in the United States of America (“GAAP”). Our results of operations for the interim periods ended September 30, 2020 may not be indicative of our operating results for the full year. The Condensed Consolidated Financial Statements contained in this Quarterly Report should be read in conjunction with our 2019 Consolidated Financial Statements contained in our 2019 Annual Report.</w:t>
      </w:r>
    </w:p>
    <w:p>
      <w:pPr>
        <w:spacing w:after="0" w:line="66"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Our operations are reported on a 52 or 53-week year. For presentation purposes, annual and quarterly information in the Condensed Consolidated Financial Statements and accompanying notes are presented as ended September 30, 2019, December 31, 2019 and September 30, 2020. The actual dates of our annual and quarterly periods are September 30, 2019, December 29, 2019 and September 27, 2020, respectively. Unless otherwise indicated, references in this report to “we”, “us” or “our” refer to CompX International Inc. and its subsidiaries, taken as a whole.</w:t>
      </w:r>
    </w:p>
    <w:p>
      <w:pPr>
        <w:spacing w:after="0" w:line="67"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Our results of operations for the first nine months of 2020 were significantly impacted by the COVID-19 pandemic, primarily in the second and third quarters, due to government mandated closures and reduced demand for many of our products resulting from the rapid contraction of vast areas of the economy. The extent of the COVID-19 impact on our future operations will depend on the time period and degree to which the COVID-19 pandemic persists in the economy thereby reducing customer demand for certain of our products, including the timing and extent to which our customers’ operations continue to be impacted, our customers’ perception as to when consumer demand for their products will return to pre-pandemic levels and on any future disruptions in our operations or our suppliers’ operations, all of which are difficult to predict.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2 – Business segment information:</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gridSpan w:val="7"/>
          </w:tcPr>
          <w:p>
            <w:pPr>
              <w:jc w:val="right"/>
              <w:ind w:right="569"/>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gridSpan w:val="9"/>
          </w:tcPr>
          <w:p>
            <w:pPr>
              <w:jc w:val="right"/>
              <w:ind w:right="6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25"/>
        </w:trPr>
        <w:tc>
          <w:tcPr>
            <w:tcW w:w="42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2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Borders>
              <w:top w:val="single" w:sz="8" w:color="auto"/>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41"/>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26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2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23,405</w:t>
            </w:r>
          </w:p>
        </w:tc>
        <w:tc>
          <w:tcPr>
            <w:tcW w:w="16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21,209</w:t>
            </w:r>
          </w:p>
        </w:tc>
        <w:tc>
          <w:tcPr>
            <w:tcW w:w="20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75,036</w:t>
            </w:r>
          </w:p>
        </w:tc>
        <w:tc>
          <w:tcPr>
            <w:tcW w:w="100" w:type="dxa"/>
            <w:vAlign w:val="bottom"/>
          </w:tcPr>
          <w:p>
            <w:pPr>
              <w:spacing w:after="0"/>
              <w:rPr>
                <w:sz w:val="20"/>
                <w:szCs w:val="20"/>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65,251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2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Marine Components</w:t>
            </w:r>
          </w:p>
        </w:tc>
        <w:tc>
          <w:tcPr>
            <w:tcW w:w="21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6,298</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7,217</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19,574</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19,286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4260" w:type="dxa"/>
            <w:vAlign w:val="bottom"/>
          </w:tcPr>
          <w:p>
            <w:pPr>
              <w:ind w:left="740"/>
              <w:spacing w:after="0"/>
              <w:rPr>
                <w:sz w:val="20"/>
                <w:szCs w:val="20"/>
                <w:color w:val="auto"/>
              </w:rPr>
            </w:pPr>
            <w:r>
              <w:rPr>
                <w:rFonts w:ascii="Arial" w:cs="Arial" w:eastAsia="Arial" w:hAnsi="Arial"/>
                <w:sz w:val="18"/>
                <w:szCs w:val="18"/>
                <w:color w:val="auto"/>
              </w:rPr>
              <w:t>Total net sales</w:t>
            </w:r>
          </w:p>
        </w:tc>
        <w:tc>
          <w:tcPr>
            <w:tcW w:w="2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29,703</w:t>
            </w:r>
          </w:p>
        </w:tc>
        <w:tc>
          <w:tcPr>
            <w:tcW w:w="160" w:type="dxa"/>
            <w:vAlign w:val="bottom"/>
          </w:tcPr>
          <w:p>
            <w:pPr>
              <w:spacing w:after="0"/>
              <w:rPr>
                <w:sz w:val="23"/>
                <w:szCs w:val="23"/>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28,426</w:t>
            </w:r>
          </w:p>
        </w:tc>
        <w:tc>
          <w:tcPr>
            <w:tcW w:w="200" w:type="dxa"/>
            <w:vAlign w:val="bottom"/>
          </w:tcPr>
          <w:p>
            <w:pPr>
              <w:spacing w:after="0"/>
              <w:rPr>
                <w:sz w:val="23"/>
                <w:szCs w:val="23"/>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94,610</w:t>
            </w:r>
          </w:p>
        </w:tc>
        <w:tc>
          <w:tcPr>
            <w:tcW w:w="100" w:type="dxa"/>
            <w:vAlign w:val="bottom"/>
          </w:tcPr>
          <w:p>
            <w:pPr>
              <w:spacing w:after="0"/>
              <w:rPr>
                <w:sz w:val="23"/>
                <w:szCs w:val="23"/>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84,537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4260" w:type="dxa"/>
            <w:vAlign w:val="bottom"/>
            <w:tcBorders>
              <w:top w:val="single" w:sz="8" w:color="CFF0FC"/>
            </w:tcBorders>
            <w:shd w:val="clear" w:color="auto" w:fill="CFF0FC"/>
          </w:tcPr>
          <w:p>
            <w:pPr>
              <w:spacing w:after="0"/>
              <w:rPr>
                <w:sz w:val="19"/>
                <w:szCs w:val="19"/>
                <w:color w:val="auto"/>
              </w:rPr>
            </w:pPr>
          </w:p>
        </w:tc>
        <w:tc>
          <w:tcPr>
            <w:tcW w:w="2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260" w:type="dxa"/>
            <w:vAlign w:val="bottom"/>
          </w:tcPr>
          <w:p>
            <w:pPr>
              <w:spacing w:after="0"/>
              <w:rPr>
                <w:sz w:val="20"/>
                <w:szCs w:val="20"/>
                <w:color w:val="auto"/>
              </w:rPr>
            </w:pPr>
            <w:r>
              <w:rPr>
                <w:rFonts w:ascii="Arial" w:cs="Arial" w:eastAsia="Arial" w:hAnsi="Arial"/>
                <w:sz w:val="18"/>
                <w:szCs w:val="18"/>
                <w:color w:val="auto"/>
              </w:rPr>
              <w:t>Operating income (loss):</w:t>
            </w:r>
          </w:p>
        </w:tc>
        <w:tc>
          <w:tcPr>
            <w:tcW w:w="2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2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Security Products</w:t>
            </w:r>
          </w:p>
        </w:tc>
        <w:tc>
          <w:tcPr>
            <w:tcW w:w="2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4,866</w:t>
            </w:r>
          </w:p>
        </w:tc>
        <w:tc>
          <w:tcPr>
            <w:tcW w:w="16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2,797</w:t>
            </w:r>
          </w:p>
        </w:tc>
        <w:tc>
          <w:tcPr>
            <w:tcW w:w="20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15,990</w:t>
            </w:r>
          </w:p>
        </w:tc>
        <w:tc>
          <w:tcPr>
            <w:tcW w:w="1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11,871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260" w:type="dxa"/>
            <w:vAlign w:val="bottom"/>
          </w:tcPr>
          <w:p>
            <w:pPr>
              <w:ind w:left="500"/>
              <w:spacing w:after="0"/>
              <w:rPr>
                <w:sz w:val="20"/>
                <w:szCs w:val="20"/>
                <w:color w:val="auto"/>
              </w:rPr>
            </w:pPr>
            <w:r>
              <w:rPr>
                <w:rFonts w:ascii="Arial" w:cs="Arial" w:eastAsia="Arial" w:hAnsi="Arial"/>
                <w:sz w:val="18"/>
                <w:szCs w:val="18"/>
                <w:color w:val="auto"/>
              </w:rPr>
              <w:t>Marine Components</w:t>
            </w:r>
          </w:p>
        </w:tc>
        <w:tc>
          <w:tcPr>
            <w:tcW w:w="2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1,129</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3,223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2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Corporate operating expenses</w:t>
            </w:r>
          </w:p>
        </w:tc>
        <w:tc>
          <w:tcPr>
            <w:tcW w:w="2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(1,642)</w:t>
            </w: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20" w:type="dxa"/>
            <w:vAlign w:val="bottom"/>
            <w:gridSpan w:val="3"/>
            <w:shd w:val="clear" w:color="auto" w:fill="CFF0FC"/>
          </w:tcPr>
          <w:p>
            <w:pPr>
              <w:jc w:val="right"/>
              <w:ind w:right="69"/>
              <w:spacing w:after="0"/>
              <w:rPr>
                <w:sz w:val="20"/>
                <w:szCs w:val="20"/>
                <w:color w:val="auto"/>
              </w:rPr>
            </w:pPr>
            <w:r>
              <w:rPr>
                <w:rFonts w:ascii="Arial" w:cs="Arial" w:eastAsia="Arial" w:hAnsi="Arial"/>
                <w:sz w:val="18"/>
                <w:szCs w:val="18"/>
                <w:b w:val="1"/>
                <w:bCs w:val="1"/>
                <w:color w:val="auto"/>
              </w:rPr>
              <w:t>(1,844)</w:t>
            </w:r>
          </w:p>
        </w:tc>
        <w:tc>
          <w:tcPr>
            <w:tcW w:w="3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60" w:type="dxa"/>
            <w:vAlign w:val="bottom"/>
            <w:gridSpan w:val="5"/>
            <w:shd w:val="clear" w:color="auto" w:fill="CFF0FC"/>
          </w:tcPr>
          <w:p>
            <w:pPr>
              <w:jc w:val="right"/>
              <w:ind w:right="40"/>
              <w:spacing w:after="0"/>
              <w:rPr>
                <w:sz w:val="20"/>
                <w:szCs w:val="20"/>
                <w:color w:val="auto"/>
              </w:rPr>
            </w:pPr>
            <w:r>
              <w:rPr>
                <w:rFonts w:ascii="Arial" w:cs="Arial" w:eastAsia="Arial" w:hAnsi="Arial"/>
                <w:sz w:val="18"/>
                <w:szCs w:val="18"/>
                <w:color w:val="auto"/>
              </w:rPr>
              <w:t>(5,034)</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(5,410)</w:t>
            </w:r>
          </w:p>
        </w:tc>
        <w:tc>
          <w:tcPr>
            <w:tcW w:w="0" w:type="dxa"/>
            <w:vAlign w:val="bottom"/>
          </w:tcPr>
          <w:p>
            <w:pPr>
              <w:spacing w:after="0"/>
              <w:rPr>
                <w:sz w:val="1"/>
                <w:szCs w:val="1"/>
                <w:color w:val="auto"/>
              </w:rPr>
            </w:pPr>
          </w:p>
        </w:tc>
      </w:tr>
      <w:tr>
        <w:trPr>
          <w:trHeight w:val="234"/>
        </w:trPr>
        <w:tc>
          <w:tcPr>
            <w:tcW w:w="4260" w:type="dxa"/>
            <w:vAlign w:val="bottom"/>
          </w:tcPr>
          <w:p>
            <w:pPr>
              <w:ind w:left="740"/>
              <w:spacing w:after="0"/>
              <w:rPr>
                <w:sz w:val="20"/>
                <w:szCs w:val="20"/>
                <w:color w:val="auto"/>
              </w:rPr>
            </w:pPr>
            <w:r>
              <w:rPr>
                <w:rFonts w:ascii="Arial" w:cs="Arial" w:eastAsia="Arial" w:hAnsi="Arial"/>
                <w:sz w:val="18"/>
                <w:szCs w:val="18"/>
                <w:color w:val="auto"/>
              </w:rPr>
              <w:t>Total operating income</w:t>
            </w:r>
          </w:p>
        </w:tc>
        <w:tc>
          <w:tcPr>
            <w:tcW w:w="2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2,082</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14,179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2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income</w:t>
            </w:r>
          </w:p>
        </w:tc>
        <w:tc>
          <w:tcPr>
            <w:tcW w:w="21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848</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360</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2,512</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1,337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260" w:type="dxa"/>
            <w:vAlign w:val="bottom"/>
          </w:tcPr>
          <w:p>
            <w:pPr>
              <w:spacing w:after="0"/>
              <w:rPr>
                <w:sz w:val="20"/>
                <w:szCs w:val="20"/>
                <w:color w:val="auto"/>
              </w:rPr>
            </w:pPr>
            <w:r>
              <w:rPr>
                <w:rFonts w:ascii="Arial" w:cs="Arial" w:eastAsia="Arial" w:hAnsi="Arial"/>
                <w:sz w:val="18"/>
                <w:szCs w:val="18"/>
                <w:color w:val="auto"/>
              </w:rPr>
              <w:t>Income before taxes</w:t>
            </w:r>
          </w:p>
        </w:tc>
        <w:tc>
          <w:tcPr>
            <w:tcW w:w="2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5,114</w:t>
            </w:r>
          </w:p>
        </w:tc>
        <w:tc>
          <w:tcPr>
            <w:tcW w:w="16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2,442</w:t>
            </w:r>
          </w:p>
        </w:tc>
        <w:tc>
          <w:tcPr>
            <w:tcW w:w="20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16,691</w:t>
            </w:r>
          </w:p>
        </w:tc>
        <w:tc>
          <w:tcPr>
            <w:tcW w:w="100" w:type="dxa"/>
            <w:vAlign w:val="bottom"/>
          </w:tcPr>
          <w:p>
            <w:pPr>
              <w:spacing w:after="0"/>
              <w:rPr>
                <w:sz w:val="20"/>
                <w:szCs w:val="20"/>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10,808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ind w:left="520"/>
              <w:spacing w:after="0"/>
              <w:rPr>
                <w:sz w:val="20"/>
                <w:szCs w:val="20"/>
                <w:color w:val="auto"/>
              </w:rPr>
            </w:pPr>
            <w:r>
              <w:rPr>
                <w:rFonts w:ascii="Arial" w:cs="Arial" w:eastAsia="Arial" w:hAnsi="Arial"/>
                <w:sz w:val="18"/>
                <w:szCs w:val="18"/>
                <w:color w:val="auto"/>
              </w:rPr>
              <w:t>Intersegment sales are not material.</w:t>
            </w:r>
          </w:p>
        </w:tc>
        <w:tc>
          <w:tcPr>
            <w:tcW w:w="2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4260" w:type="dxa"/>
            <w:vAlign w:val="bottom"/>
            <w:vMerge w:val="continue"/>
          </w:tcPr>
          <w:p>
            <w:pPr>
              <w:spacing w:after="0"/>
              <w:rPr>
                <w:sz w:val="24"/>
                <w:szCs w:val="24"/>
                <w:color w:val="auto"/>
              </w:rPr>
            </w:pP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260" w:type="dxa"/>
            <w:vAlign w:val="bottom"/>
          </w:tcPr>
          <w:p>
            <w:pPr>
              <w:spacing w:after="0"/>
              <w:rPr>
                <w:sz w:val="20"/>
                <w:szCs w:val="20"/>
                <w:color w:val="auto"/>
              </w:rPr>
            </w:pPr>
            <w:r>
              <w:rPr>
                <w:rFonts w:ascii="Arial" w:cs="Arial" w:eastAsia="Arial" w:hAnsi="Arial"/>
                <w:sz w:val="18"/>
                <w:szCs w:val="18"/>
                <w:b w:val="1"/>
                <w:bCs w:val="1"/>
                <w:color w:val="auto"/>
              </w:rPr>
              <w:t>Note 3 – Accounts receivable, net:</w:t>
            </w: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42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5"/>
          </w:tcPr>
          <w:p>
            <w:pPr>
              <w:ind w:left="6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212"/>
        </w:trPr>
        <w:tc>
          <w:tcPr>
            <w:tcW w:w="42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393"/>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2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10,321</w:t>
            </w:r>
          </w:p>
        </w:tc>
        <w:tc>
          <w:tcPr>
            <w:tcW w:w="40" w:type="dxa"/>
            <w:vAlign w:val="bottom"/>
          </w:tcPr>
          <w:p>
            <w:pPr>
              <w:spacing w:after="0"/>
              <w:rPr>
                <w:sz w:val="19"/>
                <w:szCs w:val="19"/>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9,571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2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1,619</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ind w:left="260"/>
              <w:spacing w:after="0"/>
              <w:rPr>
                <w:sz w:val="20"/>
                <w:szCs w:val="20"/>
                <w:color w:val="auto"/>
              </w:rPr>
            </w:pPr>
            <w:r>
              <w:rPr>
                <w:rFonts w:ascii="Arial" w:cs="Arial" w:eastAsia="Arial" w:hAnsi="Arial"/>
                <w:sz w:val="18"/>
                <w:szCs w:val="18"/>
                <w:color w:val="auto"/>
              </w:rPr>
              <w:t>Allowance for doubtful accounts</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(70)</w:t>
            </w:r>
          </w:p>
        </w:tc>
        <w:tc>
          <w:tcPr>
            <w:tcW w:w="0" w:type="dxa"/>
            <w:vAlign w:val="bottom"/>
          </w:tcPr>
          <w:p>
            <w:pPr>
              <w:spacing w:after="0"/>
              <w:rPr>
                <w:sz w:val="1"/>
                <w:szCs w:val="1"/>
                <w:color w:val="auto"/>
              </w:rPr>
            </w:pPr>
          </w:p>
        </w:tc>
      </w:tr>
      <w:tr>
        <w:trPr>
          <w:trHeight w:val="221"/>
        </w:trPr>
        <w:tc>
          <w:tcPr>
            <w:tcW w:w="426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accounts receivable, net</w:t>
            </w:r>
          </w:p>
        </w:tc>
        <w:tc>
          <w:tcPr>
            <w:tcW w:w="2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11,870</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w w:val="79"/>
              </w:rPr>
              <w:t>$</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12,277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8"/>
                <w:szCs w:val="18"/>
                <w:b w:val="1"/>
                <w:bCs w:val="1"/>
                <w:color w:val="auto"/>
              </w:rPr>
              <w:t>Note 4 – Inventories, net:</w:t>
            </w:r>
          </w:p>
        </w:tc>
        <w:tc>
          <w:tcPr>
            <w:tcW w:w="2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4"/>
        </w:trPr>
        <w:tc>
          <w:tcPr>
            <w:tcW w:w="4260" w:type="dxa"/>
            <w:vAlign w:val="bottom"/>
            <w:vMerge w:val="continue"/>
          </w:tcPr>
          <w:p>
            <w:pPr>
              <w:spacing w:after="0"/>
              <w:rPr>
                <w:sz w:val="24"/>
                <w:szCs w:val="24"/>
                <w:color w:val="auto"/>
              </w:rPr>
            </w:pP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42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5"/>
          </w:tcPr>
          <w:p>
            <w:pPr>
              <w:ind w:left="6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70"/>
        </w:trPr>
        <w:tc>
          <w:tcPr>
            <w:tcW w:w="4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93"/>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2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7"/>
          </w:tcPr>
          <w:p>
            <w:pPr>
              <w:jc w:val="right"/>
              <w:ind w:right="160"/>
              <w:spacing w:after="0" w:line="154" w:lineRule="exact"/>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2,134</w:t>
            </w:r>
          </w:p>
        </w:tc>
        <w:tc>
          <w:tcPr>
            <w:tcW w:w="40" w:type="dxa"/>
            <w:vAlign w:val="bottom"/>
          </w:tcPr>
          <w:p>
            <w:pPr>
              <w:spacing w:after="0"/>
              <w:rPr>
                <w:sz w:val="19"/>
                <w:szCs w:val="19"/>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2,542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2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raw materials</w:t>
            </w:r>
          </w:p>
        </w:tc>
        <w:tc>
          <w:tcPr>
            <w:tcW w:w="21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7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2,941</w:t>
            </w:r>
          </w:p>
        </w:tc>
        <w:tc>
          <w:tcPr>
            <w:tcW w:w="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3,358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Work-in-process:</w:t>
            </w:r>
          </w:p>
        </w:tc>
        <w:tc>
          <w:tcPr>
            <w:tcW w:w="2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9,138</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9,721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2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2,633</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work-in-process</w:t>
            </w:r>
          </w:p>
        </w:tc>
        <w:tc>
          <w:tcPr>
            <w:tcW w:w="21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7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11,771</w:t>
            </w:r>
          </w:p>
        </w:tc>
        <w:tc>
          <w:tcPr>
            <w:tcW w:w="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12,155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2,582</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2,376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2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1,054</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finished goods</w:t>
            </w:r>
          </w:p>
        </w:tc>
        <w:tc>
          <w:tcPr>
            <w:tcW w:w="21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7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3,636</w:t>
            </w:r>
          </w:p>
        </w:tc>
        <w:tc>
          <w:tcPr>
            <w:tcW w:w="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3,653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inventories, net</w:t>
            </w:r>
          </w:p>
        </w:tc>
        <w:tc>
          <w:tcPr>
            <w:tcW w:w="2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18,348</w:t>
            </w:r>
          </w:p>
        </w:tc>
        <w:tc>
          <w:tcPr>
            <w:tcW w:w="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w w:val="79"/>
              </w:rPr>
              <w:t>$</w:t>
            </w:r>
          </w:p>
        </w:tc>
        <w:tc>
          <w:tcPr>
            <w:tcW w:w="1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19,166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120" w:type="dxa"/>
            <w:vAlign w:val="bottom"/>
            <w:vMerge w:val="restart"/>
          </w:tcPr>
          <w:p>
            <w:pPr>
              <w:jc w:val="right"/>
              <w:ind w:right="511"/>
              <w:spacing w:after="0"/>
              <w:rPr>
                <w:sz w:val="20"/>
                <w:szCs w:val="20"/>
                <w:color w:val="auto"/>
              </w:rPr>
            </w:pPr>
            <w:r>
              <w:rPr>
                <w:rFonts w:ascii="Arial" w:cs="Arial" w:eastAsia="Arial" w:hAnsi="Arial"/>
                <w:sz w:val="18"/>
                <w:szCs w:val="18"/>
                <w:color w:val="auto"/>
              </w:rPr>
              <w:t>- 8 -</w:t>
            </w: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426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26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5 – Accounts payable and accrued liabilities: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gridSpan w:val="5"/>
          </w:tcPr>
          <w:p>
            <w:pPr>
              <w:jc w:val="right"/>
              <w:ind w:right="135"/>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0"/>
        </w:trPr>
        <w:tc>
          <w:tcPr>
            <w:tcW w:w="5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0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6"/>
          </w:tcPr>
          <w:p>
            <w:pPr>
              <w:jc w:val="right"/>
              <w:ind w:right="480"/>
              <w:spacing w:after="0" w:line="154" w:lineRule="exact"/>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1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5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2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1,975</w:t>
            </w:r>
          </w:p>
        </w:tc>
        <w:tc>
          <w:tcPr>
            <w:tcW w:w="4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Marine Components</w:t>
            </w:r>
          </w:p>
        </w:tc>
        <w:tc>
          <w:tcPr>
            <w:tcW w:w="1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20" w:type="dxa"/>
            <w:vAlign w:val="bottom"/>
          </w:tcPr>
          <w:p>
            <w:pPr>
              <w:spacing w:after="0"/>
              <w:rPr>
                <w:sz w:val="20"/>
                <w:szCs w:val="20"/>
                <w:color w:val="auto"/>
              </w:rPr>
            </w:pPr>
            <w:r>
              <w:rPr>
                <w:rFonts w:ascii="Arial" w:cs="Arial" w:eastAsia="Arial" w:hAnsi="Arial"/>
                <w:sz w:val="18"/>
                <w:szCs w:val="18"/>
                <w:color w:val="auto"/>
              </w:rPr>
              <w:t>Accrued liabilities:</w:t>
            </w: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Employee benefits</w:t>
            </w:r>
          </w:p>
        </w:tc>
        <w:tc>
          <w:tcPr>
            <w:tcW w:w="1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8,331</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7,010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20" w:type="dxa"/>
            <w:vAlign w:val="bottom"/>
          </w:tcPr>
          <w:p>
            <w:pPr>
              <w:ind w:left="500"/>
              <w:spacing w:after="0"/>
              <w:rPr>
                <w:sz w:val="20"/>
                <w:szCs w:val="20"/>
                <w:color w:val="auto"/>
              </w:rPr>
            </w:pPr>
            <w:r>
              <w:rPr>
                <w:rFonts w:ascii="Arial" w:cs="Arial" w:eastAsia="Arial" w:hAnsi="Arial"/>
                <w:sz w:val="18"/>
                <w:szCs w:val="18"/>
                <w:color w:val="auto"/>
              </w:rPr>
              <w:t>Customer tooling</w:t>
            </w: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264</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Taxes other than on income</w:t>
            </w:r>
          </w:p>
        </w:tc>
        <w:tc>
          <w:tcPr>
            <w:tcW w:w="1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w:t>
            </w:r>
          </w:p>
        </w:tc>
        <w:tc>
          <w:tcPr>
            <w:tcW w:w="14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7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6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2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accounts payable and accrued liabilities</w:t>
            </w:r>
          </w:p>
        </w:tc>
        <w:tc>
          <w:tcPr>
            <w:tcW w:w="14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3"/>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12,078</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w w:val="79"/>
              </w:rPr>
              <w:t>$</w:t>
            </w:r>
          </w:p>
        </w:tc>
        <w:tc>
          <w:tcPr>
            <w:tcW w:w="1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3"/>
              </w:rPr>
              <w:t>11,075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8"/>
                <w:szCs w:val="18"/>
                <w:b w:val="1"/>
                <w:bCs w:val="1"/>
                <w:color w:val="auto"/>
              </w:rPr>
              <w:t>Note 6 – Provision for income taxes:</w:t>
            </w: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502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1"/>
        </w:trPr>
        <w:tc>
          <w:tcPr>
            <w:tcW w:w="5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Three months ended</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6"/>
          </w:tcPr>
          <w:p>
            <w:pPr>
              <w:jc w:val="center"/>
              <w:ind w:left="275"/>
              <w:spacing w:after="0"/>
              <w:rPr>
                <w:sz w:val="20"/>
                <w:szCs w:val="20"/>
                <w:color w:val="auto"/>
              </w:rPr>
            </w:pPr>
            <w:r>
              <w:rPr>
                <w:rFonts w:ascii="Arial" w:cs="Arial" w:eastAsia="Arial" w:hAnsi="Arial"/>
                <w:sz w:val="14"/>
                <w:szCs w:val="14"/>
                <w:b w:val="1"/>
                <w:bCs w:val="1"/>
                <w:color w:val="auto"/>
                <w:w w:val="90"/>
              </w:rPr>
              <w:t>Nine months ended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0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4"/>
                <w:szCs w:val="14"/>
                <w:b w:val="1"/>
                <w:bCs w:val="1"/>
                <w:color w:val="auto"/>
                <w:w w:val="89"/>
              </w:rPr>
              <w:t>September 30,</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ind w:right="2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0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(In thousands)</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0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Expected tax expense, at the U.S. federal statutory</w:t>
            </w: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gridSpan w:val="2"/>
            <w:vMerge w:val="restart"/>
            <w:shd w:val="clear" w:color="auto" w:fill="CFF0FC"/>
          </w:tcPr>
          <w:p>
            <w:pPr>
              <w:jc w:val="right"/>
              <w:ind w:right="580"/>
              <w:spacing w:after="0"/>
              <w:rPr>
                <w:sz w:val="20"/>
                <w:szCs w:val="20"/>
                <w:color w:val="auto"/>
              </w:rPr>
            </w:pPr>
            <w:r>
              <w:rPr>
                <w:rFonts w:ascii="Arial" w:cs="Arial" w:eastAsia="Arial" w:hAnsi="Arial"/>
                <w:sz w:val="18"/>
                <w:szCs w:val="18"/>
                <w:b w:val="1"/>
                <w:bCs w:val="1"/>
                <w:color w:val="auto"/>
              </w:rPr>
              <w:t>$</w:t>
            </w:r>
          </w:p>
        </w:tc>
        <w:tc>
          <w:tcPr>
            <w:tcW w:w="3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513</w:t>
            </w:r>
          </w:p>
        </w:tc>
        <w:tc>
          <w:tcPr>
            <w:tcW w:w="100" w:type="dxa"/>
            <w:vAlign w:val="bottom"/>
            <w:shd w:val="clear" w:color="auto" w:fill="CFF0FC"/>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gridSpan w:val="2"/>
            <w:vMerge w:val="restart"/>
            <w:shd w:val="clear" w:color="auto" w:fill="CFF0FC"/>
          </w:tcPr>
          <w:p>
            <w:pPr>
              <w:jc w:val="right"/>
              <w:ind w:right="400"/>
              <w:spacing w:after="0"/>
              <w:rPr>
                <w:sz w:val="20"/>
                <w:szCs w:val="20"/>
                <w:color w:val="auto"/>
              </w:rPr>
            </w:pPr>
            <w:r>
              <w:rPr>
                <w:rFonts w:ascii="Arial" w:cs="Arial" w:eastAsia="Arial" w:hAnsi="Arial"/>
                <w:sz w:val="18"/>
                <w:szCs w:val="18"/>
                <w:b w:val="1"/>
                <w:bCs w:val="1"/>
                <w:color w:val="auto"/>
              </w:rPr>
              <w:t>$</w:t>
            </w:r>
          </w:p>
        </w:tc>
        <w:tc>
          <w:tcPr>
            <w:tcW w:w="5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2,270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tax rate of 21%</w:t>
            </w:r>
          </w:p>
        </w:tc>
        <w:tc>
          <w:tcPr>
            <w:tcW w:w="1620" w:type="dxa"/>
            <w:vAlign w:val="bottom"/>
            <w:gridSpan w:val="2"/>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w:t>
            </w:r>
          </w:p>
        </w:tc>
        <w:tc>
          <w:tcPr>
            <w:tcW w:w="160" w:type="dxa"/>
            <w:vAlign w:val="bottom"/>
            <w:shd w:val="clear" w:color="auto" w:fill="CFF0FC"/>
          </w:tcPr>
          <w:p>
            <w:pPr>
              <w:spacing w:after="0"/>
              <w:rPr>
                <w:sz w:val="19"/>
                <w:szCs w:val="19"/>
                <w:color w:val="auto"/>
              </w:rPr>
            </w:pPr>
          </w:p>
        </w:tc>
        <w:tc>
          <w:tcPr>
            <w:tcW w:w="760" w:type="dxa"/>
            <w:vAlign w:val="bottom"/>
            <w:gridSpan w:val="2"/>
            <w:vMerge w:val="continue"/>
            <w:shd w:val="clear" w:color="auto" w:fill="CFF0FC"/>
          </w:tcPr>
          <w:p>
            <w:pPr>
              <w:spacing w:after="0"/>
              <w:rPr>
                <w:sz w:val="19"/>
                <w:szCs w:val="19"/>
                <w:color w:val="auto"/>
              </w:rPr>
            </w:pPr>
          </w:p>
        </w:tc>
        <w:tc>
          <w:tcPr>
            <w:tcW w:w="3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3,505</w:t>
            </w:r>
          </w:p>
        </w:tc>
        <w:tc>
          <w:tcPr>
            <w:tcW w:w="100" w:type="dxa"/>
            <w:vAlign w:val="bottom"/>
            <w:shd w:val="clear" w:color="auto" w:fill="CFF0FC"/>
          </w:tcPr>
          <w:p>
            <w:pPr>
              <w:spacing w:after="0"/>
              <w:rPr>
                <w:sz w:val="19"/>
                <w:szCs w:val="19"/>
                <w:color w:val="auto"/>
              </w:rPr>
            </w:pPr>
          </w:p>
        </w:tc>
        <w:tc>
          <w:tcPr>
            <w:tcW w:w="620" w:type="dxa"/>
            <w:vAlign w:val="bottom"/>
            <w:gridSpan w:val="2"/>
            <w:vMerge w:val="continue"/>
            <w:shd w:val="clear" w:color="auto" w:fill="CFF0FC"/>
          </w:tcPr>
          <w:p>
            <w:pPr>
              <w:spacing w:after="0"/>
              <w:rPr>
                <w:sz w:val="19"/>
                <w:szCs w:val="19"/>
                <w:color w:val="auto"/>
              </w:rPr>
            </w:pPr>
          </w:p>
        </w:tc>
        <w:tc>
          <w:tcPr>
            <w:tcW w:w="500" w:type="dxa"/>
            <w:vAlign w:val="bottom"/>
            <w:tcBorders>
              <w:right w:val="single" w:sz="8" w:color="CFF0FC"/>
            </w:tcBorders>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020" w:type="dxa"/>
            <w:vAlign w:val="bottom"/>
          </w:tcPr>
          <w:p>
            <w:pPr>
              <w:spacing w:after="0"/>
              <w:rPr>
                <w:sz w:val="20"/>
                <w:szCs w:val="20"/>
                <w:color w:val="auto"/>
              </w:rPr>
            </w:pPr>
            <w:r>
              <w:rPr>
                <w:rFonts w:ascii="Arial" w:cs="Arial" w:eastAsia="Arial" w:hAnsi="Arial"/>
                <w:sz w:val="18"/>
                <w:szCs w:val="18"/>
                <w:color w:val="auto"/>
              </w:rPr>
              <w:t>State income taxes</w:t>
            </w: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9"/>
              </w:rPr>
              <w:t>588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FDII benefit</w:t>
            </w:r>
          </w:p>
        </w:tc>
        <w:tc>
          <w:tcPr>
            <w:tcW w:w="14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(7)</w:t>
            </w:r>
          </w:p>
        </w:tc>
        <w:tc>
          <w:tcPr>
            <w:tcW w:w="220" w:type="dxa"/>
            <w:vAlign w:val="bottom"/>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4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w w:val="90"/>
              </w:rPr>
              <w:t>(170)</w:t>
            </w:r>
          </w:p>
        </w:tc>
        <w:tc>
          <w:tcPr>
            <w:tcW w:w="1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240"/>
        </w:trPr>
        <w:tc>
          <w:tcPr>
            <w:tcW w:w="5020" w:type="dxa"/>
            <w:vAlign w:val="bottom"/>
          </w:tcPr>
          <w:p>
            <w:pPr>
              <w:spacing w:after="0"/>
              <w:rPr>
                <w:sz w:val="20"/>
                <w:szCs w:val="20"/>
                <w:color w:val="auto"/>
              </w:rPr>
            </w:pPr>
            <w:r>
              <w:rPr>
                <w:rFonts w:ascii="Arial" w:cs="Arial" w:eastAsia="Arial" w:hAnsi="Arial"/>
                <w:sz w:val="18"/>
                <w:szCs w:val="18"/>
                <w:color w:val="auto"/>
              </w:rPr>
              <w:t>Other, net</w:t>
            </w: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income tax expense</w:t>
            </w:r>
          </w:p>
        </w:tc>
        <w:tc>
          <w:tcPr>
            <w:tcW w:w="14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1,227</w:t>
            </w:r>
          </w:p>
        </w:tc>
        <w:tc>
          <w:tcPr>
            <w:tcW w:w="16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5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610</w:t>
            </w:r>
          </w:p>
        </w:tc>
        <w:tc>
          <w:tcPr>
            <w:tcW w:w="100" w:type="dxa"/>
            <w:vAlign w:val="bottom"/>
            <w:shd w:val="clear" w:color="auto" w:fill="CFF0FC"/>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3,923</w:t>
            </w:r>
          </w:p>
        </w:tc>
        <w:tc>
          <w:tcPr>
            <w:tcW w:w="10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b w:val="1"/>
                <w:bCs w:val="1"/>
                <w:color w:val="auto"/>
              </w:rPr>
              <w:t>$</w:t>
            </w:r>
          </w:p>
        </w:tc>
        <w:tc>
          <w:tcPr>
            <w:tcW w:w="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2,640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color w:val="auto"/>
        </w:rPr>
        <w:t>We qualify for the foreign derived intangible income (FDII) deduction. We recognized a current cash tax benefit of $39,000 in the first nine months of 2020 and $170,000 in the first nine months of 2019 ($98,000 of our 2019 current cash tax benefit is related to 2018).</w:t>
      </w:r>
    </w:p>
    <w:p>
      <w:pPr>
        <w:spacing w:after="0" w:line="68" w:lineRule="exact"/>
        <w:rPr>
          <w:sz w:val="20"/>
          <w:szCs w:val="20"/>
          <w:color w:val="auto"/>
        </w:rPr>
      </w:pPr>
    </w:p>
    <w:p>
      <w:pPr>
        <w:jc w:val="both"/>
        <w:ind w:firstLine="510"/>
        <w:spacing w:after="0" w:line="297" w:lineRule="auto"/>
        <w:rPr>
          <w:sz w:val="20"/>
          <w:szCs w:val="20"/>
          <w:color w:val="auto"/>
        </w:rPr>
      </w:pPr>
      <w:r>
        <w:rPr>
          <w:rFonts w:ascii="Arial" w:cs="Arial" w:eastAsia="Arial" w:hAnsi="Arial"/>
          <w:sz w:val="16"/>
          <w:szCs w:val="16"/>
          <w:color w:val="auto"/>
        </w:rPr>
        <w:t>On March 27, 2020, the “Coronavirus Aid, Relief and Economic Security (CARES) Act” was signed into law in response to the COVID-19 pandemic. The CARES Act, among other things, includes provisions relating to refundable payroll tax credits, deferment of employer side social security payments, modifications to the limitation of business interest for 2019 and 2020 and technical corrections to tax depreciation methods for qualified improvement property. We have evaluated the relevant provisions of the CARES Act and determined the impact is not material to our tax provision.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Financial instruments:</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financial instruments that are not carried at fair value but which require fair value disclosure:</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center"/>
              <w:ind w:left="580"/>
              <w:spacing w:after="0"/>
              <w:rPr>
                <w:sz w:val="20"/>
                <w:szCs w:val="20"/>
                <w:color w:val="auto"/>
              </w:rPr>
            </w:pPr>
            <w:r>
              <w:rPr>
                <w:rFonts w:ascii="Arial" w:cs="Arial" w:eastAsia="Arial" w:hAnsi="Arial"/>
                <w:sz w:val="14"/>
                <w:szCs w:val="14"/>
                <w:b w:val="1"/>
                <w:bCs w:val="1"/>
                <w:color w:val="auto"/>
                <w:w w:val="90"/>
              </w:rPr>
              <w:t>December 31,</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2"/>
          </w:tcPr>
          <w:p>
            <w:pPr>
              <w:jc w:val="center"/>
              <w:ind w:left="440"/>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36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w w:val="83"/>
              </w:rPr>
              <w:t>2019</w:t>
            </w:r>
          </w:p>
        </w:tc>
        <w:tc>
          <w:tcPr>
            <w:tcW w:w="8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w w:val="83"/>
              </w:rPr>
              <w:t>2020</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5"/>
        </w:trPr>
        <w:tc>
          <w:tcPr>
            <w:tcW w:w="36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ind w:right="240"/>
              <w:spacing w:after="0" w:line="145" w:lineRule="exact"/>
              <w:rPr>
                <w:sz w:val="20"/>
                <w:szCs w:val="20"/>
                <w:color w:val="auto"/>
              </w:rPr>
            </w:pPr>
            <w:r>
              <w:rPr>
                <w:rFonts w:ascii="Arial" w:cs="Arial" w:eastAsia="Arial" w:hAnsi="Arial"/>
                <w:sz w:val="14"/>
                <w:szCs w:val="14"/>
                <w:b w:val="1"/>
                <w:bCs w:val="1"/>
                <w:color w:val="auto"/>
              </w:rPr>
              <w:t>Carrying</w:t>
            </w:r>
          </w:p>
        </w:tc>
        <w:tc>
          <w:tcPr>
            <w:tcW w:w="640" w:type="dxa"/>
            <w:vAlign w:val="bottom"/>
          </w:tcPr>
          <w:p>
            <w:pPr>
              <w:spacing w:after="0"/>
              <w:rPr>
                <w:sz w:val="12"/>
                <w:szCs w:val="12"/>
                <w:color w:val="auto"/>
              </w:rPr>
            </w:pPr>
          </w:p>
        </w:tc>
        <w:tc>
          <w:tcPr>
            <w:tcW w:w="880" w:type="dxa"/>
            <w:vAlign w:val="bottom"/>
          </w:tcPr>
          <w:p>
            <w:pPr>
              <w:jc w:val="right"/>
              <w:ind w:right="420"/>
              <w:spacing w:after="0" w:line="145"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jc w:val="right"/>
              <w:ind w:right="260"/>
              <w:spacing w:after="0" w:line="145" w:lineRule="exact"/>
              <w:rPr>
                <w:sz w:val="20"/>
                <w:szCs w:val="20"/>
                <w:color w:val="auto"/>
              </w:rPr>
            </w:pPr>
            <w:r>
              <w:rPr>
                <w:rFonts w:ascii="Arial" w:cs="Arial" w:eastAsia="Arial" w:hAnsi="Arial"/>
                <w:sz w:val="14"/>
                <w:szCs w:val="14"/>
                <w:b w:val="1"/>
                <w:bCs w:val="1"/>
                <w:color w:val="auto"/>
                <w:w w:val="93"/>
              </w:rPr>
              <w:t>Carrying</w:t>
            </w:r>
          </w:p>
        </w:tc>
        <w:tc>
          <w:tcPr>
            <w:tcW w:w="660" w:type="dxa"/>
            <w:vAlign w:val="bottom"/>
          </w:tcPr>
          <w:p>
            <w:pPr>
              <w:spacing w:after="0"/>
              <w:rPr>
                <w:sz w:val="12"/>
                <w:szCs w:val="12"/>
                <w:color w:val="auto"/>
              </w:rPr>
            </w:pPr>
          </w:p>
        </w:tc>
        <w:tc>
          <w:tcPr>
            <w:tcW w:w="860" w:type="dxa"/>
            <w:vAlign w:val="bottom"/>
          </w:tcPr>
          <w:p>
            <w:pPr>
              <w:jc w:val="center"/>
              <w:ind w:right="318"/>
              <w:spacing w:after="0" w:line="145"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r>
      <w:tr>
        <w:trPr>
          <w:trHeight w:val="170"/>
        </w:trPr>
        <w:tc>
          <w:tcPr>
            <w:tcW w:w="36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640" w:type="dxa"/>
            <w:vAlign w:val="bottom"/>
          </w:tcPr>
          <w:p>
            <w:pPr>
              <w:spacing w:after="0"/>
              <w:rPr>
                <w:sz w:val="14"/>
                <w:szCs w:val="14"/>
                <w:color w:val="auto"/>
              </w:rPr>
            </w:pPr>
          </w:p>
        </w:tc>
        <w:tc>
          <w:tcPr>
            <w:tcW w:w="880" w:type="dxa"/>
            <w:vAlign w:val="bottom"/>
          </w:tcPr>
          <w:p>
            <w:pPr>
              <w:jc w:val="right"/>
              <w:ind w:right="380"/>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right"/>
              <w:ind w:right="300"/>
              <w:spacing w:after="0"/>
              <w:rPr>
                <w:sz w:val="20"/>
                <w:szCs w:val="20"/>
                <w:color w:val="auto"/>
              </w:rPr>
            </w:pPr>
            <w:r>
              <w:rPr>
                <w:rFonts w:ascii="Arial" w:cs="Arial" w:eastAsia="Arial" w:hAnsi="Arial"/>
                <w:sz w:val="14"/>
                <w:szCs w:val="14"/>
                <w:b w:val="1"/>
                <w:bCs w:val="1"/>
                <w:color w:val="auto"/>
                <w:w w:val="98"/>
              </w:rPr>
              <w:t>amount</w:t>
            </w:r>
          </w:p>
        </w:tc>
        <w:tc>
          <w:tcPr>
            <w:tcW w:w="660" w:type="dxa"/>
            <w:vAlign w:val="bottom"/>
          </w:tcPr>
          <w:p>
            <w:pPr>
              <w:spacing w:after="0"/>
              <w:rPr>
                <w:sz w:val="14"/>
                <w:szCs w:val="14"/>
                <w:color w:val="auto"/>
              </w:rPr>
            </w:pPr>
          </w:p>
        </w:tc>
        <w:tc>
          <w:tcPr>
            <w:tcW w:w="9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value</w:t>
            </w:r>
          </w:p>
        </w:tc>
      </w:tr>
      <w:tr>
        <w:trPr>
          <w:trHeight w:val="154"/>
        </w:trPr>
        <w:tc>
          <w:tcPr>
            <w:tcW w:w="36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3"/>
          </w:tcPr>
          <w:p>
            <w:pPr>
              <w:jc w:val="right"/>
              <w:ind w:right="20"/>
              <w:spacing w:after="0" w:line="154" w:lineRule="exact"/>
              <w:rPr>
                <w:sz w:val="20"/>
                <w:szCs w:val="20"/>
                <w:color w:val="auto"/>
              </w:rPr>
            </w:pPr>
            <w:r>
              <w:rPr>
                <w:rFonts w:ascii="Arial" w:cs="Arial" w:eastAsia="Arial" w:hAnsi="Arial"/>
                <w:sz w:val="14"/>
                <w:szCs w:val="14"/>
                <w:b w:val="1"/>
                <w:bCs w:val="1"/>
                <w:color w:val="auto"/>
              </w:rPr>
              <w:t>(In thousands)</w:t>
            </w:r>
          </w:p>
        </w:tc>
        <w:tc>
          <w:tcPr>
            <w:tcW w:w="9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41"/>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63,255</w:t>
            </w:r>
          </w:p>
        </w:tc>
        <w:tc>
          <w:tcPr>
            <w:tcW w:w="640" w:type="dxa"/>
            <w:vAlign w:val="bottom"/>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63,255</w:t>
            </w: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65,075</w:t>
            </w:r>
          </w:p>
        </w:tc>
        <w:tc>
          <w:tcPr>
            <w:tcW w:w="660" w:type="dxa"/>
            <w:vAlign w:val="bottom"/>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65,075</w:t>
            </w:r>
          </w:p>
        </w:tc>
        <w:tc>
          <w:tcPr>
            <w:tcW w:w="120" w:type="dxa"/>
            <w:vAlign w:val="bottom"/>
            <w:shd w:val="clear" w:color="auto" w:fill="CFF0FC"/>
          </w:tcPr>
          <w:p>
            <w:pPr>
              <w:spacing w:after="0"/>
              <w:rPr>
                <w:sz w:val="20"/>
                <w:szCs w:val="20"/>
                <w:color w:val="auto"/>
              </w:rPr>
            </w:pPr>
          </w:p>
        </w:tc>
      </w:tr>
      <w:tr>
        <w:trPr>
          <w:trHeight w:val="240"/>
        </w:trPr>
        <w:tc>
          <w:tcPr>
            <w:tcW w:w="36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11,870</w:t>
            </w:r>
          </w:p>
        </w:tc>
        <w:tc>
          <w:tcPr>
            <w:tcW w:w="6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11,870</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12,277</w:t>
            </w:r>
          </w:p>
        </w:tc>
        <w:tc>
          <w:tcPr>
            <w:tcW w:w="6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12,277</w:t>
            </w:r>
          </w:p>
        </w:tc>
        <w:tc>
          <w:tcPr>
            <w:tcW w:w="120" w:type="dxa"/>
            <w:vAlign w:val="bottom"/>
          </w:tcPr>
          <w:p>
            <w:pPr>
              <w:spacing w:after="0"/>
              <w:rPr>
                <w:sz w:val="20"/>
                <w:szCs w:val="20"/>
                <w:color w:val="auto"/>
              </w:rPr>
            </w:pPr>
          </w:p>
        </w:tc>
      </w:tr>
      <w:tr>
        <w:trPr>
          <w:trHeight w:val="241"/>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1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2,514</w:t>
            </w:r>
          </w:p>
        </w:tc>
        <w:tc>
          <w:tcPr>
            <w:tcW w:w="6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2,514</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2,693</w:t>
            </w:r>
          </w:p>
        </w:tc>
        <w:tc>
          <w:tcPr>
            <w:tcW w:w="6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2,693</w:t>
            </w:r>
          </w:p>
        </w:tc>
        <w:tc>
          <w:tcPr>
            <w:tcW w:w="120" w:type="dxa"/>
            <w:vAlign w:val="bottom"/>
            <w:shd w:val="clear" w:color="auto" w:fill="CFF0FC"/>
          </w:tcPr>
          <w:p>
            <w:pPr>
              <w:spacing w:after="0"/>
              <w:rPr>
                <w:sz w:val="20"/>
                <w:szCs w:val="20"/>
                <w:color w:val="auto"/>
              </w:rPr>
            </w:pPr>
          </w:p>
        </w:tc>
      </w:tr>
    </w:tbl>
    <w:p>
      <w:pPr>
        <w:spacing w:after="0" w:line="240"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Due to their near-term maturities, the carrying amounts of accounts receivable and accounts payable are considered equivalent to fair value.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8 – Related party transactions:</w:t>
      </w:r>
    </w:p>
    <w:p>
      <w:pPr>
        <w:spacing w:after="0" w:line="118" w:lineRule="exact"/>
        <w:rPr>
          <w:sz w:val="20"/>
          <w:szCs w:val="20"/>
          <w:color w:val="auto"/>
        </w:rPr>
      </w:pPr>
    </w:p>
    <w:p>
      <w:pPr>
        <w:jc w:val="both"/>
        <w:ind w:firstLine="510"/>
        <w:spacing w:after="0" w:line="267" w:lineRule="auto"/>
        <w:rPr>
          <w:sz w:val="20"/>
          <w:szCs w:val="20"/>
          <w:color w:val="auto"/>
        </w:rPr>
      </w:pPr>
      <w:r>
        <w:rPr>
          <w:rFonts w:ascii="Arial" w:cs="Arial" w:eastAsia="Arial" w:hAnsi="Arial"/>
          <w:sz w:val="17"/>
          <w:szCs w:val="17"/>
          <w:color w:val="auto"/>
        </w:rPr>
        <w:t>From time to time, we may have loans and advances outstanding between us and various related parties pursuant to term and demand notes. We generally enter into these loans and advances for cash management purposes. When we loan funds to related parties, we are generally able to earn a higher rate of return on the loan than we would earn if we invested the funds in other instruments, and when we borrow from related parties, we are generally able to pay a lower rate of interest than we would pay if we had incurred third-party indebtedness. While certain of these loans to affiliates may be of a lesser credit quality than cash equivalent instruments otherwise available to us, we believe we have considered the credit risks in the terms of the applicable loans. In this regard, we have an unsecured revolving demand promissory note with Valhi whereby we agreed to loan Valhi up to $40 million. Our loan to Valhi, as amended, bears interest at prime plus 1.00%, payable quarterly, with all principal due on demand, but in any event no earlier than December 31, 2021. Loans made to Valhi at any time under the agreement are at our discretion. At September 30, 2020, the outstanding principal balance receivable from Valhi under the promissory note was $30.5 million. Interest income (including unused commitment fees) on our loan to Valhi was $1.9 million and $1.1 million for the nine months ended September 30, 2019 and 2020, respectively.</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w:t>
      </w:r>
    </w:p>
    <w:p>
      <w:pPr>
        <w:spacing w:after="0" w:line="154"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6"/>
          <w:szCs w:val="16"/>
          <w:color w:val="auto"/>
        </w:rPr>
        <w:t xml:space="preserve">In December 2019, the Financial Accounting Standards Board issued ASU 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which changes the accounting for certain income tax transactions and reduces complexity in accounting for income taxes in certain areas. The ASU introduces new guidance including providing a policy election for an entity to not allocate consolidated current and deferred tax expense when a member of a consolidated tax return is not subject to income tax in its separate financial statements and is a disregarded entity by the taxing authority; and providing guidance to evaluate whether a step-up in tax basis of goodwill relates to a business combination in which book goodwill was recognized or a separate transaction. The ASU also changes existing guidance in a number of areas, including: the method of making an intraperiod allocation of total income tax expense if there is a loss in continuing operations and gains outside of continuing operations; accounting for tax law changes and year-to-date losses in interim periods; and determining how to apply the income tax guidance to franchise taxes that are partially based on income. We adopted this ASU in the first quarter of 2020 and the adoption of this standard did not have a material effect on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10" w:name="page11"/>
    <w:bookmarkEnd w:id="10"/>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18"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We are a leading manufacturer of engineered components utilized in a variety of applications and industries. Through our Security Products segment we manufacture mechanical and electronic cabinet locks and other locking mechanisms used in recreational transportation, postal, office and institutional furniture, cabinetry, tool storage and healthcare applications. We also manufacture stainless steel exhaust systems, gauges, throttle controls, wake enhancement systems and trim tabs for the recreational marine and other industries through our Marine Components segment.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8"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as amended. Statements in this Quarterly Report that are not historical facts are forward-looking in nature and represent management’s beliefs and assumptions based on currently available information. In some cases, you can identify forward-looking statements by the use of words such as “believes,” “intends,” “may,” “should,” “could,” “anticipates,” “expects” or comparable terminology, or by discussions of strategies or trends. Although we believe that the expectations reflected in such forward-looking statements are reasonable, we do not know if these expectations will be correct. Such statements by their nature involve substantial risks and uncertainties that could significantly impact expected results. Actual future results could differ materially from those predicted. The factors that could cause actual future results to differ materially from those described herein are the risks and uncertainties discussed in this Quarterly Report and those described from time to time in our other filings with the SEC and include, but are not limited to, the following:</w:t>
      </w:r>
    </w:p>
    <w:p>
      <w:pPr>
        <w:spacing w:after="0" w:line="59" w:lineRule="exact"/>
        <w:rPr>
          <w:sz w:val="20"/>
          <w:szCs w:val="20"/>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demand for our products,</w:t>
      </w:r>
    </w:p>
    <w:p>
      <w:pPr>
        <w:spacing w:after="0" w:line="113" w:lineRule="exact"/>
        <w:rPr>
          <w:rFonts w:ascii="Arial" w:cs="Arial" w:eastAsia="Arial" w:hAnsi="Arial"/>
          <w:sz w:val="18"/>
          <w:szCs w:val="18"/>
          <w:color w:val="auto"/>
        </w:rPr>
      </w:pPr>
    </w:p>
    <w:p>
      <w:pPr>
        <w:ind w:left="1020" w:hanging="505"/>
        <w:spacing w:after="0" w:line="27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raw material and other operating costs (such as zinc, brass, aluminum, steel and energy costs) and our ability to pass those costs on to our customers or offset them with reductions in other operating costs,</w:t>
      </w:r>
    </w:p>
    <w:p>
      <w:pPr>
        <w:spacing w:after="0" w:line="67"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and product competition from low-cost manufacturing sources (such as China),</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pricing and production decisions,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and competitor strategies including substitute products,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associated with the development of new products and product features,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litigation,</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or defend our intellectual property rights,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difficulties in integrating future acquisitions,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Decisions to sell operating assets other than in the ordinary course of business,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matters (such as those requiring emission and discharge standards for existing and new facilities),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ultimate outcome of income tax audits, tax settlement initiatives or other tax matters, including future tax reform,</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current or future government regulations (including employee healthcare benefit related regulations),</w:t>
      </w:r>
    </w:p>
    <w:p>
      <w:pPr>
        <w:spacing w:after="0" w:line="113" w:lineRule="exact"/>
        <w:rPr>
          <w:rFonts w:ascii="Arial" w:cs="Arial" w:eastAsia="Arial" w:hAnsi="Arial"/>
          <w:sz w:val="18"/>
          <w:szCs w:val="18"/>
          <w:color w:val="auto"/>
        </w:rPr>
      </w:pPr>
    </w:p>
    <w:p>
      <w:pPr>
        <w:jc w:val="both"/>
        <w:ind w:left="1020" w:hanging="505"/>
        <w:spacing w:after="0" w:line="307"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General global economic and political conditions that disrupt or introduce instability into our supply chain, impact our customers’ level of demand or our customers’ perception regarding demand or impair our ability to operate our facilities (including changes in the level of gross domestic product in various regions of the world, natural disasters, terrorist acts, global conflicts and public health crises such as COVID-19),</w:t>
      </w:r>
    </w:p>
    <w:p>
      <w:pPr>
        <w:spacing w:after="0" w:line="42" w:lineRule="exact"/>
        <w:rPr>
          <w:rFonts w:ascii="Arial" w:cs="Arial" w:eastAsia="Arial" w:hAnsi="Arial"/>
          <w:sz w:val="16"/>
          <w:szCs w:val="16"/>
          <w:color w:val="auto"/>
        </w:rPr>
      </w:pPr>
    </w:p>
    <w:p>
      <w:pPr>
        <w:ind w:left="1020" w:hanging="505"/>
        <w:spacing w:after="0" w:line="301"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Operating interruptions (including, but not limited to labor disputes, hazardous chemical leaks, natural disasters, fires, explosions, unscheduled or unplanned downtime, transportation interruptions, cyber-attacks and public health crises such as COVID-19); and</w:t>
      </w:r>
    </w:p>
    <w:p>
      <w:pPr>
        <w:spacing w:after="0" w:line="44" w:lineRule="exact"/>
        <w:rPr>
          <w:rFonts w:ascii="Arial" w:cs="Arial" w:eastAsia="Arial" w:hAnsi="Arial"/>
          <w:sz w:val="17"/>
          <w:szCs w:val="17"/>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disruption of our business or increases in the cost of doing business resulting from terrorist activities or global conflicts.</w:t>
      </w:r>
    </w:p>
    <w:p>
      <w:pPr>
        <w:spacing w:after="0" w:line="22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Should one or more of these risks materialize or if the consequences worsen, or if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Operating Income Overview</w:t>
      </w:r>
    </w:p>
    <w:p>
      <w:pPr>
        <w:spacing w:after="0" w:line="225"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We experienced normal sales volumes and operations during the first quarter of 2020. Beginning in late March 2020 as a result of the COVID-19 pandemic, we began receiving requests from certain customers of both our Security Products and Marine Components segments to postpone shipments, in some cases because our customers’ production facilities were temporarily closed. We operate three facilities, each of which specializes in certain manufacturing processes and is therefore dependent upon the other facilities to some extent to manufacture finished goods. With the onset of COVID-19, within each facility we enhanced cleaning and sanitization procedures, mandated social distancing and implemented other health and safety protocols. For our sales, the second quarter of 2020 was the quarter most impacted by COVID-19 related order cancellations and delays. In the third quarter, we experienced significant recovery in sales, particularly in our Marine Segment, though not to the level we would have expected prior to the pandemic. Our operating income has not recovered to the extent our sales have recovered due to a decline in gross margins discussed below.</w:t>
      </w:r>
    </w:p>
    <w:p>
      <w:pPr>
        <w:spacing w:after="0" w:line="166" w:lineRule="exact"/>
        <w:rPr>
          <w:sz w:val="20"/>
          <w:szCs w:val="20"/>
          <w:color w:val="auto"/>
        </w:rPr>
      </w:pPr>
    </w:p>
    <w:p>
      <w:pPr>
        <w:jc w:val="both"/>
        <w:ind w:right="20" w:firstLine="510"/>
        <w:spacing w:after="0" w:line="271" w:lineRule="auto"/>
        <w:rPr>
          <w:sz w:val="20"/>
          <w:szCs w:val="20"/>
          <w:color w:val="auto"/>
        </w:rPr>
      </w:pPr>
      <w:r>
        <w:rPr>
          <w:rFonts w:ascii="Arial" w:cs="Arial" w:eastAsia="Arial" w:hAnsi="Arial"/>
          <w:sz w:val="18"/>
          <w:szCs w:val="18"/>
          <w:color w:val="auto"/>
        </w:rPr>
        <w:t>We reported operating income of $2.1 million in the third quarter of 2020 compared to $4.3 million in the same period of 2019. Operating income for the first nine months of 2020 was $9.5 million compared to $14.2 million for the comparable period in 2019.</w:t>
      </w:r>
    </w:p>
    <w:p>
      <w:pPr>
        <w:spacing w:after="0" w:line="175" w:lineRule="exact"/>
        <w:rPr>
          <w:sz w:val="20"/>
          <w:szCs w:val="20"/>
          <w:color w:val="auto"/>
        </w:rPr>
      </w:pPr>
    </w:p>
    <w:p>
      <w:pPr>
        <w:jc w:val="both"/>
        <w:ind w:firstLine="510"/>
        <w:spacing w:after="0" w:line="335" w:lineRule="auto"/>
        <w:rPr>
          <w:sz w:val="20"/>
          <w:szCs w:val="20"/>
          <w:color w:val="auto"/>
        </w:rPr>
      </w:pPr>
      <w:r>
        <w:rPr>
          <w:rFonts w:ascii="Arial" w:cs="Arial" w:eastAsia="Arial" w:hAnsi="Arial"/>
          <w:sz w:val="16"/>
          <w:szCs w:val="16"/>
          <w:color w:val="auto"/>
        </w:rPr>
        <w:t>We sell a large number of products that have a wide variation in selling price and manufacturing cost, which results in certain practical limitations on our ability to quantify the impact of changes in individual product sales quantities and selling prices on our net sales, cost of goods sold and gross profit.</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Results of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jc w:val="center"/>
              <w:ind w:right="680"/>
              <w:spacing w:after="0"/>
              <w:rPr>
                <w:sz w:val="20"/>
                <w:szCs w:val="20"/>
                <w:color w:val="auto"/>
              </w:rPr>
            </w:pPr>
            <w:r>
              <w:rPr>
                <w:rFonts w:ascii="Arial" w:cs="Arial" w:eastAsia="Arial" w:hAnsi="Arial"/>
                <w:sz w:val="14"/>
                <w:szCs w:val="14"/>
                <w:b w:val="1"/>
                <w:bCs w:val="1"/>
                <w:color w:val="auto"/>
                <w:w w:val="91"/>
              </w:rPr>
              <w:t>Three months ended</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0"/>
        </w:trPr>
        <w:tc>
          <w:tcPr>
            <w:tcW w:w="6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left="279"/>
              <w:spacing w:after="0"/>
              <w:rPr>
                <w:sz w:val="20"/>
                <w:szCs w:val="20"/>
                <w:color w:val="auto"/>
              </w:rPr>
            </w:pPr>
            <w:r>
              <w:rPr>
                <w:rFonts w:ascii="Arial" w:cs="Arial" w:eastAsia="Arial" w:hAnsi="Arial"/>
                <w:sz w:val="14"/>
                <w:szCs w:val="14"/>
                <w:b w:val="1"/>
                <w:bCs w:val="1"/>
                <w:color w:val="auto"/>
                <w:w w:val="89"/>
              </w:rPr>
              <w:t>September 30,</w:t>
            </w:r>
          </w:p>
        </w:tc>
        <w:tc>
          <w:tcPr>
            <w:tcW w:w="7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4"/>
        </w:trPr>
        <w:tc>
          <w:tcPr>
            <w:tcW w:w="64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4"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9"/>
              <w:spacing w:after="0" w:line="154"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line="154"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4"/>
              <w:spacing w:after="0" w:line="154"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4"/>
        </w:trPr>
        <w:tc>
          <w:tcPr>
            <w:tcW w:w="6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5"/>
          </w:tcPr>
          <w:p>
            <w:pPr>
              <w:jc w:val="center"/>
              <w:ind w:right="680"/>
              <w:spacing w:after="0" w:line="154" w:lineRule="exact"/>
              <w:rPr>
                <w:sz w:val="20"/>
                <w:szCs w:val="20"/>
                <w:color w:val="auto"/>
              </w:rPr>
            </w:pPr>
            <w:r>
              <w:rPr>
                <w:rFonts w:ascii="Arial" w:cs="Arial" w:eastAsia="Arial" w:hAnsi="Arial"/>
                <w:sz w:val="14"/>
                <w:szCs w:val="14"/>
                <w:b w:val="1"/>
                <w:bCs w:val="1"/>
                <w:color w:val="auto"/>
                <w:w w:val="90"/>
              </w:rPr>
              <w:t>(Dollars in thousands)</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41"/>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29,703</w:t>
            </w:r>
          </w:p>
        </w:tc>
        <w:tc>
          <w:tcPr>
            <w:tcW w:w="3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100.0%</w:t>
            </w: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28,426</w:t>
            </w:r>
          </w:p>
        </w:tc>
        <w:tc>
          <w:tcPr>
            <w:tcW w:w="2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100.0%</w:t>
            </w:r>
          </w:p>
        </w:tc>
      </w:tr>
      <w:tr>
        <w:trPr>
          <w:trHeight w:val="240"/>
        </w:trPr>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20,227</w:t>
            </w:r>
          </w:p>
        </w:tc>
        <w:tc>
          <w:tcPr>
            <w:tcW w:w="300" w:type="dxa"/>
            <w:vAlign w:val="bottom"/>
            <w:tcBorders>
              <w:bottom w:val="single" w:sz="8" w:color="CFF0FC"/>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r>
              <w:rPr>
                <w:rFonts w:ascii="Arial" w:cs="Arial" w:eastAsia="Arial" w:hAnsi="Arial"/>
                <w:sz w:val="18"/>
                <w:szCs w:val="18"/>
                <w:u w:val="single" w:color="auto"/>
                <w:color w:val="auto"/>
              </w:rPr>
              <w:t>1</w:t>
            </w:r>
          </w:p>
        </w:tc>
        <w:tc>
          <w:tcPr>
            <w:tcW w:w="36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21,098</w:t>
            </w:r>
          </w:p>
        </w:tc>
        <w:tc>
          <w:tcPr>
            <w:tcW w:w="280" w:type="dxa"/>
            <w:vAlign w:val="bottom"/>
            <w:tcBorders>
              <w:bottom w:val="single" w:sz="8" w:color="CFF0FC"/>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74.2</w:t>
            </w:r>
          </w:p>
        </w:tc>
        <w:tc>
          <w:tcPr>
            <w:tcW w:w="200" w:type="dxa"/>
            <w:vAlign w:val="bottom"/>
            <w:tcBorders>
              <w:bottom w:val="single" w:sz="8" w:color="CFF0FC"/>
            </w:tcBorders>
          </w:tcPr>
          <w:p>
            <w:pPr>
              <w:spacing w:after="0"/>
              <w:rPr>
                <w:sz w:val="20"/>
                <w:szCs w:val="20"/>
                <w:color w:val="auto"/>
              </w:rPr>
            </w:pPr>
          </w:p>
        </w:tc>
      </w:tr>
      <w:tr>
        <w:trPr>
          <w:trHeight w:val="235"/>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9,476</w:t>
            </w:r>
          </w:p>
        </w:tc>
        <w:tc>
          <w:tcPr>
            <w:tcW w:w="3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3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7,328</w:t>
            </w:r>
          </w:p>
        </w:tc>
        <w:tc>
          <w:tcPr>
            <w:tcW w:w="2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25.8</w:t>
            </w:r>
          </w:p>
        </w:tc>
        <w:tc>
          <w:tcPr>
            <w:tcW w:w="200" w:type="dxa"/>
            <w:vAlign w:val="bottom"/>
            <w:shd w:val="clear" w:color="auto" w:fill="CFF0FC"/>
          </w:tcPr>
          <w:p>
            <w:pPr>
              <w:spacing w:after="0"/>
              <w:rPr>
                <w:sz w:val="20"/>
                <w:szCs w:val="20"/>
                <w:color w:val="auto"/>
              </w:rPr>
            </w:pPr>
          </w:p>
        </w:tc>
      </w:tr>
      <w:tr>
        <w:trPr>
          <w:trHeight w:val="240"/>
        </w:trPr>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costs and expenses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5,210</w:t>
            </w:r>
          </w:p>
        </w:tc>
        <w:tc>
          <w:tcPr>
            <w:tcW w:w="300" w:type="dxa"/>
            <w:vAlign w:val="bottom"/>
            <w:tcBorders>
              <w:bottom w:val="single" w:sz="8" w:color="CFF0FC"/>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36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5,246</w:t>
            </w:r>
          </w:p>
        </w:tc>
        <w:tc>
          <w:tcPr>
            <w:tcW w:w="280" w:type="dxa"/>
            <w:vAlign w:val="bottom"/>
            <w:tcBorders>
              <w:bottom w:val="single" w:sz="8" w:color="CFF0FC"/>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w:t>
            </w:r>
          </w:p>
        </w:tc>
        <w:tc>
          <w:tcPr>
            <w:tcW w:w="200" w:type="dxa"/>
            <w:vAlign w:val="bottom"/>
            <w:tcBorders>
              <w:bottom w:val="single" w:sz="8" w:color="CFF0FC"/>
            </w:tcBorders>
          </w:tcPr>
          <w:p>
            <w:pPr>
              <w:spacing w:after="0"/>
              <w:rPr>
                <w:sz w:val="20"/>
                <w:szCs w:val="20"/>
                <w:color w:val="auto"/>
              </w:rPr>
            </w:pPr>
          </w:p>
        </w:tc>
      </w:tr>
      <w:tr>
        <w:trPr>
          <w:trHeight w:val="234"/>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4,266</w:t>
            </w:r>
          </w:p>
        </w:tc>
        <w:tc>
          <w:tcPr>
            <w:tcW w:w="3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14.4%</w:t>
            </w: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2,082</w:t>
            </w:r>
          </w:p>
        </w:tc>
        <w:tc>
          <w:tcPr>
            <w:tcW w:w="2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7.3%</w:t>
            </w:r>
          </w:p>
        </w:tc>
      </w:tr>
      <w:tr>
        <w:trPr>
          <w:trHeight w:val="20"/>
        </w:trPr>
        <w:tc>
          <w:tcPr>
            <w:tcW w:w="64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r>
      <w:tr>
        <w:trPr>
          <w:trHeight w:val="373"/>
        </w:trPr>
        <w:tc>
          <w:tcPr>
            <w:tcW w:w="6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gridSpan w:val="5"/>
          </w:tcPr>
          <w:p>
            <w:pPr>
              <w:jc w:val="center"/>
              <w:ind w:right="680"/>
              <w:spacing w:after="0"/>
              <w:rPr>
                <w:sz w:val="20"/>
                <w:szCs w:val="20"/>
                <w:color w:val="auto"/>
              </w:rPr>
            </w:pPr>
            <w:r>
              <w:rPr>
                <w:rFonts w:ascii="Arial" w:cs="Arial" w:eastAsia="Arial" w:hAnsi="Arial"/>
                <w:sz w:val="14"/>
                <w:szCs w:val="14"/>
                <w:b w:val="1"/>
                <w:bCs w:val="1"/>
                <w:color w:val="auto"/>
                <w:w w:val="90"/>
              </w:rPr>
              <w:t>Nine months ended</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70"/>
        </w:trPr>
        <w:tc>
          <w:tcPr>
            <w:tcW w:w="6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left="279"/>
              <w:spacing w:after="0"/>
              <w:rPr>
                <w:sz w:val="20"/>
                <w:szCs w:val="20"/>
                <w:color w:val="auto"/>
              </w:rPr>
            </w:pPr>
            <w:r>
              <w:rPr>
                <w:rFonts w:ascii="Arial" w:cs="Arial" w:eastAsia="Arial" w:hAnsi="Arial"/>
                <w:sz w:val="14"/>
                <w:szCs w:val="14"/>
                <w:b w:val="1"/>
                <w:bCs w:val="1"/>
                <w:color w:val="auto"/>
                <w:w w:val="89"/>
              </w:rPr>
              <w:t>September 30,</w:t>
            </w:r>
          </w:p>
        </w:tc>
        <w:tc>
          <w:tcPr>
            <w:tcW w:w="7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4"/>
        </w:trPr>
        <w:tc>
          <w:tcPr>
            <w:tcW w:w="64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4"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9"/>
              <w:spacing w:after="0" w:line="154"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line="154"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4"/>
              <w:spacing w:after="0" w:line="154"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4"/>
        </w:trPr>
        <w:tc>
          <w:tcPr>
            <w:tcW w:w="6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5"/>
          </w:tcPr>
          <w:p>
            <w:pPr>
              <w:jc w:val="center"/>
              <w:ind w:right="680"/>
              <w:spacing w:after="0" w:line="154" w:lineRule="exact"/>
              <w:rPr>
                <w:sz w:val="20"/>
                <w:szCs w:val="20"/>
                <w:color w:val="auto"/>
              </w:rPr>
            </w:pPr>
            <w:r>
              <w:rPr>
                <w:rFonts w:ascii="Arial" w:cs="Arial" w:eastAsia="Arial" w:hAnsi="Arial"/>
                <w:sz w:val="14"/>
                <w:szCs w:val="14"/>
                <w:b w:val="1"/>
                <w:bCs w:val="1"/>
                <w:color w:val="auto"/>
                <w:w w:val="90"/>
              </w:rPr>
              <w:t>(Dollars in thousands)</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41"/>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94,610</w:t>
            </w:r>
          </w:p>
        </w:tc>
        <w:tc>
          <w:tcPr>
            <w:tcW w:w="3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100.0%</w:t>
            </w: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84,537</w:t>
            </w:r>
          </w:p>
        </w:tc>
        <w:tc>
          <w:tcPr>
            <w:tcW w:w="2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100.0%</w:t>
            </w:r>
          </w:p>
        </w:tc>
      </w:tr>
      <w:tr>
        <w:trPr>
          <w:trHeight w:val="240"/>
        </w:trPr>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64,571</w:t>
            </w:r>
          </w:p>
        </w:tc>
        <w:tc>
          <w:tcPr>
            <w:tcW w:w="300" w:type="dxa"/>
            <w:vAlign w:val="bottom"/>
            <w:tcBorders>
              <w:bottom w:val="single" w:sz="8" w:color="CFF0FC"/>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r>
              <w:rPr>
                <w:rFonts w:ascii="Arial" w:cs="Arial" w:eastAsia="Arial" w:hAnsi="Arial"/>
                <w:sz w:val="18"/>
                <w:szCs w:val="18"/>
                <w:u w:val="single" w:color="auto"/>
                <w:color w:val="auto"/>
              </w:rPr>
              <w:t>2</w:t>
            </w:r>
          </w:p>
        </w:tc>
        <w:tc>
          <w:tcPr>
            <w:tcW w:w="36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59,412</w:t>
            </w:r>
          </w:p>
        </w:tc>
        <w:tc>
          <w:tcPr>
            <w:tcW w:w="280" w:type="dxa"/>
            <w:vAlign w:val="bottom"/>
            <w:tcBorders>
              <w:bottom w:val="single" w:sz="8" w:color="CFF0FC"/>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70.3</w:t>
            </w:r>
          </w:p>
        </w:tc>
        <w:tc>
          <w:tcPr>
            <w:tcW w:w="200" w:type="dxa"/>
            <w:vAlign w:val="bottom"/>
            <w:tcBorders>
              <w:bottom w:val="single" w:sz="8" w:color="CFF0FC"/>
            </w:tcBorders>
          </w:tcPr>
          <w:p>
            <w:pPr>
              <w:spacing w:after="0"/>
              <w:rPr>
                <w:sz w:val="20"/>
                <w:szCs w:val="20"/>
                <w:color w:val="auto"/>
              </w:rPr>
            </w:pPr>
          </w:p>
        </w:tc>
      </w:tr>
      <w:tr>
        <w:trPr>
          <w:trHeight w:val="235"/>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30,039</w:t>
            </w:r>
          </w:p>
        </w:tc>
        <w:tc>
          <w:tcPr>
            <w:tcW w:w="3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3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25,125</w:t>
            </w:r>
          </w:p>
        </w:tc>
        <w:tc>
          <w:tcPr>
            <w:tcW w:w="2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29.7</w:t>
            </w:r>
          </w:p>
        </w:tc>
        <w:tc>
          <w:tcPr>
            <w:tcW w:w="200" w:type="dxa"/>
            <w:vAlign w:val="bottom"/>
            <w:shd w:val="clear" w:color="auto" w:fill="CFF0FC"/>
          </w:tcPr>
          <w:p>
            <w:pPr>
              <w:spacing w:after="0"/>
              <w:rPr>
                <w:sz w:val="20"/>
                <w:szCs w:val="20"/>
                <w:color w:val="auto"/>
              </w:rPr>
            </w:pPr>
          </w:p>
        </w:tc>
      </w:tr>
      <w:tr>
        <w:trPr>
          <w:trHeight w:val="240"/>
        </w:trPr>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costs and expenses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15,860</w:t>
            </w:r>
          </w:p>
        </w:tc>
        <w:tc>
          <w:tcPr>
            <w:tcW w:w="300" w:type="dxa"/>
            <w:vAlign w:val="bottom"/>
            <w:tcBorders>
              <w:bottom w:val="single" w:sz="8" w:color="CFF0FC"/>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36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15,654</w:t>
            </w:r>
          </w:p>
        </w:tc>
        <w:tc>
          <w:tcPr>
            <w:tcW w:w="280" w:type="dxa"/>
            <w:vAlign w:val="bottom"/>
            <w:tcBorders>
              <w:bottom w:val="single" w:sz="8" w:color="CFF0FC"/>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w:t>
            </w:r>
          </w:p>
        </w:tc>
        <w:tc>
          <w:tcPr>
            <w:tcW w:w="200" w:type="dxa"/>
            <w:vAlign w:val="bottom"/>
            <w:tcBorders>
              <w:bottom w:val="single" w:sz="8" w:color="CFF0FC"/>
            </w:tcBorders>
          </w:tcPr>
          <w:p>
            <w:pPr>
              <w:spacing w:after="0"/>
              <w:rPr>
                <w:sz w:val="20"/>
                <w:szCs w:val="20"/>
                <w:color w:val="auto"/>
              </w:rPr>
            </w:pPr>
          </w:p>
        </w:tc>
      </w:tr>
      <w:tr>
        <w:trPr>
          <w:trHeight w:val="234"/>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14,179</w:t>
            </w:r>
          </w:p>
        </w:tc>
        <w:tc>
          <w:tcPr>
            <w:tcW w:w="3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15.0%</w:t>
            </w: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9,471</w:t>
            </w:r>
          </w:p>
        </w:tc>
        <w:tc>
          <w:tcPr>
            <w:tcW w:w="2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11.2%</w:t>
            </w:r>
          </w:p>
        </w:tc>
      </w:tr>
      <w:tr>
        <w:trPr>
          <w:trHeight w:val="20"/>
        </w:trPr>
        <w:tc>
          <w:tcPr>
            <w:tcW w:w="64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i w:val="1"/>
          <w:iCs w:val="1"/>
          <w:color w:val="auto"/>
        </w:rPr>
        <w:t>Net sales</w:t>
      </w:r>
      <w:r>
        <w:rPr>
          <w:rFonts w:ascii="Arial" w:cs="Arial" w:eastAsia="Arial" w:hAnsi="Arial"/>
          <w:sz w:val="17"/>
          <w:szCs w:val="17"/>
          <w:color w:val="auto"/>
        </w:rPr>
        <w:t>. Net sales decreased $1.3 million in the third quarter of 2020 compared to the same period in 2019 as higher Marine Component sales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towboat market were more than offset by lower Security Products sales across a variety of markets. Net sales decreased $10.1 million in the first nine months of 2020 compared to the same period in 2019 primarily due to lower Security Products sales particularly in the second quarter of 2020 as many of our customers were temporarily closed or reduced production due to government ordered closures or reduced demand resulting from the COVID-19 pandemic. Relative changes in selling prices did not have a material impact on net sales comparisons.</w:t>
      </w:r>
    </w:p>
    <w:p>
      <w:pPr>
        <w:spacing w:after="0" w:line="176" w:lineRule="exact"/>
        <w:rPr>
          <w:sz w:val="20"/>
          <w:szCs w:val="20"/>
          <w:color w:val="auto"/>
        </w:rPr>
      </w:pPr>
    </w:p>
    <w:p>
      <w:pPr>
        <w:jc w:val="both"/>
        <w:ind w:firstLine="510"/>
        <w:spacing w:after="0" w:line="297" w:lineRule="auto"/>
        <w:rPr>
          <w:sz w:val="20"/>
          <w:szCs w:val="20"/>
          <w:color w:val="auto"/>
        </w:rPr>
      </w:pPr>
      <w:r>
        <w:rPr>
          <w:rFonts w:ascii="Arial" w:cs="Arial" w:eastAsia="Arial" w:hAnsi="Arial"/>
          <w:sz w:val="16"/>
          <w:szCs w:val="16"/>
          <w:i w:val="1"/>
          <w:iCs w:val="1"/>
          <w:color w:val="auto"/>
        </w:rPr>
        <w:t xml:space="preserve">Cost of sales and gross margin. </w:t>
      </w:r>
      <w:r>
        <w:rPr>
          <w:rFonts w:ascii="Arial" w:cs="Arial" w:eastAsia="Arial" w:hAnsi="Arial"/>
          <w:sz w:val="16"/>
          <w:szCs w:val="16"/>
          <w:color w:val="auto"/>
        </w:rPr>
        <w:t>Cost of sales as a percentage of sales for the third quarter and for the first nine months of 2020 was approximately 6%</w:t>
      </w:r>
      <w:r>
        <w:rPr>
          <w:rFonts w:ascii="Arial" w:cs="Arial" w:eastAsia="Arial" w:hAnsi="Arial"/>
          <w:sz w:val="16"/>
          <w:szCs w:val="16"/>
          <w:i w:val="1"/>
          <w:iCs w:val="1"/>
          <w:color w:val="auto"/>
        </w:rPr>
        <w:t xml:space="preserve"> </w:t>
      </w:r>
      <w:r>
        <w:rPr>
          <w:rFonts w:ascii="Arial" w:cs="Arial" w:eastAsia="Arial" w:hAnsi="Arial"/>
          <w:sz w:val="16"/>
          <w:szCs w:val="16"/>
          <w:color w:val="auto"/>
        </w:rPr>
        <w:t>and 2% higher than the same periods in 2019, respectively. As a result, gross margin as a percentage of sales decreased over the same periods. Gross margin percentages decreased in the third quarter and first nine months of 2020 compared to the same periods in 2019 primarily due to the decline in the Security Products gross margin percentage and to a lesser extent the Marine Components gross margin percentage. See segment discussion below.</w:t>
      </w:r>
    </w:p>
    <w:p>
      <w:pPr>
        <w:spacing w:after="0" w:line="159"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Operating costs and expenses consist primarily of sales and administrative-related personnel costs, sales commissions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advertising expenses directly related to product sales and administrative costs relating to business unit and corporate management activities, as well as gains and losses on property and equipment. Operating costs and expenses for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12" w:name="page13"/>
    <w:bookmarkEnd w:id="12"/>
    <w:p>
      <w:pPr>
        <w:jc w:val="both"/>
        <w:spacing w:after="0" w:line="271" w:lineRule="auto"/>
        <w:rPr>
          <w:sz w:val="20"/>
          <w:szCs w:val="20"/>
          <w:color w:val="auto"/>
        </w:rPr>
      </w:pPr>
      <w:r>
        <w:rPr>
          <w:rFonts w:ascii="Arial" w:cs="Arial" w:eastAsia="Arial" w:hAnsi="Arial"/>
          <w:sz w:val="18"/>
          <w:szCs w:val="18"/>
          <w:color w:val="auto"/>
        </w:rPr>
        <w:t>third quarter and first nine months of 2020 were comparable to the same periods last year. Operating costs and expenses as a percentage of net sales increased in both periods of 2020 due to the lower sales.</w:t>
      </w:r>
    </w:p>
    <w:p>
      <w:pPr>
        <w:spacing w:after="0" w:line="175" w:lineRule="exact"/>
        <w:rPr>
          <w:sz w:val="20"/>
          <w:szCs w:val="20"/>
          <w:color w:val="auto"/>
        </w:rPr>
      </w:pPr>
    </w:p>
    <w:p>
      <w:pPr>
        <w:jc w:val="both"/>
        <w:ind w:firstLine="510"/>
        <w:spacing w:after="0" w:line="335" w:lineRule="auto"/>
        <w:rPr>
          <w:sz w:val="20"/>
          <w:szCs w:val="20"/>
          <w:color w:val="auto"/>
        </w:rPr>
      </w:pPr>
      <w:r>
        <w:rPr>
          <w:rFonts w:ascii="Arial" w:cs="Arial" w:eastAsia="Arial" w:hAnsi="Arial"/>
          <w:sz w:val="16"/>
          <w:szCs w:val="16"/>
          <w:i w:val="1"/>
          <w:iCs w:val="1"/>
          <w:color w:val="auto"/>
        </w:rPr>
        <w:t xml:space="preserve">Operating income. </w:t>
      </w:r>
      <w:r>
        <w:rPr>
          <w:rFonts w:ascii="Arial" w:cs="Arial" w:eastAsia="Arial" w:hAnsi="Arial"/>
          <w:sz w:val="16"/>
          <w:szCs w:val="16"/>
          <w:color w:val="auto"/>
        </w:rPr>
        <w:t>As a percentage of net sales, operating income for the third quarter and first nine months of 2020 decreased compared to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periods of 2019 and was primarily impacted by the factors impacting cost of goods sold, gross margin and operating costs. See segment discussion below.</w:t>
      </w:r>
    </w:p>
    <w:p>
      <w:pPr>
        <w:spacing w:after="0" w:line="128"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A tabular reconciliation of our actual tax provision to the U.S. federal statutory income tax rate is included in Note 6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Condensed Consolidated Financial Statements. Our operations are wholly within the U.S. and therefore our effective income tax rate is primarily reflective of the U.S. federal statutory rate and applicable state taxes.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key performance indicator for our segments is operating income.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90"/>
              </w:rPr>
              <w:t>Three months ended</w:t>
            </w: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4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0"/>
              </w:rPr>
              <w:t>Nine months ended</w:t>
            </w: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6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left="457"/>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vMerge w:val="restart"/>
          </w:tcPr>
          <w:p>
            <w:pPr>
              <w:jc w:val="right"/>
              <w:ind w:right="196"/>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ind w:left="437"/>
              <w:spacing w:after="0"/>
              <w:rPr>
                <w:sz w:val="20"/>
                <w:szCs w:val="20"/>
                <w:color w:val="auto"/>
              </w:rPr>
            </w:pPr>
            <w:r>
              <w:rPr>
                <w:rFonts w:ascii="Arial" w:cs="Arial" w:eastAsia="Arial" w:hAnsi="Arial"/>
                <w:sz w:val="14"/>
                <w:szCs w:val="14"/>
                <w:b w:val="1"/>
                <w:bCs w:val="1"/>
                <w:color w:val="auto"/>
                <w:w w:val="89"/>
              </w:rPr>
              <w:t>September 30,</w:t>
            </w:r>
          </w:p>
        </w:tc>
        <w:tc>
          <w:tcPr>
            <w:tcW w:w="7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vMerge w:val="restart"/>
          </w:tcPr>
          <w:p>
            <w:pPr>
              <w:jc w:val="right"/>
              <w:ind w:right="216"/>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3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w w:val="96"/>
              </w:rPr>
              <w:t>2020</w:t>
            </w:r>
          </w:p>
        </w:tc>
        <w:tc>
          <w:tcPr>
            <w:tcW w:w="3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6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Change</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Change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6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91"/>
              </w:rPr>
              <w:t>(Dollars in thousands)</w:t>
            </w: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4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0"/>
              </w:rPr>
              <w:t>(Dollars in thousands)</w:t>
            </w: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Security Products:</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600" w:type="dxa"/>
            <w:vAlign w:val="bottom"/>
          </w:tcPr>
          <w:p>
            <w:pPr>
              <w:ind w:left="500"/>
              <w:spacing w:after="0"/>
              <w:rPr>
                <w:sz w:val="20"/>
                <w:szCs w:val="20"/>
                <w:color w:val="auto"/>
              </w:rPr>
            </w:pPr>
            <w:r>
              <w:rPr>
                <w:rFonts w:ascii="Arial" w:cs="Arial" w:eastAsia="Arial" w:hAnsi="Arial"/>
                <w:sz w:val="18"/>
                <w:szCs w:val="18"/>
                <w:color w:val="auto"/>
              </w:rPr>
              <w:t>Net sales</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23,405</w:t>
            </w:r>
          </w:p>
        </w:tc>
        <w:tc>
          <w:tcPr>
            <w:tcW w:w="280" w:type="dxa"/>
            <w:vAlign w:val="bottom"/>
          </w:tcPr>
          <w:p>
            <w:pPr>
              <w:spacing w:after="0"/>
              <w:rPr>
                <w:sz w:val="20"/>
                <w:szCs w:val="20"/>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21,209</w:t>
            </w: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75,036</w:t>
            </w:r>
          </w:p>
        </w:tc>
        <w:tc>
          <w:tcPr>
            <w:tcW w:w="280" w:type="dxa"/>
            <w:vAlign w:val="bottom"/>
          </w:tcPr>
          <w:p>
            <w:pPr>
              <w:spacing w:after="0"/>
              <w:rPr>
                <w:sz w:val="20"/>
                <w:szCs w:val="20"/>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65,251</w:t>
            </w:r>
          </w:p>
        </w:tc>
        <w:tc>
          <w:tcPr>
            <w:tcW w:w="3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1"/>
        </w:trPr>
        <w:tc>
          <w:tcPr>
            <w:tcW w:w="3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15,737</w:t>
            </w:r>
          </w:p>
        </w:tc>
        <w:tc>
          <w:tcPr>
            <w:tcW w:w="280" w:type="dxa"/>
            <w:vAlign w:val="bottom"/>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15,714</w:t>
            </w:r>
          </w:p>
        </w:tc>
        <w:tc>
          <w:tcPr>
            <w:tcW w:w="3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50,470</w:t>
            </w:r>
          </w:p>
        </w:tc>
        <w:tc>
          <w:tcPr>
            <w:tcW w:w="280" w:type="dxa"/>
            <w:vAlign w:val="bottom"/>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45,304</w:t>
            </w:r>
          </w:p>
        </w:tc>
        <w:tc>
          <w:tcPr>
            <w:tcW w:w="3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600" w:type="dxa"/>
            <w:vAlign w:val="bottom"/>
          </w:tcPr>
          <w:p>
            <w:pPr>
              <w:ind w:left="740"/>
              <w:spacing w:after="0"/>
              <w:rPr>
                <w:sz w:val="20"/>
                <w:szCs w:val="20"/>
                <w:color w:val="auto"/>
              </w:rPr>
            </w:pPr>
            <w:r>
              <w:rPr>
                <w:rFonts w:ascii="Arial" w:cs="Arial" w:eastAsia="Arial" w:hAnsi="Arial"/>
                <w:sz w:val="18"/>
                <w:szCs w:val="18"/>
                <w:color w:val="auto"/>
              </w:rPr>
              <w:t>Gross margin</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7,668</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5,495</w:t>
            </w: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24,566</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19,947</w:t>
            </w: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costs and expenses</w:t>
            </w: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2,802</w:t>
            </w:r>
          </w:p>
        </w:tc>
        <w:tc>
          <w:tcPr>
            <w:tcW w:w="280" w:type="dxa"/>
            <w:vAlign w:val="bottom"/>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2,698</w:t>
            </w:r>
          </w:p>
        </w:tc>
        <w:tc>
          <w:tcPr>
            <w:tcW w:w="3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8,576</w:t>
            </w:r>
          </w:p>
        </w:tc>
        <w:tc>
          <w:tcPr>
            <w:tcW w:w="280" w:type="dxa"/>
            <w:vAlign w:val="bottom"/>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8,076</w:t>
            </w:r>
          </w:p>
        </w:tc>
        <w:tc>
          <w:tcPr>
            <w:tcW w:w="3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600" w:type="dxa"/>
            <w:vAlign w:val="bottom"/>
          </w:tcPr>
          <w:p>
            <w:pPr>
              <w:ind w:left="740"/>
              <w:spacing w:after="0"/>
              <w:rPr>
                <w:sz w:val="20"/>
                <w:szCs w:val="20"/>
                <w:color w:val="auto"/>
              </w:rPr>
            </w:pPr>
            <w:r>
              <w:rPr>
                <w:rFonts w:ascii="Arial" w:cs="Arial" w:eastAsia="Arial" w:hAnsi="Arial"/>
                <w:sz w:val="18"/>
                <w:szCs w:val="18"/>
                <w:color w:val="auto"/>
              </w:rPr>
              <w:t>Operating income</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4,866</w:t>
            </w:r>
          </w:p>
        </w:tc>
        <w:tc>
          <w:tcPr>
            <w:tcW w:w="280" w:type="dxa"/>
            <w:vAlign w:val="bottom"/>
          </w:tcPr>
          <w:p>
            <w:pPr>
              <w:spacing w:after="0"/>
              <w:rPr>
                <w:sz w:val="23"/>
                <w:szCs w:val="23"/>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2,797</w:t>
            </w:r>
          </w:p>
        </w:tc>
        <w:tc>
          <w:tcPr>
            <w:tcW w:w="3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23"/>
                <w:szCs w:val="23"/>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15,990</w:t>
            </w:r>
          </w:p>
        </w:tc>
        <w:tc>
          <w:tcPr>
            <w:tcW w:w="280" w:type="dxa"/>
            <w:vAlign w:val="bottom"/>
          </w:tcPr>
          <w:p>
            <w:pPr>
              <w:spacing w:after="0"/>
              <w:rPr>
                <w:sz w:val="23"/>
                <w:szCs w:val="23"/>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11,871</w:t>
            </w:r>
          </w:p>
        </w:tc>
        <w:tc>
          <w:tcPr>
            <w:tcW w:w="3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36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2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32.8%</w:t>
            </w:r>
          </w:p>
        </w:tc>
        <w:tc>
          <w:tcPr>
            <w:tcW w:w="3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25.9%</w:t>
            </w:r>
          </w:p>
        </w:tc>
        <w:tc>
          <w:tcPr>
            <w:tcW w:w="6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32.7%</w:t>
            </w:r>
          </w:p>
        </w:tc>
        <w:tc>
          <w:tcPr>
            <w:tcW w:w="4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30.6%</w:t>
            </w: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60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20.8</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13.2</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21.3</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18.2</w:t>
            </w: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jc w:val="both"/>
        <w:ind w:firstLine="510"/>
        <w:spacing w:after="0" w:line="288" w:lineRule="auto"/>
        <w:rPr>
          <w:sz w:val="20"/>
          <w:szCs w:val="20"/>
          <w:color w:val="auto"/>
        </w:rPr>
      </w:pPr>
      <w:r>
        <w:rPr>
          <w:rFonts w:ascii="Arial" w:cs="Arial" w:eastAsia="Arial" w:hAnsi="Arial"/>
          <w:sz w:val="16"/>
          <w:szCs w:val="16"/>
          <w:i w:val="1"/>
          <w:iCs w:val="1"/>
          <w:color w:val="auto"/>
        </w:rPr>
        <w:t>Security Products</w:t>
      </w:r>
      <w:r>
        <w:rPr>
          <w:rFonts w:ascii="Arial" w:cs="Arial" w:eastAsia="Arial" w:hAnsi="Arial"/>
          <w:sz w:val="16"/>
          <w:szCs w:val="16"/>
          <w:color w:val="auto"/>
        </w:rPr>
        <w:t>. Security Products net sales in the third quarter of 2020 decreased 9% compared to the same period in 2019. Certain market</w:t>
      </w:r>
      <w:r>
        <w:rPr>
          <w:rFonts w:ascii="Arial" w:cs="Arial" w:eastAsia="Arial" w:hAnsi="Arial"/>
          <w:sz w:val="16"/>
          <w:szCs w:val="16"/>
          <w:i w:val="1"/>
          <w:iCs w:val="1"/>
          <w:color w:val="auto"/>
        </w:rPr>
        <w:t xml:space="preserve"> </w:t>
      </w:r>
      <w:r>
        <w:rPr>
          <w:rFonts w:ascii="Arial" w:cs="Arial" w:eastAsia="Arial" w:hAnsi="Arial"/>
          <w:sz w:val="16"/>
          <w:szCs w:val="16"/>
          <w:color w:val="auto"/>
        </w:rPr>
        <w:t>segments have been slower to recover from reduced demand related to COVID-19, including transportation which had $1.3 million lower sales than the same period in 2019, distribution customers which were $0.7 million lower than the same period in 2019, and office furniture which was $0.6 million lower than the same period in 2019. These declines were partially offset by $0.7 million higher sales to the government security market. Similarly, Security Products net sales decreased 13% in the first nine months of 2020 compared to the same period last year primarily due to $4.4 million in lower sales to the transportation market, $2.5 million in lower sales to distribution customers, and $1.2 million in lower sales to the office furniture market primarily as a result of the negative impact of COVID-19 on second quarter 2020 sales and the slower recovery of these markets in the third quarter as noted above.</w:t>
      </w:r>
    </w:p>
    <w:p>
      <w:pPr>
        <w:spacing w:after="0" w:line="247" w:lineRule="exact"/>
        <w:rPr>
          <w:sz w:val="20"/>
          <w:szCs w:val="20"/>
          <w:color w:val="auto"/>
        </w:rPr>
      </w:pPr>
    </w:p>
    <w:p>
      <w:pPr>
        <w:jc w:val="both"/>
        <w:ind w:firstLine="510"/>
        <w:spacing w:after="0" w:line="284" w:lineRule="auto"/>
        <w:rPr>
          <w:sz w:val="20"/>
          <w:szCs w:val="20"/>
          <w:color w:val="auto"/>
        </w:rPr>
      </w:pPr>
      <w:r>
        <w:rPr>
          <w:rFonts w:ascii="Arial" w:cs="Arial" w:eastAsia="Arial" w:hAnsi="Arial"/>
          <w:sz w:val="16"/>
          <w:szCs w:val="16"/>
          <w:color w:val="auto"/>
        </w:rPr>
        <w:t>Gross margin as a percentage of net sales for the third quarter was lower than the same period last year as higher cost inventory produced during the second quarter was sold in the third quarter. Security Products inventory produced during the second quarter of 2020 had a higher carrying value compared to prior periods due higher fixed cost per unit of production as a result of lower production volumes during the second quarter of 2020. This negatively impacted our cost of sales during the third quarter of 2020 compared to the same period in the prior year as this higher cost inventory was sold. Gross margin for the first nine months of 2020 decreased compared to the same period in the prior year primarily due to the decline in gross margin in the third quarter of 2020 noted above. Additionally, gross margin was unfavorably impacted by increased medical costs of $0.5 million for the third quarter and $0.9 million for the first nine months of 2020 compared to the same periods in prior year. Operating costs and expenses in the third quarter of 2020 were comparable to the same period in the prior year. Operating costs decreased in the first nine months of 2020 compared to the same period last year predominantly due to decreased expenses related to travel and cancelled or postponed advertising expenses which were $0.4 million lower in aggregate. Operating income as a percentage of net sales for the third quarter and first nine months of 2020 decreased compared to the same periods of 2019 as a result of the factors impacting gross margin as well as reduced coverage of operating costs and expenses from lower sales for both comparative periods.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5"/>
        </w:trPr>
        <w:tc>
          <w:tcPr>
            <w:tcW w:w="2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80" w:type="dxa"/>
            <w:vAlign w:val="bottom"/>
            <w:gridSpan w:val="4"/>
          </w:tcPr>
          <w:p>
            <w:pPr>
              <w:jc w:val="center"/>
              <w:ind w:left="329"/>
              <w:spacing w:after="0"/>
              <w:rPr>
                <w:sz w:val="20"/>
                <w:szCs w:val="20"/>
                <w:color w:val="auto"/>
              </w:rPr>
            </w:pPr>
            <w:r>
              <w:rPr>
                <w:rFonts w:ascii="Arial" w:cs="Arial" w:eastAsia="Arial" w:hAnsi="Arial"/>
                <w:sz w:val="14"/>
                <w:szCs w:val="14"/>
                <w:b w:val="1"/>
                <w:bCs w:val="1"/>
                <w:color w:val="auto"/>
                <w:w w:val="91"/>
              </w:rPr>
              <w:t>Three months ended</w:t>
            </w: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3"/>
          </w:tcPr>
          <w:p>
            <w:pPr>
              <w:jc w:val="center"/>
              <w:ind w:left="397"/>
              <w:spacing w:after="0"/>
              <w:rPr>
                <w:sz w:val="20"/>
                <w:szCs w:val="20"/>
                <w:color w:val="auto"/>
              </w:rPr>
            </w:pPr>
            <w:r>
              <w:rPr>
                <w:rFonts w:ascii="Arial" w:cs="Arial" w:eastAsia="Arial" w:hAnsi="Arial"/>
                <w:sz w:val="14"/>
                <w:szCs w:val="14"/>
                <w:b w:val="1"/>
                <w:bCs w:val="1"/>
                <w:color w:val="auto"/>
                <w:w w:val="90"/>
              </w:rPr>
              <w:t>Nine months ended</w:t>
            </w: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ind w:right="217"/>
              <w:spacing w:after="0"/>
              <w:rPr>
                <w:sz w:val="20"/>
                <w:szCs w:val="20"/>
                <w:color w:val="auto"/>
              </w:rPr>
            </w:pPr>
            <w:r>
              <w:rPr>
                <w:rFonts w:ascii="Arial" w:cs="Arial" w:eastAsia="Arial" w:hAnsi="Arial"/>
                <w:sz w:val="14"/>
                <w:szCs w:val="14"/>
                <w:b w:val="1"/>
                <w:bCs w:val="1"/>
                <w:color w:val="auto"/>
                <w:w w:val="89"/>
              </w:rPr>
              <w:t>September 30,</w:t>
            </w:r>
          </w:p>
        </w:tc>
        <w:tc>
          <w:tcPr>
            <w:tcW w:w="4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vMerge w:val="restart"/>
          </w:tcPr>
          <w:p>
            <w:pPr>
              <w:jc w:val="right"/>
              <w:ind w:right="236"/>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center"/>
              <w:ind w:left="397"/>
              <w:spacing w:after="0"/>
              <w:rPr>
                <w:sz w:val="20"/>
                <w:szCs w:val="20"/>
                <w:color w:val="auto"/>
              </w:rPr>
            </w:pPr>
            <w:r>
              <w:rPr>
                <w:rFonts w:ascii="Arial" w:cs="Arial" w:eastAsia="Arial" w:hAnsi="Arial"/>
                <w:sz w:val="14"/>
                <w:szCs w:val="14"/>
                <w:b w:val="1"/>
                <w:bCs w:val="1"/>
                <w:color w:val="auto"/>
                <w:w w:val="89"/>
              </w:rPr>
              <w:t>September 30,</w:t>
            </w:r>
          </w:p>
        </w:tc>
        <w:tc>
          <w:tcPr>
            <w:tcW w:w="7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vMerge w:val="restart"/>
          </w:tcPr>
          <w:p>
            <w:pPr>
              <w:jc w:val="right"/>
              <w:ind w:right="236"/>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340" w:type="dxa"/>
            <w:vAlign w:val="bottom"/>
            <w:vMerge w:val="restart"/>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w w:val="89"/>
              </w:rPr>
              <w:t>2020</w:t>
            </w:r>
          </w:p>
        </w:tc>
        <w:tc>
          <w:tcPr>
            <w:tcW w:w="3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9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color w:val="auto"/>
              </w:rPr>
              <w:t>Change</w:t>
            </w:r>
          </w:p>
        </w:tc>
        <w:tc>
          <w:tcPr>
            <w:tcW w:w="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color w:val="auto"/>
              </w:rPr>
              <w:t>Change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80" w:type="dxa"/>
            <w:vAlign w:val="bottom"/>
            <w:gridSpan w:val="4"/>
          </w:tcPr>
          <w:p>
            <w:pPr>
              <w:jc w:val="center"/>
              <w:ind w:left="329"/>
              <w:spacing w:after="0"/>
              <w:rPr>
                <w:sz w:val="20"/>
                <w:szCs w:val="20"/>
                <w:color w:val="auto"/>
              </w:rPr>
            </w:pPr>
            <w:r>
              <w:rPr>
                <w:rFonts w:ascii="Arial" w:cs="Arial" w:eastAsia="Arial" w:hAnsi="Arial"/>
                <w:sz w:val="14"/>
                <w:szCs w:val="14"/>
                <w:b w:val="1"/>
                <w:bCs w:val="1"/>
                <w:color w:val="auto"/>
                <w:w w:val="90"/>
              </w:rPr>
              <w:t>(Dollars in thousands)</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4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90"/>
              </w:rPr>
              <w:t>(Dollars in thousands)</w:t>
            </w: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Marine Components:</w:t>
            </w:r>
          </w:p>
        </w:tc>
        <w:tc>
          <w:tcPr>
            <w:tcW w:w="3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940" w:type="dxa"/>
            <w:vAlign w:val="bottom"/>
          </w:tcPr>
          <w:p>
            <w:pPr>
              <w:ind w:left="500"/>
              <w:spacing w:after="0"/>
              <w:rPr>
                <w:sz w:val="20"/>
                <w:szCs w:val="20"/>
                <w:color w:val="auto"/>
              </w:rPr>
            </w:pPr>
            <w:r>
              <w:rPr>
                <w:rFonts w:ascii="Arial" w:cs="Arial" w:eastAsia="Arial" w:hAnsi="Arial"/>
                <w:sz w:val="18"/>
                <w:szCs w:val="18"/>
                <w:color w:val="auto"/>
              </w:rPr>
              <w:t>Net sales</w:t>
            </w:r>
          </w:p>
        </w:tc>
        <w:tc>
          <w:tcPr>
            <w:tcW w:w="1040" w:type="dxa"/>
            <w:vAlign w:val="bottom"/>
            <w:gridSpan w:val="2"/>
          </w:tcPr>
          <w:p>
            <w:pPr>
              <w:jc w:val="right"/>
              <w:ind w:right="549"/>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6,298</w:t>
            </w:r>
          </w:p>
        </w:tc>
        <w:tc>
          <w:tcPr>
            <w:tcW w:w="320" w:type="dxa"/>
            <w:vAlign w:val="bottom"/>
          </w:tcPr>
          <w:p>
            <w:pPr>
              <w:spacing w:after="0"/>
              <w:rPr>
                <w:sz w:val="20"/>
                <w:szCs w:val="20"/>
                <w:color w:val="auto"/>
              </w:rPr>
            </w:pPr>
          </w:p>
        </w:tc>
        <w:tc>
          <w:tcPr>
            <w:tcW w:w="740" w:type="dxa"/>
            <w:vAlign w:val="bottom"/>
          </w:tcPr>
          <w:p>
            <w:pPr>
              <w:jc w:val="right"/>
              <w:ind w:right="557"/>
              <w:spacing w:after="0"/>
              <w:rPr>
                <w:sz w:val="20"/>
                <w:szCs w:val="20"/>
                <w:color w:val="auto"/>
              </w:rPr>
            </w:pPr>
            <w:r>
              <w:rPr>
                <w:rFonts w:ascii="Arial" w:cs="Arial" w:eastAsia="Arial" w:hAnsi="Arial"/>
                <w:sz w:val="18"/>
                <w:szCs w:val="18"/>
                <w:b w:val="1"/>
                <w:bCs w:val="1"/>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4"/>
              </w:rPr>
              <w:t>7,217</w:t>
            </w:r>
          </w:p>
        </w:tc>
        <w:tc>
          <w:tcPr>
            <w:tcW w:w="3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19,574</w:t>
            </w:r>
          </w:p>
        </w:tc>
        <w:tc>
          <w:tcPr>
            <w:tcW w:w="320" w:type="dxa"/>
            <w:vAlign w:val="bottom"/>
          </w:tcPr>
          <w:p>
            <w:pPr>
              <w:spacing w:after="0"/>
              <w:rPr>
                <w:sz w:val="20"/>
                <w:szCs w:val="20"/>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19,286</w:t>
            </w:r>
          </w:p>
        </w:tc>
        <w:tc>
          <w:tcPr>
            <w:tcW w:w="3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1"/>
        </w:trPr>
        <w:tc>
          <w:tcPr>
            <w:tcW w:w="2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Cost of sales</w:t>
            </w:r>
          </w:p>
        </w:tc>
        <w:tc>
          <w:tcPr>
            <w:tcW w:w="340" w:type="dxa"/>
            <w:vAlign w:val="bottom"/>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4,490</w:t>
            </w:r>
          </w:p>
        </w:tc>
        <w:tc>
          <w:tcPr>
            <w:tcW w:w="320" w:type="dxa"/>
            <w:vAlign w:val="bottom"/>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4"/>
              </w:rPr>
              <w:t>5,384</w:t>
            </w:r>
          </w:p>
        </w:tc>
        <w:tc>
          <w:tcPr>
            <w:tcW w:w="3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14,101</w:t>
            </w:r>
          </w:p>
        </w:tc>
        <w:tc>
          <w:tcPr>
            <w:tcW w:w="320" w:type="dxa"/>
            <w:vAlign w:val="bottom"/>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14,108</w:t>
            </w:r>
          </w:p>
        </w:tc>
        <w:tc>
          <w:tcPr>
            <w:tcW w:w="3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940" w:type="dxa"/>
            <w:vAlign w:val="bottom"/>
          </w:tcPr>
          <w:p>
            <w:pPr>
              <w:ind w:left="740"/>
              <w:spacing w:after="0"/>
              <w:rPr>
                <w:sz w:val="20"/>
                <w:szCs w:val="20"/>
                <w:color w:val="auto"/>
              </w:rPr>
            </w:pPr>
            <w:r>
              <w:rPr>
                <w:rFonts w:ascii="Arial" w:cs="Arial" w:eastAsia="Arial" w:hAnsi="Arial"/>
                <w:sz w:val="18"/>
                <w:szCs w:val="18"/>
                <w:color w:val="auto"/>
              </w:rPr>
              <w:t>Gross margin</w:t>
            </w: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1,808</w:t>
            </w: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4"/>
              </w:rPr>
              <w:t>1,833</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5,473</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5,178</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94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Operating costs and expenses</w:t>
            </w:r>
          </w:p>
        </w:tc>
        <w:tc>
          <w:tcPr>
            <w:tcW w:w="340" w:type="dxa"/>
            <w:vAlign w:val="bottom"/>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w:t>
            </w:r>
          </w:p>
        </w:tc>
        <w:tc>
          <w:tcPr>
            <w:tcW w:w="320" w:type="dxa"/>
            <w:vAlign w:val="bottom"/>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704</w:t>
            </w:r>
          </w:p>
        </w:tc>
        <w:tc>
          <w:tcPr>
            <w:tcW w:w="3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(8)</w:t>
            </w: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2,250</w:t>
            </w:r>
          </w:p>
        </w:tc>
        <w:tc>
          <w:tcPr>
            <w:tcW w:w="320" w:type="dxa"/>
            <w:vAlign w:val="bottom"/>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2,168</w:t>
            </w:r>
          </w:p>
        </w:tc>
        <w:tc>
          <w:tcPr>
            <w:tcW w:w="3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2940" w:type="dxa"/>
            <w:vAlign w:val="bottom"/>
          </w:tcPr>
          <w:p>
            <w:pPr>
              <w:ind w:left="740"/>
              <w:spacing w:after="0"/>
              <w:rPr>
                <w:sz w:val="20"/>
                <w:szCs w:val="20"/>
                <w:color w:val="auto"/>
              </w:rPr>
            </w:pPr>
            <w:r>
              <w:rPr>
                <w:rFonts w:ascii="Arial" w:cs="Arial" w:eastAsia="Arial" w:hAnsi="Arial"/>
                <w:sz w:val="18"/>
                <w:szCs w:val="18"/>
                <w:color w:val="auto"/>
              </w:rPr>
              <w:t>Operating income</w:t>
            </w:r>
          </w:p>
        </w:tc>
        <w:tc>
          <w:tcPr>
            <w:tcW w:w="1040" w:type="dxa"/>
            <w:vAlign w:val="bottom"/>
            <w:gridSpan w:val="2"/>
          </w:tcPr>
          <w:p>
            <w:pPr>
              <w:jc w:val="right"/>
              <w:ind w:right="549"/>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1,042</w:t>
            </w:r>
          </w:p>
        </w:tc>
        <w:tc>
          <w:tcPr>
            <w:tcW w:w="320" w:type="dxa"/>
            <w:vAlign w:val="bottom"/>
          </w:tcPr>
          <w:p>
            <w:pPr>
              <w:spacing w:after="0"/>
              <w:rPr>
                <w:sz w:val="23"/>
                <w:szCs w:val="23"/>
                <w:color w:val="auto"/>
              </w:rPr>
            </w:pPr>
          </w:p>
        </w:tc>
        <w:tc>
          <w:tcPr>
            <w:tcW w:w="740" w:type="dxa"/>
            <w:vAlign w:val="bottom"/>
          </w:tcPr>
          <w:p>
            <w:pPr>
              <w:jc w:val="right"/>
              <w:ind w:right="557"/>
              <w:spacing w:after="0"/>
              <w:rPr>
                <w:sz w:val="20"/>
                <w:szCs w:val="20"/>
                <w:color w:val="auto"/>
              </w:rPr>
            </w:pPr>
            <w:r>
              <w:rPr>
                <w:rFonts w:ascii="Arial" w:cs="Arial" w:eastAsia="Arial" w:hAnsi="Arial"/>
                <w:sz w:val="18"/>
                <w:szCs w:val="18"/>
                <w:b w:val="1"/>
                <w:bCs w:val="1"/>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4"/>
              </w:rPr>
              <w:t>1,129</w:t>
            </w: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23"/>
                <w:szCs w:val="23"/>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3,223</w:t>
            </w:r>
          </w:p>
        </w:tc>
        <w:tc>
          <w:tcPr>
            <w:tcW w:w="320" w:type="dxa"/>
            <w:vAlign w:val="bottom"/>
          </w:tcPr>
          <w:p>
            <w:pPr>
              <w:spacing w:after="0"/>
              <w:rPr>
                <w:sz w:val="23"/>
                <w:szCs w:val="23"/>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3,010</w:t>
            </w: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9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3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28.7%</w:t>
            </w:r>
          </w:p>
        </w:tc>
        <w:tc>
          <w:tcPr>
            <w:tcW w:w="74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25.4%</w:t>
            </w:r>
          </w:p>
        </w:tc>
        <w:tc>
          <w:tcPr>
            <w:tcW w:w="7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28.0%</w:t>
            </w:r>
          </w:p>
        </w:tc>
        <w:tc>
          <w:tcPr>
            <w:tcW w:w="4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26.8%</w:t>
            </w: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94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16.5</w:t>
            </w: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15.6</w:t>
            </w: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15.6</w:t>
            </w: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10"/>
        <w:spacing w:after="0" w:line="267" w:lineRule="auto"/>
        <w:rPr>
          <w:sz w:val="20"/>
          <w:szCs w:val="20"/>
          <w:color w:val="auto"/>
        </w:rPr>
      </w:pPr>
      <w:r>
        <w:rPr>
          <w:rFonts w:ascii="Arial" w:cs="Arial" w:eastAsia="Arial" w:hAnsi="Arial"/>
          <w:sz w:val="17"/>
          <w:szCs w:val="17"/>
          <w:i w:val="1"/>
          <w:iCs w:val="1"/>
          <w:color w:val="auto"/>
        </w:rPr>
        <w:t>Marine Components</w:t>
      </w:r>
      <w:r>
        <w:rPr>
          <w:rFonts w:ascii="Arial" w:cs="Arial" w:eastAsia="Arial" w:hAnsi="Arial"/>
          <w:sz w:val="17"/>
          <w:szCs w:val="17"/>
          <w:color w:val="auto"/>
        </w:rPr>
        <w:t>. Marine Components net sales in the third quarter of 2020 increased 15% compared to the same period in 2019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increased sales of $1.2 million to the towboat market. Marine Components net sales decreased 1% in the first nine months of 2020 compared to the same period in the prior year as increases in first and third quarter sales primarily to the towboat and center console boat markets were more than offset by lower sales in the second quarter 2020, the quarter most impacted by COVID-19. As a percentage of net sales, gross margin decreased in the third quarter of 2020 compared to the same period in 2019. Similar to Security Products, inventory sold in the third quarter of 2020 was primarily produced in the second quarter of 2020 and had a higher carrying value compared to prior periods due to higher fixed cost per unit of production as a result of lower production volumes during the second quarter of 2020. The gross margin percentage decreased in the first nine months of 2020 compared to the same period last year primarily due to the decline in gross margin in the third quarter of 2020 noted above. Operating income as a percentage of net sales for the third quarter and first nine months of 2020 decreased compared to the same periods of 2019 as a result of the factors impacting gross margin slightly offset by lower operating costs and expenses.</w:t>
      </w:r>
    </w:p>
    <w:p>
      <w:pPr>
        <w:spacing w:after="0" w:line="179"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i w:val="1"/>
          <w:iCs w:val="1"/>
          <w:color w:val="auto"/>
        </w:rPr>
        <w:t xml:space="preserve">Outlook. </w:t>
      </w:r>
      <w:r>
        <w:rPr>
          <w:rFonts w:ascii="Arial" w:cs="Arial" w:eastAsia="Arial" w:hAnsi="Arial"/>
          <w:sz w:val="17"/>
          <w:szCs w:val="17"/>
          <w:color w:val="auto"/>
        </w:rPr>
        <w:t>In the third quarter of 2020, our sales began to recover from the historically low levels we experienced during the second quarter,</w:t>
      </w:r>
      <w:r>
        <w:rPr>
          <w:rFonts w:ascii="Arial" w:cs="Arial" w:eastAsia="Arial" w:hAnsi="Arial"/>
          <w:sz w:val="17"/>
          <w:szCs w:val="17"/>
          <w:i w:val="1"/>
          <w:iCs w:val="1"/>
          <w:color w:val="auto"/>
        </w:rPr>
        <w:t xml:space="preserve"> </w:t>
      </w:r>
      <w:r>
        <w:rPr>
          <w:rFonts w:ascii="Arial" w:cs="Arial" w:eastAsia="Arial" w:hAnsi="Arial"/>
          <w:sz w:val="17"/>
          <w:szCs w:val="17"/>
          <w:color w:val="auto"/>
        </w:rPr>
        <w:t>although the COVID-19 pandemic continues to impact our operations and demand for our products. In the third quarter, our manufacturing operations returned to more normal production rates as demand from our customers began to return, although for the most part, below pre-pandemic levels. Our global and domestic supply chains remain intact, and we have experienced minimal supply chain disruptions. The markets we sell to have recovered to varying degrees, and we continue to work closely with all of our customers and monitor their progress as they continue to adjust their operations. Marine sales have outpaced prior year performance in the third quarter while the transportation, distribution and office furniture markets our Securities Products Segment serves have been slow to recover. We expect these trends to continue for the remainder of the year.</w:t>
      </w:r>
    </w:p>
    <w:p>
      <w:pPr>
        <w:spacing w:after="0" w:line="178"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Considerable effort continues at all of our locations to manage current COVID-19 conditions including enhanced health and safety protocols and additional cleaning and disinfecting efforts. Throughout the course of the COVID-19 pandemic, we have focused our efforts on maintaining efficient operations while closely managing our expenses and capital projects. In this regard, we are constantly evaluating our staffing levels and we believe our current staffing levels are aligned with our sales and production forecasts for the remainder of the year.</w:t>
      </w:r>
    </w:p>
    <w:p>
      <w:pPr>
        <w:spacing w:after="0" w:line="190"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7"/>
          <w:szCs w:val="17"/>
          <w:color w:val="auto"/>
        </w:rPr>
        <w:t>The advance of the COVID-19 pandemic and the global efforts to mitigate its spread have resulted in sharp contractions of vast areas of the global economy and are expected to continue to challenge workers, businesses and governments for the foreseeable future. Government actions in various regions have generally permitted the gradual resumption of commercial activities following various regional shutdowns, but further government action restricting economic activity is possible in an effort to mitigate increases in COVID-19 cases in certain regions. The success and timing of these mitigating actions will depend in part on deployment of effective tools to fight COVID-19, including increased testing, enhanced monitoring, data analysis, effective treatments and a safe vaccine, before economic growth is likely to return to pre-pandemic levels. Even as these measures are implemented and become effective, they will not directly address the business and employment losses already experienced. As a result, we expect U.S. and worldwide gross domestic product to be significantly impacted for an indeterminate period.</w:t>
      </w:r>
    </w:p>
    <w:p>
      <w:pPr>
        <w:spacing w:after="0" w:line="180"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Based on current conditions, we expect to report reduced revenue and operating income in 2020 compared to 2019. We believe the second quarter of 2020 will be the period most impacted by reduced demand for our products due to COVID-19 as compared to 2019; however, due to the negative impact of higher fixed costs per unit of production in the third quarter as the result of lower production volumes in the second and third quarters of 2020 as discussed above, we expect operating income for the remainder of</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210" w:right="339" w:bottom="1440" w:gutter="0" w:footer="0" w:header="0"/>
        </w:sectPr>
      </w:pPr>
    </w:p>
    <w:bookmarkStart w:id="14" w:name="page15"/>
    <w:bookmarkEnd w:id="14"/>
    <w:p>
      <w:pPr>
        <w:jc w:val="both"/>
        <w:spacing w:after="0" w:line="286" w:lineRule="auto"/>
        <w:rPr>
          <w:sz w:val="20"/>
          <w:szCs w:val="20"/>
          <w:color w:val="auto"/>
        </w:rPr>
      </w:pPr>
      <w:r>
        <w:rPr>
          <w:rFonts w:ascii="Arial" w:cs="Arial" w:eastAsia="Arial" w:hAnsi="Arial"/>
          <w:sz w:val="16"/>
          <w:szCs w:val="16"/>
          <w:color w:val="auto"/>
        </w:rPr>
        <w:t>2020 to continue to be lower than comparable periods. The severity of the impact of COVID-19 on the remainder of the year will depend on customer demand for our products, including the timing and extent to which our customers’ operations continue to be impacted, on our customers’ perception as to when consumer demand for their products will return to pre-pandemic levels and on any future disruptions in our operations or our suppliers’ operations, all of which are difficult to predict. Our operations teams meet daily to ensure we are taking appropriate actions to maintain a safe working environment for all of our employees, minimize operational disruptions and manage inventory levels. We increased inventory at both of our segments during the second quarter of 2020 to keep our workforce productive by focusing on high-demand products and components. As expected, inventory balances declined over the third quarter and we expect inventory to further decline over the remainder of the year as we align our production to current demand levels. It is possible we may temporarily close one or more of our facilities for the health and safety of our employees before the COVID-19 crisis is over. We have significant cash balances of approximately $65.1 million at September 30, 2020, and we believe we are well positioned to navigate the uncertainty ahead.</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21"/>
          <w:szCs w:val="21"/>
          <w:b w:val="1"/>
          <w:bCs w:val="1"/>
          <w:color w:val="auto"/>
        </w:rPr>
        <w:t>Liquidity and Capital Resources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Consolidated cash flows </w:t>
      </w:r>
      <w:r>
        <w:rPr>
          <w:rFonts w:ascii="Arial" w:cs="Arial" w:eastAsia="Arial" w:hAnsi="Arial"/>
          <w:sz w:val="18"/>
          <w:szCs w:val="18"/>
          <w:b w:val="1"/>
          <w:bCs w:val="1"/>
          <w:color w:val="auto"/>
        </w:rPr>
        <w:t>–</w:t>
      </w:r>
    </w:p>
    <w:p>
      <w:pPr>
        <w:spacing w:after="0" w:line="118"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Trends in cash flows from operating activities, excluding changes in assets and liabilities, have generally been similar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trends in operating earnings. Changes in assets and liabilities result primarily from the timing of production, sales and purchases. Changes in assets and liabilities generally tend to even out over time. However, period-to-period relative changes in assets and liabilities can significantly affect the comparability of cash flows from operating activities.</w:t>
      </w:r>
    </w:p>
    <w:p>
      <w:pPr>
        <w:spacing w:after="0" w:line="150" w:lineRule="exact"/>
        <w:rPr>
          <w:sz w:val="20"/>
          <w:szCs w:val="20"/>
          <w:color w:val="auto"/>
        </w:rPr>
      </w:pPr>
    </w:p>
    <w:p>
      <w:pPr>
        <w:ind w:firstLine="510"/>
        <w:spacing w:after="0" w:line="271" w:lineRule="auto"/>
        <w:rPr>
          <w:sz w:val="20"/>
          <w:szCs w:val="20"/>
          <w:color w:val="auto"/>
        </w:rPr>
      </w:pPr>
      <w:r>
        <w:rPr>
          <w:rFonts w:ascii="Arial" w:cs="Arial" w:eastAsia="Arial" w:hAnsi="Arial"/>
          <w:sz w:val="18"/>
          <w:szCs w:val="18"/>
          <w:color w:val="auto"/>
        </w:rPr>
        <w:t>Net cash provided by operating activities for the first nine months of 2020 decreased by $3.2 million as compared to the first nine months of 2019. Changes in working capital were not material. The decrease is primarily due to the net effects of:</w:t>
      </w:r>
    </w:p>
    <w:p>
      <w:pPr>
        <w:spacing w:after="0" w:line="68" w:lineRule="exact"/>
        <w:rPr>
          <w:sz w:val="20"/>
          <w:szCs w:val="20"/>
          <w:color w:val="auto"/>
        </w:rPr>
      </w:pPr>
    </w:p>
    <w:p>
      <w:pPr>
        <w:ind w:left="1020" w:hanging="371"/>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$4.7 million decrease in operating income in 2020,</w:t>
      </w:r>
    </w:p>
    <w:p>
      <w:pPr>
        <w:spacing w:after="0" w:line="113" w:lineRule="exact"/>
        <w:rPr>
          <w:rFonts w:ascii="Arial" w:cs="Arial" w:eastAsia="Arial" w:hAnsi="Arial"/>
          <w:sz w:val="18"/>
          <w:szCs w:val="18"/>
          <w:color w:val="auto"/>
        </w:rPr>
      </w:pPr>
    </w:p>
    <w:p>
      <w:pPr>
        <w:ind w:left="1020" w:hanging="371"/>
        <w:spacing w:after="0" w:line="27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$0.6 million decrease in interest received in 2020 due to lower average interest rates and a lower average affiliate receivable balance partially offset by the relative timing of interest received, and</w:t>
      </w:r>
    </w:p>
    <w:p>
      <w:pPr>
        <w:spacing w:after="0" w:line="67" w:lineRule="exact"/>
        <w:rPr>
          <w:rFonts w:ascii="Arial" w:cs="Arial" w:eastAsia="Arial" w:hAnsi="Arial"/>
          <w:sz w:val="18"/>
          <w:szCs w:val="18"/>
          <w:color w:val="auto"/>
        </w:rPr>
      </w:pPr>
    </w:p>
    <w:p>
      <w:pPr>
        <w:ind w:left="1020" w:hanging="371"/>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$1.3 million decrease in cash paid for taxes in 2020 due to lower operating income.</w:t>
      </w:r>
    </w:p>
    <w:p>
      <w:pPr>
        <w:spacing w:after="0" w:line="194" w:lineRule="exact"/>
        <w:rPr>
          <w:sz w:val="20"/>
          <w:szCs w:val="20"/>
          <w:color w:val="auto"/>
        </w:rPr>
      </w:pPr>
    </w:p>
    <w:p>
      <w:pPr>
        <w:jc w:val="both"/>
        <w:ind w:firstLine="510"/>
        <w:spacing w:after="0" w:line="281" w:lineRule="auto"/>
        <w:rPr>
          <w:sz w:val="20"/>
          <w:szCs w:val="20"/>
          <w:color w:val="auto"/>
        </w:rPr>
      </w:pPr>
      <w:r>
        <w:rPr>
          <w:rFonts w:ascii="Arial" w:cs="Arial" w:eastAsia="Arial" w:hAnsi="Arial"/>
          <w:sz w:val="17"/>
          <w:szCs w:val="17"/>
          <w:color w:val="auto"/>
        </w:rPr>
        <w:t>Relative changes in working capital can have a significant effect on cash flows from operating activities. As shown below, the change in our average days sales outstanding from December 31, 2019 to September 30, 2020 varied by segment, primarily as a result of relative changes in the timing of collections. For comparative purposes, we have provided December 31, 2018 and September 30, 2019 numbers below.</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gridSpan w:val="2"/>
          </w:tcPr>
          <w:p>
            <w:pPr>
              <w:ind w:left="1280"/>
              <w:spacing w:after="0"/>
              <w:rPr>
                <w:sz w:val="20"/>
                <w:szCs w:val="20"/>
                <w:color w:val="auto"/>
              </w:rPr>
            </w:pPr>
            <w:r>
              <w:rPr>
                <w:rFonts w:ascii="Arial" w:cs="Arial" w:eastAsia="Arial" w:hAnsi="Arial"/>
                <w:sz w:val="14"/>
                <w:szCs w:val="14"/>
                <w:b w:val="1"/>
                <w:bCs w:val="1"/>
                <w:color w:val="auto"/>
              </w:rPr>
              <w:t>Days Sales Outstanding:</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2018</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September 30, 2019</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December 31, 2019</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30, 2020</w:t>
            </w:r>
          </w:p>
        </w:tc>
      </w:tr>
      <w:tr>
        <w:trPr>
          <w:trHeight w:val="207"/>
        </w:trPr>
        <w:tc>
          <w:tcPr>
            <w:tcW w:w="4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Security Products</w:t>
            </w:r>
          </w:p>
        </w:tc>
        <w:tc>
          <w:tcPr>
            <w:tcW w:w="14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43 Days</w:t>
            </w:r>
          </w:p>
        </w:tc>
        <w:tc>
          <w:tcPr>
            <w:tcW w:w="10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44 Days</w:t>
            </w:r>
          </w:p>
        </w:tc>
        <w:tc>
          <w:tcPr>
            <w:tcW w:w="10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38 Days</w:t>
            </w:r>
          </w:p>
        </w:tc>
        <w:tc>
          <w:tcPr>
            <w:tcW w:w="12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41 Days</w:t>
            </w:r>
          </w:p>
        </w:tc>
      </w:tr>
      <w:tr>
        <w:trPr>
          <w:trHeight w:val="214"/>
        </w:trPr>
        <w:tc>
          <w:tcPr>
            <w:tcW w:w="4200" w:type="dxa"/>
            <w:vAlign w:val="bottom"/>
            <w:gridSpan w:val="2"/>
          </w:tcPr>
          <w:p>
            <w:pPr>
              <w:spacing w:after="0"/>
              <w:rPr>
                <w:sz w:val="20"/>
                <w:szCs w:val="20"/>
                <w:color w:val="auto"/>
              </w:rPr>
            </w:pPr>
            <w:r>
              <w:rPr>
                <w:rFonts w:ascii="Arial" w:cs="Arial" w:eastAsia="Arial" w:hAnsi="Arial"/>
                <w:sz w:val="18"/>
                <w:szCs w:val="18"/>
                <w:color w:val="auto"/>
              </w:rPr>
              <w:t>Marine Components</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30 Days</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32 Days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27 Days</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35 Days</w:t>
            </w:r>
          </w:p>
        </w:tc>
      </w:tr>
      <w:tr>
        <w:trPr>
          <w:trHeight w:val="214"/>
        </w:trPr>
        <w:tc>
          <w:tcPr>
            <w:tcW w:w="4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Consolidated CompX</w:t>
            </w:r>
          </w:p>
        </w:tc>
        <w:tc>
          <w:tcPr>
            <w:tcW w:w="178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0"/>
              </w:rPr>
              <w:t>40 Days</w:t>
            </w:r>
          </w:p>
        </w:tc>
        <w:tc>
          <w:tcPr>
            <w:tcW w:w="178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0"/>
              </w:rPr>
              <w:t>41 Days</w:t>
            </w:r>
          </w:p>
        </w:tc>
        <w:tc>
          <w:tcPr>
            <w:tcW w:w="180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87"/>
              </w:rPr>
              <w:t>36 Days</w:t>
            </w:r>
          </w:p>
        </w:tc>
        <w:tc>
          <w:tcPr>
            <w:tcW w:w="1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39 Days</w:t>
            </w:r>
          </w:p>
        </w:tc>
      </w:tr>
    </w:tbl>
    <w:p>
      <w:pPr>
        <w:spacing w:after="0" w:line="186"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Our total average number of days in inventory increased from December 31, 2019 to September 30, 2020 as Security Products inventory, which was unusually high during the second quarter and had not yet fully returned to normalized levels at September 30. Conversely, the average number of days in inventory for Marine Components decreased primarily as a result of rapid sales growth for the quarter. For comparative purposes, we have provided December 31, 2018 and September 30, 2019 numbers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gridSpan w:val="2"/>
          </w:tcPr>
          <w:p>
            <w:pPr>
              <w:ind w:left="1460"/>
              <w:spacing w:after="0"/>
              <w:rPr>
                <w:sz w:val="20"/>
                <w:szCs w:val="20"/>
                <w:color w:val="auto"/>
              </w:rPr>
            </w:pPr>
            <w:r>
              <w:rPr>
                <w:rFonts w:ascii="Arial" w:cs="Arial" w:eastAsia="Arial" w:hAnsi="Arial"/>
                <w:sz w:val="14"/>
                <w:szCs w:val="14"/>
                <w:b w:val="1"/>
                <w:bCs w:val="1"/>
                <w:color w:val="auto"/>
              </w:rPr>
              <w:t>Days in Inventory:</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2018</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September 30, 2019</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December 31, 2019</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30, 2020</w:t>
            </w:r>
          </w:p>
        </w:tc>
      </w:tr>
      <w:tr>
        <w:trPr>
          <w:trHeight w:val="207"/>
        </w:trPr>
        <w:tc>
          <w:tcPr>
            <w:tcW w:w="4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Security Products</w:t>
            </w:r>
          </w:p>
        </w:tc>
        <w:tc>
          <w:tcPr>
            <w:tcW w:w="14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77 Days</w:t>
            </w:r>
          </w:p>
        </w:tc>
        <w:tc>
          <w:tcPr>
            <w:tcW w:w="10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83 Days</w:t>
            </w:r>
          </w:p>
        </w:tc>
        <w:tc>
          <w:tcPr>
            <w:tcW w:w="10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76 Days</w:t>
            </w:r>
          </w:p>
        </w:tc>
        <w:tc>
          <w:tcPr>
            <w:tcW w:w="12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85 Days</w:t>
            </w:r>
          </w:p>
        </w:tc>
      </w:tr>
      <w:tr>
        <w:trPr>
          <w:trHeight w:val="214"/>
        </w:trPr>
        <w:tc>
          <w:tcPr>
            <w:tcW w:w="4200" w:type="dxa"/>
            <w:vAlign w:val="bottom"/>
            <w:gridSpan w:val="2"/>
          </w:tcPr>
          <w:p>
            <w:pPr>
              <w:spacing w:after="0"/>
              <w:rPr>
                <w:sz w:val="20"/>
                <w:szCs w:val="20"/>
                <w:color w:val="auto"/>
              </w:rPr>
            </w:pPr>
            <w:r>
              <w:rPr>
                <w:rFonts w:ascii="Arial" w:cs="Arial" w:eastAsia="Arial" w:hAnsi="Arial"/>
                <w:sz w:val="18"/>
                <w:szCs w:val="18"/>
                <w:color w:val="auto"/>
              </w:rPr>
              <w:t>Marine Components</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91 Days</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90 Days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100 Days</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77 Days</w:t>
            </w:r>
          </w:p>
        </w:tc>
      </w:tr>
      <w:tr>
        <w:trPr>
          <w:trHeight w:val="214"/>
        </w:trPr>
        <w:tc>
          <w:tcPr>
            <w:tcW w:w="4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Consolidated CompX</w:t>
            </w:r>
          </w:p>
        </w:tc>
        <w:tc>
          <w:tcPr>
            <w:tcW w:w="178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0"/>
              </w:rPr>
              <w:t>80 Days</w:t>
            </w:r>
          </w:p>
        </w:tc>
        <w:tc>
          <w:tcPr>
            <w:tcW w:w="178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0"/>
              </w:rPr>
              <w:t>85 Days</w:t>
            </w:r>
          </w:p>
        </w:tc>
        <w:tc>
          <w:tcPr>
            <w:tcW w:w="180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87"/>
              </w:rPr>
              <w:t>81 Days</w:t>
            </w:r>
          </w:p>
        </w:tc>
        <w:tc>
          <w:tcPr>
            <w:tcW w:w="1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83 Days</w:t>
            </w:r>
          </w:p>
        </w:tc>
      </w:tr>
    </w:tbl>
    <w:p>
      <w:pPr>
        <w:spacing w:after="0" w:line="240"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Our capital expenditures were $1.3 million in the first nine months of 2020 compared to $2.5 million in the first nine months of</w:t>
      </w:r>
      <w:r>
        <w:rPr>
          <w:rFonts w:ascii="Arial" w:cs="Arial" w:eastAsia="Arial" w:hAnsi="Arial"/>
          <w:sz w:val="18"/>
          <w:szCs w:val="18"/>
          <w:i w:val="1"/>
          <w:iCs w:val="1"/>
          <w:color w:val="auto"/>
        </w:rPr>
        <w:t xml:space="preserve"> </w:t>
      </w:r>
      <w:r>
        <w:rPr>
          <w:rFonts w:ascii="Arial" w:cs="Arial" w:eastAsia="Arial" w:hAnsi="Arial"/>
          <w:sz w:val="18"/>
          <w:szCs w:val="18"/>
          <w:color w:val="auto"/>
        </w:rPr>
        <w:t>2019 as we have limited expenditures to those required to meet our expected customer demand and those required to properly maintain our facilities and technology infrastructure as a result of the COVID-19 pandemic. During the first nine months of 2020, Valhi borrowed a net $2.4 million under the promissory note ($25.2 million of gross borrowings and $22.8 million of gross repayments). During the first nine months of 2019, Valhi borrowed a net $2.7 million under the promissory note ($28.1 million of gross borrowings and $25.4 million of gross repayments). See Note 8 to the Condensed Consolidated Financial Statements.</w:t>
      </w:r>
    </w:p>
    <w:p>
      <w:pPr>
        <w:spacing w:after="0" w:line="194"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Financing activities consisted only of quarterly cash dividends. In February 2020, our board of directors increased our regular</w:t>
      </w:r>
      <w:r>
        <w:rPr>
          <w:rFonts w:ascii="Arial" w:cs="Arial" w:eastAsia="Arial" w:hAnsi="Arial"/>
          <w:sz w:val="18"/>
          <w:szCs w:val="18"/>
          <w:i w:val="1"/>
          <w:iCs w:val="1"/>
          <w:color w:val="auto"/>
        </w:rPr>
        <w:t xml:space="preserve"> </w:t>
      </w:r>
      <w:r>
        <w:rPr>
          <w:rFonts w:ascii="Arial" w:cs="Arial" w:eastAsia="Arial" w:hAnsi="Arial"/>
          <w:sz w:val="18"/>
          <w:szCs w:val="18"/>
          <w:color w:val="auto"/>
        </w:rPr>
        <w:t>quarterly dividend from $.07 per share to $.10 per share beginning in the first quarter of 2020. The declaration and payment of future dividends and the amount thereof, if any, is discretionary and is dependent upon our results of operations, financial condition, cash requirements for our businesses, contractual requirements and restrictions and other factors deemed relevant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5" w:name="page16"/>
    <w:bookmarkEnd w:id="15"/>
    <w:p>
      <w:pPr>
        <w:jc w:val="both"/>
        <w:spacing w:after="0" w:line="271" w:lineRule="auto"/>
        <w:rPr>
          <w:sz w:val="20"/>
          <w:szCs w:val="20"/>
          <w:color w:val="auto"/>
        </w:rPr>
      </w:pPr>
      <w:r>
        <w:rPr>
          <w:rFonts w:ascii="Arial" w:cs="Arial" w:eastAsia="Arial" w:hAnsi="Arial"/>
          <w:sz w:val="18"/>
          <w:szCs w:val="18"/>
          <w:color w:val="auto"/>
        </w:rPr>
        <w:t>by our board of directors. The amount and timing of past dividends is not necessarily indicative of the amount or timing of any future dividends which we might pay.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Future cash requirements </w:t>
      </w:r>
      <w:r>
        <w:rPr>
          <w:rFonts w:ascii="Arial" w:cs="Arial" w:eastAsia="Arial" w:hAnsi="Arial"/>
          <w:sz w:val="18"/>
          <w:szCs w:val="18"/>
          <w:b w:val="1"/>
          <w:bCs w:val="1"/>
          <w:color w:val="auto"/>
        </w:rPr>
        <w:t>–</w:t>
      </w:r>
    </w:p>
    <w:p>
      <w:pPr>
        <w:spacing w:after="0" w:line="118"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i w:val="1"/>
          <w:iCs w:val="1"/>
          <w:color w:val="auto"/>
        </w:rPr>
        <w:t>Liquidity</w:t>
      </w:r>
      <w:r>
        <w:rPr>
          <w:rFonts w:ascii="Arial" w:cs="Arial" w:eastAsia="Arial" w:hAnsi="Arial"/>
          <w:sz w:val="18"/>
          <w:szCs w:val="18"/>
          <w:color w:val="auto"/>
        </w:rPr>
        <w:t>. Our primary source of liquidity on an ongoing basis is our cash flow from operating activities, which is generally used to (i) fund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(ii) repay short-term or long-term indebtedness incurred primarily for capital expenditures, investment activities or reducing our outstanding stock, (iii) provide for the payment of dividends (if declared), and (iv) lend to affiliates. From time-to-time, we will incur indebtedness, primarily to fund capital expenditures or business combinations.</w:t>
      </w:r>
    </w:p>
    <w:p>
      <w:pPr>
        <w:spacing w:after="0" w:line="190"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Periodically, we evaluate liquidity requirements, alternative uses of capital, capital needs and available resources in view of, among other things, our capital expenditure requirements, dividend policy and estimated future operating cash flows. As a result of this process, we have in the past and may in the future seek to raise additional capital, refinance or restructure indebtedness, issue additional securities, modify our dividend policy or take a combination of such steps to manage our liquidity and capital resources. In the normal course of business, we may review opportunities for acquisitions, joint ventures or other business combinations in the component products industry. In the event of any such transaction, we may consider using available cash, issuing additional equity securities or increasing our indebtedness or that of our subsidiaries.</w:t>
      </w:r>
    </w:p>
    <w:p>
      <w:pPr>
        <w:spacing w:after="0" w:line="178"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We believe that cash generated from operations together with cash on hand, as well as our ability to obtain external financing, will be sufficient to meet our liquidity needs for working capital, capital expenditures, debt service, dividends (if declared) and any amounts we might loan from time to time under the terms of our revolving loan to Valhi discussed in Note 8 to our Condensed Consolidated Financial Statements (which loans would be solely at our discretion) for both the next 12 months and five years. To the extent that our actual operating results or other developments differ from our expectations, our liquidity could be adversely affected.</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of our $65.1 million aggregate cash and cash equivalents at September 30, 2020 were held in the U.S.</w:t>
      </w:r>
    </w:p>
    <w:p>
      <w:pPr>
        <w:spacing w:after="0" w:line="221" w:lineRule="exact"/>
        <w:rPr>
          <w:sz w:val="20"/>
          <w:szCs w:val="20"/>
          <w:color w:val="auto"/>
        </w:rPr>
      </w:pPr>
    </w:p>
    <w:p>
      <w:pPr>
        <w:jc w:val="both"/>
        <w:ind w:firstLine="510"/>
        <w:spacing w:after="0" w:line="281"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Firm purchase commitments for capital projects in process at September 30, 2020 totaled $0.2 million. Our 2020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are limited to those expenditures required to meet our expected customer demand and those required to properly maintain our facilities and technology infrastructure. It is possible we will curtail or eliminate planned capital projects based on market conditions.</w:t>
      </w:r>
    </w:p>
    <w:p>
      <w:pPr>
        <w:spacing w:after="0" w:line="169"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There have been no material changes in our contractual obligations since we filed our 2019 Annual Report and we</w:t>
      </w:r>
      <w:r>
        <w:rPr>
          <w:rFonts w:ascii="Arial" w:cs="Arial" w:eastAsia="Arial" w:hAnsi="Arial"/>
          <w:sz w:val="18"/>
          <w:szCs w:val="18"/>
          <w:i w:val="1"/>
          <w:iCs w:val="1"/>
          <w:color w:val="auto"/>
        </w:rPr>
        <w:t xml:space="preserve"> </w:t>
      </w:r>
      <w:r>
        <w:rPr>
          <w:rFonts w:ascii="Arial" w:cs="Arial" w:eastAsia="Arial" w:hAnsi="Arial"/>
          <w:sz w:val="18"/>
          <w:szCs w:val="18"/>
          <w:color w:val="auto"/>
        </w:rPr>
        <w:t>refer you to that report for a complete description of these commitments.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Off-balance sheet financing arrangements </w:t>
      </w:r>
      <w:r>
        <w:rPr>
          <w:rFonts w:ascii="Arial" w:cs="Arial" w:eastAsia="Arial" w:hAnsi="Arial"/>
          <w:sz w:val="18"/>
          <w:szCs w:val="18"/>
          <w:b w:val="1"/>
          <w:bCs w:val="1"/>
          <w:color w:val="auto"/>
        </w:rPr>
        <w:t>–</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off-balance sheet financing agreements.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w:t>
      </w:r>
    </w:p>
    <w:p>
      <w:pPr>
        <w:spacing w:after="0" w:line="1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9 to our Condensed Consolidated Financial Statements.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w:t>
      </w:r>
    </w:p>
    <w:p>
      <w:pPr>
        <w:spacing w:after="0" w:line="114" w:lineRule="exact"/>
        <w:rPr>
          <w:sz w:val="20"/>
          <w:szCs w:val="20"/>
          <w:color w:val="auto"/>
        </w:rPr>
      </w:pPr>
    </w:p>
    <w:p>
      <w:pPr>
        <w:jc w:val="both"/>
        <w:ind w:right="20" w:firstLine="510"/>
        <w:spacing w:after="0" w:line="271" w:lineRule="auto"/>
        <w:rPr>
          <w:sz w:val="20"/>
          <w:szCs w:val="20"/>
          <w:color w:val="auto"/>
        </w:rPr>
      </w:pPr>
      <w:r>
        <w:rPr>
          <w:rFonts w:ascii="Arial" w:cs="Arial" w:eastAsia="Arial" w:hAnsi="Arial"/>
          <w:sz w:val="18"/>
          <w:szCs w:val="18"/>
          <w:color w:val="auto"/>
        </w:rPr>
        <w:t>There have been no changes in the first nine months of 2020 with respect to our critical accounting policies presented in Management’s Discussion and Analysis of Financial Condition and Results of Operations in our 2019 Annual Report.</w:t>
      </w:r>
    </w:p>
    <w:p>
      <w:pPr>
        <w:spacing w:after="0" w:line="3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18"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are exposed to market risk from changes in interest rates and raw material prices. There have been no material changes in these market risks since we filed our 2019 Annual Report, and we refer you to Part I, Item 7A – “Quantitative and Qualitative Disclosure About Market Risk” in our 2019 Annual Report. See also Note 7 to the Condensed Consolidated Financial Statements.</w:t>
      </w:r>
    </w:p>
    <w:p>
      <w:pPr>
        <w:spacing w:after="0" w:line="36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14"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b w:val="1"/>
          <w:bCs w:val="1"/>
          <w:color w:val="auto"/>
        </w:rPr>
        <w:t xml:space="preserve">Evaluation of Disclosure Controls and Procedures. </w:t>
      </w:r>
      <w:r>
        <w:rPr>
          <w:rFonts w:ascii="Arial" w:cs="Arial" w:eastAsia="Arial" w:hAnsi="Arial"/>
          <w:sz w:val="18"/>
          <w:szCs w:val="18"/>
          <w:color w:val="auto"/>
        </w:rPr>
        <w:t>We maintain disclosure controls and procedures which, as defined in Exchange Act Rule 13a-15(e), means controls and other procedures that are designed to ensure that information required to be disclosed in the reports that we file or submit to the SEC under the Securities Exchange Act of 1934, as amended (the “Act”), is recorded, processed, summarized and reported within the time periods specified in the SEC’s rules and forms. Disclosure controls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6" w:name="page17"/>
    <w:bookmarkEnd w:id="16"/>
    <w:p>
      <w:pPr>
        <w:jc w:val="both"/>
        <w:spacing w:after="0" w:line="290" w:lineRule="auto"/>
        <w:rPr>
          <w:sz w:val="20"/>
          <w:szCs w:val="20"/>
          <w:color w:val="auto"/>
        </w:rPr>
      </w:pPr>
      <w:r>
        <w:rPr>
          <w:rFonts w:ascii="Arial" w:cs="Arial" w:eastAsia="Arial" w:hAnsi="Arial"/>
          <w:sz w:val="16"/>
          <w:szCs w:val="16"/>
          <w:color w:val="auto"/>
        </w:rPr>
        <w:t>procedures include, without limitation, controls and procedures designed to ensure that information we are required to disclose in the reports that we file or submit to the SEC under the Act is accumulated and communicated to our management, including our principal executive officer and our principal financial officer, or persons performing similar functions, as appropriate to allow timely decisions to be made regarding required disclosure. Our management with the participation of Scott C. James, our President and Chief Executive Officer, and Amy Allbach Samford, our Vice President and Chief Financial Officer, has evaluated the design and operating effectiveness of our disclosure controls and procedures as of September 30, 2020. Based upon their evaluation, these executive officers have concluded that our disclosure controls and procedures are effective as of the date of such evaluation.</w:t>
      </w:r>
    </w:p>
    <w:p>
      <w:pPr>
        <w:spacing w:after="0" w:line="53"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b w:val="1"/>
          <w:bCs w:val="1"/>
          <w:color w:val="auto"/>
        </w:rPr>
        <w:t>Internal Control Over Financial Reporting</w:t>
      </w:r>
      <w:r>
        <w:rPr>
          <w:rFonts w:ascii="Arial" w:cs="Arial" w:eastAsia="Arial" w:hAnsi="Arial"/>
          <w:sz w:val="17"/>
          <w:szCs w:val="17"/>
          <w:color w:val="auto"/>
        </w:rPr>
        <w:t>. Our management is responsible for establishing and maintaining adequate internal control over</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reporting which, as defined in Exchange Act Rule 13a-15(f), means a process designed by, or under the supervision of, our principal executive and principal financial officers, or persons performing similar functions,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69" w:lineRule="exact"/>
        <w:rPr>
          <w:sz w:val="20"/>
          <w:szCs w:val="20"/>
          <w:color w:val="auto"/>
        </w:rPr>
      </w:pPr>
    </w:p>
    <w:p>
      <w:pPr>
        <w:ind w:left="1020" w:hanging="505"/>
        <w:spacing w:after="0"/>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136" w:lineRule="exact"/>
        <w:rPr>
          <w:rFonts w:ascii="Arial" w:cs="Arial" w:eastAsia="Arial" w:hAnsi="Arial"/>
          <w:sz w:val="16"/>
          <w:szCs w:val="16"/>
          <w:color w:val="auto"/>
        </w:rPr>
      </w:pPr>
    </w:p>
    <w:p>
      <w:pPr>
        <w:ind w:left="1020" w:right="20" w:hanging="505"/>
        <w:spacing w:after="0" w:line="335"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GAAP, and that receipts and expenditures are being made only in accordance with authorizations of our management and directors, and</w:t>
      </w:r>
    </w:p>
    <w:p>
      <w:pPr>
        <w:spacing w:after="0" w:line="21" w:lineRule="exact"/>
        <w:rPr>
          <w:rFonts w:ascii="Arial" w:cs="Arial" w:eastAsia="Arial" w:hAnsi="Arial"/>
          <w:sz w:val="16"/>
          <w:szCs w:val="16"/>
          <w:color w:val="auto"/>
        </w:rPr>
      </w:pPr>
    </w:p>
    <w:p>
      <w:pPr>
        <w:ind w:left="1020" w:hanging="505"/>
        <w:spacing w:after="0" w:line="27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an unauthorized acquisition, use or disposition of our assets that could have a material effect on our Condensed Consolidated Financial Statements.</w:t>
      </w:r>
    </w:p>
    <w:p>
      <w:pPr>
        <w:spacing w:after="0" w:line="171" w:lineRule="exact"/>
        <w:rPr>
          <w:sz w:val="20"/>
          <w:szCs w:val="20"/>
          <w:color w:val="auto"/>
        </w:rPr>
      </w:pPr>
    </w:p>
    <w:p>
      <w:pPr>
        <w:ind w:firstLine="510"/>
        <w:spacing w:after="0" w:line="340" w:lineRule="auto"/>
        <w:rPr>
          <w:sz w:val="20"/>
          <w:szCs w:val="20"/>
          <w:color w:val="auto"/>
        </w:rPr>
      </w:pPr>
      <w:r>
        <w:rPr>
          <w:rFonts w:ascii="Arial" w:cs="Arial" w:eastAsia="Arial" w:hAnsi="Arial"/>
          <w:sz w:val="16"/>
          <w:szCs w:val="16"/>
          <w:b w:val="1"/>
          <w:bCs w:val="1"/>
          <w:color w:val="auto"/>
        </w:rPr>
        <w:t>Changes in Internal Control Over Financial Reporting</w:t>
      </w:r>
      <w:r>
        <w:rPr>
          <w:rFonts w:ascii="Arial" w:cs="Arial" w:eastAsia="Arial" w:hAnsi="Arial"/>
          <w:sz w:val="16"/>
          <w:szCs w:val="16"/>
          <w:color w:val="auto"/>
        </w:rPr>
        <w:t>. There have been no changes in our internal control over financial reporting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ended September 30, 2020 that have materially affected, or are reasonably likely to materially affect, our internal control over financial reporting.</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Part II. OTHER INFORMATION</w:t>
      </w:r>
    </w:p>
    <w:p>
      <w:pPr>
        <w:spacing w:after="0" w:line="12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118" w:lineRule="exact"/>
        <w:rPr>
          <w:sz w:val="20"/>
          <w:szCs w:val="20"/>
          <w:color w:val="auto"/>
        </w:rPr>
      </w:pPr>
    </w:p>
    <w:p>
      <w:pPr>
        <w:ind w:firstLine="510"/>
        <w:spacing w:after="0" w:line="271" w:lineRule="auto"/>
        <w:rPr>
          <w:sz w:val="20"/>
          <w:szCs w:val="20"/>
          <w:color w:val="auto"/>
        </w:rPr>
      </w:pPr>
      <w:r>
        <w:rPr>
          <w:rFonts w:ascii="Arial" w:cs="Arial" w:eastAsia="Arial" w:hAnsi="Arial"/>
          <w:sz w:val="18"/>
          <w:szCs w:val="18"/>
          <w:color w:val="auto"/>
        </w:rPr>
        <w:t>Reference is made to the 2019 Annual Report and our Quarterly Report on Form 10-Q for the quarter ended March 31, 2020 for a discussion of risk factors related to our businesses.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0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160" w:type="dxa"/>
            <w:vAlign w:val="bottom"/>
            <w:gridSpan w:val="2"/>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369"/>
        </w:trPr>
        <w:tc>
          <w:tcPr>
            <w:tcW w:w="1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Item No.</w:t>
            </w:r>
          </w:p>
        </w:tc>
        <w:tc>
          <w:tcPr>
            <w:tcW w:w="20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4"/>
                <w:szCs w:val="14"/>
                <w:b w:val="1"/>
                <w:bCs w:val="1"/>
                <w:color w:val="auto"/>
              </w:rPr>
              <w:t>Exhibit Index</w:t>
            </w:r>
          </w:p>
        </w:tc>
      </w:tr>
      <w:tr>
        <w:trPr>
          <w:trHeight w:val="333"/>
        </w:trPr>
        <w:tc>
          <w:tcPr>
            <w:tcW w:w="1060" w:type="dxa"/>
            <w:vAlign w:val="bottom"/>
          </w:tcPr>
          <w:p>
            <w:pPr>
              <w:spacing w:after="0"/>
              <w:rPr>
                <w:sz w:val="20"/>
                <w:szCs w:val="20"/>
                <w:color w:val="auto"/>
              </w:rPr>
            </w:pPr>
            <w:r>
              <w:rPr>
                <w:rFonts w:ascii="Arial" w:cs="Arial" w:eastAsia="Arial" w:hAnsi="Arial"/>
                <w:sz w:val="18"/>
                <w:szCs w:val="18"/>
                <w:color w:val="auto"/>
              </w:rPr>
              <w:t>31.1</w:t>
            </w:r>
          </w:p>
        </w:tc>
        <w:tc>
          <w:tcPr>
            <w:tcW w:w="10160" w:type="dxa"/>
            <w:vAlign w:val="bottom"/>
            <w:gridSpan w:val="2"/>
          </w:tcPr>
          <w:p>
            <w:pPr>
              <w:ind w:left="20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Certification</w:t>
              </w:r>
            </w:hyperlink>
          </w:p>
        </w:tc>
      </w:tr>
      <w:tr>
        <w:trPr>
          <w:trHeight w:val="254"/>
        </w:trPr>
        <w:tc>
          <w:tcPr>
            <w:tcW w:w="1060" w:type="dxa"/>
            <w:vAlign w:val="bottom"/>
          </w:tcPr>
          <w:p>
            <w:pPr>
              <w:spacing w:after="0"/>
              <w:rPr>
                <w:sz w:val="20"/>
                <w:szCs w:val="20"/>
                <w:color w:val="auto"/>
              </w:rPr>
            </w:pPr>
            <w:r>
              <w:rPr>
                <w:rFonts w:ascii="Arial" w:cs="Arial" w:eastAsia="Arial" w:hAnsi="Arial"/>
                <w:sz w:val="18"/>
                <w:szCs w:val="18"/>
                <w:color w:val="auto"/>
              </w:rPr>
              <w:t>31.2</w:t>
            </w:r>
          </w:p>
        </w:tc>
        <w:tc>
          <w:tcPr>
            <w:tcW w:w="10160" w:type="dxa"/>
            <w:vAlign w:val="bottom"/>
            <w:gridSpan w:val="2"/>
          </w:tcPr>
          <w:p>
            <w:pPr>
              <w:ind w:left="20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Certification</w:t>
              </w:r>
            </w:hyperlink>
          </w:p>
        </w:tc>
      </w:tr>
      <w:tr>
        <w:trPr>
          <w:trHeight w:val="254"/>
        </w:trPr>
        <w:tc>
          <w:tcPr>
            <w:tcW w:w="1060" w:type="dxa"/>
            <w:vAlign w:val="bottom"/>
          </w:tcPr>
          <w:p>
            <w:pPr>
              <w:spacing w:after="0"/>
              <w:rPr>
                <w:sz w:val="20"/>
                <w:szCs w:val="20"/>
                <w:color w:val="auto"/>
              </w:rPr>
            </w:pPr>
            <w:r>
              <w:rPr>
                <w:rFonts w:ascii="Arial" w:cs="Arial" w:eastAsia="Arial" w:hAnsi="Arial"/>
                <w:sz w:val="18"/>
                <w:szCs w:val="18"/>
                <w:color w:val="auto"/>
              </w:rPr>
              <w:t>32.1</w:t>
            </w:r>
          </w:p>
        </w:tc>
        <w:tc>
          <w:tcPr>
            <w:tcW w:w="10160" w:type="dxa"/>
            <w:vAlign w:val="bottom"/>
            <w:gridSpan w:val="2"/>
          </w:tcPr>
          <w:p>
            <w:pPr>
              <w:ind w:left="20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Certification</w:t>
              </w:r>
            </w:hyperlink>
          </w:p>
        </w:tc>
      </w:tr>
      <w:tr>
        <w:trPr>
          <w:trHeight w:val="241"/>
        </w:trPr>
        <w:tc>
          <w:tcPr>
            <w:tcW w:w="1060" w:type="dxa"/>
            <w:vAlign w:val="bottom"/>
          </w:tcPr>
          <w:p>
            <w:pPr>
              <w:spacing w:after="0"/>
              <w:rPr>
                <w:sz w:val="20"/>
                <w:szCs w:val="20"/>
                <w:color w:val="auto"/>
              </w:rPr>
            </w:pPr>
            <w:r>
              <w:rPr>
                <w:rFonts w:ascii="Arial" w:cs="Arial" w:eastAsia="Arial" w:hAnsi="Arial"/>
                <w:sz w:val="18"/>
                <w:szCs w:val="18"/>
                <w:color w:val="auto"/>
              </w:rPr>
              <w:t>101.INS</w:t>
            </w:r>
          </w:p>
        </w:tc>
        <w:tc>
          <w:tcPr>
            <w:tcW w:w="10160" w:type="dxa"/>
            <w:vAlign w:val="bottom"/>
            <w:gridSpan w:val="2"/>
          </w:tcPr>
          <w:p>
            <w:pPr>
              <w:ind w:left="200"/>
              <w:spacing w:after="0"/>
              <w:rPr>
                <w:sz w:val="20"/>
                <w:szCs w:val="20"/>
                <w:color w:val="auto"/>
              </w:rPr>
            </w:pPr>
            <w:r>
              <w:rPr>
                <w:rFonts w:ascii="Arial" w:cs="Arial" w:eastAsia="Arial" w:hAnsi="Arial"/>
                <w:sz w:val="18"/>
                <w:szCs w:val="18"/>
                <w:color w:val="auto"/>
                <w:w w:val="89"/>
              </w:rPr>
              <w:t>Inline XBRL Instance Document – the instance document does not appear in the Interactive Data File because its XBRL tags are embedded</w:t>
            </w:r>
          </w:p>
        </w:tc>
      </w:tr>
      <w:tr>
        <w:trPr>
          <w:trHeight w:val="227"/>
        </w:trPr>
        <w:tc>
          <w:tcPr>
            <w:tcW w:w="1060" w:type="dxa"/>
            <w:vAlign w:val="bottom"/>
          </w:tcPr>
          <w:p>
            <w:pPr>
              <w:spacing w:after="0"/>
              <w:rPr>
                <w:sz w:val="19"/>
                <w:szCs w:val="19"/>
                <w:color w:val="auto"/>
              </w:rPr>
            </w:pPr>
          </w:p>
        </w:tc>
        <w:tc>
          <w:tcPr>
            <w:tcW w:w="10160" w:type="dxa"/>
            <w:vAlign w:val="bottom"/>
            <w:gridSpan w:val="2"/>
          </w:tcPr>
          <w:p>
            <w:pPr>
              <w:ind w:left="200"/>
              <w:spacing w:after="0"/>
              <w:rPr>
                <w:sz w:val="20"/>
                <w:szCs w:val="20"/>
                <w:color w:val="auto"/>
              </w:rPr>
            </w:pPr>
            <w:r>
              <w:rPr>
                <w:rFonts w:ascii="Arial" w:cs="Arial" w:eastAsia="Arial" w:hAnsi="Arial"/>
                <w:sz w:val="18"/>
                <w:szCs w:val="18"/>
                <w:color w:val="auto"/>
              </w:rPr>
              <w:t>within the Inline XBRL document.</w:t>
            </w:r>
          </w:p>
        </w:tc>
      </w:tr>
      <w:tr>
        <w:trPr>
          <w:trHeight w:val="254"/>
        </w:trPr>
        <w:tc>
          <w:tcPr>
            <w:tcW w:w="1060" w:type="dxa"/>
            <w:vAlign w:val="bottom"/>
          </w:tcPr>
          <w:p>
            <w:pPr>
              <w:spacing w:after="0"/>
              <w:rPr>
                <w:sz w:val="20"/>
                <w:szCs w:val="20"/>
                <w:color w:val="auto"/>
              </w:rPr>
            </w:pPr>
            <w:r>
              <w:rPr>
                <w:rFonts w:ascii="Arial" w:cs="Arial" w:eastAsia="Arial" w:hAnsi="Arial"/>
                <w:sz w:val="18"/>
                <w:szCs w:val="18"/>
                <w:color w:val="auto"/>
              </w:rPr>
              <w:t>101.SCH</w:t>
            </w:r>
          </w:p>
        </w:tc>
        <w:tc>
          <w:tcPr>
            <w:tcW w:w="10160" w:type="dxa"/>
            <w:vAlign w:val="bottom"/>
            <w:gridSpan w:val="2"/>
          </w:tcPr>
          <w:p>
            <w:pPr>
              <w:ind w:left="200"/>
              <w:spacing w:after="0"/>
              <w:rPr>
                <w:sz w:val="20"/>
                <w:szCs w:val="20"/>
                <w:color w:val="auto"/>
              </w:rPr>
            </w:pPr>
            <w:r>
              <w:rPr>
                <w:rFonts w:ascii="Arial" w:cs="Arial" w:eastAsia="Arial" w:hAnsi="Arial"/>
                <w:sz w:val="18"/>
                <w:szCs w:val="18"/>
                <w:color w:val="auto"/>
              </w:rPr>
              <w:t>Inline XBRL Taxonomy Extension Schema</w:t>
            </w:r>
          </w:p>
        </w:tc>
      </w:tr>
      <w:tr>
        <w:trPr>
          <w:trHeight w:val="254"/>
        </w:trPr>
        <w:tc>
          <w:tcPr>
            <w:tcW w:w="1060" w:type="dxa"/>
            <w:vAlign w:val="bottom"/>
          </w:tcPr>
          <w:p>
            <w:pPr>
              <w:spacing w:after="0"/>
              <w:rPr>
                <w:sz w:val="20"/>
                <w:szCs w:val="20"/>
                <w:color w:val="auto"/>
              </w:rPr>
            </w:pPr>
            <w:r>
              <w:rPr>
                <w:rFonts w:ascii="Arial" w:cs="Arial" w:eastAsia="Arial" w:hAnsi="Arial"/>
                <w:sz w:val="18"/>
                <w:szCs w:val="18"/>
                <w:color w:val="auto"/>
              </w:rPr>
              <w:t>101.CAL</w:t>
            </w:r>
          </w:p>
        </w:tc>
        <w:tc>
          <w:tcPr>
            <w:tcW w:w="10160" w:type="dxa"/>
            <w:vAlign w:val="bottom"/>
            <w:gridSpan w:val="2"/>
          </w:tcPr>
          <w:p>
            <w:pPr>
              <w:ind w:left="200"/>
              <w:spacing w:after="0"/>
              <w:rPr>
                <w:sz w:val="20"/>
                <w:szCs w:val="20"/>
                <w:color w:val="auto"/>
              </w:rPr>
            </w:pPr>
            <w:r>
              <w:rPr>
                <w:rFonts w:ascii="Arial" w:cs="Arial" w:eastAsia="Arial" w:hAnsi="Arial"/>
                <w:sz w:val="18"/>
                <w:szCs w:val="18"/>
                <w:color w:val="auto"/>
              </w:rPr>
              <w:t>Inline XBRL Taxonomy Extension Calculation Linkbase</w:t>
            </w:r>
          </w:p>
        </w:tc>
      </w:tr>
      <w:tr>
        <w:trPr>
          <w:trHeight w:val="254"/>
        </w:trPr>
        <w:tc>
          <w:tcPr>
            <w:tcW w:w="1060" w:type="dxa"/>
            <w:vAlign w:val="bottom"/>
          </w:tcPr>
          <w:p>
            <w:pPr>
              <w:spacing w:after="0"/>
              <w:rPr>
                <w:sz w:val="20"/>
                <w:szCs w:val="20"/>
                <w:color w:val="auto"/>
              </w:rPr>
            </w:pPr>
            <w:r>
              <w:rPr>
                <w:rFonts w:ascii="Arial" w:cs="Arial" w:eastAsia="Arial" w:hAnsi="Arial"/>
                <w:sz w:val="18"/>
                <w:szCs w:val="18"/>
                <w:color w:val="auto"/>
              </w:rPr>
              <w:t>101.DEF</w:t>
            </w:r>
          </w:p>
        </w:tc>
        <w:tc>
          <w:tcPr>
            <w:tcW w:w="10160" w:type="dxa"/>
            <w:vAlign w:val="bottom"/>
            <w:gridSpan w:val="2"/>
          </w:tcPr>
          <w:p>
            <w:pPr>
              <w:ind w:left="200"/>
              <w:spacing w:after="0"/>
              <w:rPr>
                <w:sz w:val="20"/>
                <w:szCs w:val="20"/>
                <w:color w:val="auto"/>
              </w:rPr>
            </w:pPr>
            <w:r>
              <w:rPr>
                <w:rFonts w:ascii="Arial" w:cs="Arial" w:eastAsia="Arial" w:hAnsi="Arial"/>
                <w:sz w:val="18"/>
                <w:szCs w:val="18"/>
                <w:color w:val="auto"/>
              </w:rPr>
              <w:t>Inline XBRL Taxonomy Extension Definition Linkbase</w:t>
            </w:r>
          </w:p>
        </w:tc>
      </w:tr>
      <w:tr>
        <w:trPr>
          <w:trHeight w:val="254"/>
        </w:trPr>
        <w:tc>
          <w:tcPr>
            <w:tcW w:w="1060" w:type="dxa"/>
            <w:vAlign w:val="bottom"/>
          </w:tcPr>
          <w:p>
            <w:pPr>
              <w:spacing w:after="0"/>
              <w:rPr>
                <w:sz w:val="20"/>
                <w:szCs w:val="20"/>
                <w:color w:val="auto"/>
              </w:rPr>
            </w:pPr>
            <w:r>
              <w:rPr>
                <w:rFonts w:ascii="Arial" w:cs="Arial" w:eastAsia="Arial" w:hAnsi="Arial"/>
                <w:sz w:val="18"/>
                <w:szCs w:val="18"/>
                <w:color w:val="auto"/>
              </w:rPr>
              <w:t>101.LAB</w:t>
            </w:r>
          </w:p>
        </w:tc>
        <w:tc>
          <w:tcPr>
            <w:tcW w:w="10160" w:type="dxa"/>
            <w:vAlign w:val="bottom"/>
            <w:gridSpan w:val="2"/>
          </w:tcPr>
          <w:p>
            <w:pPr>
              <w:ind w:left="200"/>
              <w:spacing w:after="0"/>
              <w:rPr>
                <w:sz w:val="20"/>
                <w:szCs w:val="20"/>
                <w:color w:val="auto"/>
              </w:rPr>
            </w:pPr>
            <w:r>
              <w:rPr>
                <w:rFonts w:ascii="Arial" w:cs="Arial" w:eastAsia="Arial" w:hAnsi="Arial"/>
                <w:sz w:val="18"/>
                <w:szCs w:val="18"/>
                <w:color w:val="auto"/>
              </w:rPr>
              <w:t>Inline XBRL Taxonomy Extension Label Linkbase</w:t>
            </w:r>
          </w:p>
        </w:tc>
      </w:tr>
      <w:tr>
        <w:trPr>
          <w:trHeight w:val="254"/>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10160" w:type="dxa"/>
            <w:vAlign w:val="bottom"/>
            <w:gridSpan w:val="2"/>
          </w:tcPr>
          <w:p>
            <w:pPr>
              <w:ind w:left="200"/>
              <w:spacing w:after="0"/>
              <w:rPr>
                <w:sz w:val="20"/>
                <w:szCs w:val="20"/>
                <w:color w:val="auto"/>
              </w:rPr>
            </w:pPr>
            <w:r>
              <w:rPr>
                <w:rFonts w:ascii="Arial" w:cs="Arial" w:eastAsia="Arial" w:hAnsi="Arial"/>
                <w:sz w:val="18"/>
                <w:szCs w:val="18"/>
                <w:color w:val="auto"/>
              </w:rPr>
              <w:t>Inline XBRL Taxonomy Extension Presentation Linkbase</w:t>
            </w:r>
          </w:p>
        </w:tc>
      </w:tr>
    </w:tbl>
    <w:p>
      <w:pPr>
        <w:ind w:left="1260" w:hanging="1253"/>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22" w:lineRule="exact"/>
        <w:rPr>
          <w:rFonts w:ascii="Arial" w:cs="Arial" w:eastAsia="Arial" w:hAnsi="Arial"/>
          <w:sz w:val="18"/>
          <w:szCs w:val="18"/>
          <w:color w:val="auto"/>
        </w:rPr>
      </w:pPr>
    </w:p>
    <w:p>
      <w:pPr>
        <w:ind w:left="5540" w:hanging="109"/>
        <w:spacing w:after="0"/>
        <w:tabs>
          <w:tab w:leader="none" w:pos="5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SIGNATURES</w:t>
      </w:r>
    </w:p>
    <w:p>
      <w:pPr>
        <w:spacing w:after="0" w:line="11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COMPX INTERNATIONAL INC.</w:t>
            </w:r>
          </w:p>
        </w:tc>
        <w:tc>
          <w:tcPr>
            <w:tcW w:w="2360" w:type="dxa"/>
            <w:vAlign w:val="bottom"/>
          </w:tcPr>
          <w:p>
            <w:pPr>
              <w:spacing w:after="0"/>
              <w:rPr>
                <w:sz w:val="17"/>
                <w:szCs w:val="17"/>
                <w:color w:val="auto"/>
              </w:rPr>
            </w:pPr>
          </w:p>
        </w:tc>
      </w:tr>
      <w:tr>
        <w:trPr>
          <w:trHeight w:val="233"/>
        </w:trPr>
        <w:tc>
          <w:tcPr>
            <w:tcW w:w="36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20" w:type="dxa"/>
            <w:vAlign w:val="bottom"/>
            <w:gridSpan w:val="2"/>
          </w:tcPr>
          <w:p>
            <w:pPr>
              <w:ind w:left="460"/>
              <w:spacing w:after="0"/>
              <w:rPr>
                <w:sz w:val="20"/>
                <w:szCs w:val="20"/>
                <w:color w:val="auto"/>
              </w:rPr>
            </w:pPr>
            <w:r>
              <w:rPr>
                <w:rFonts w:ascii="Arial" w:cs="Arial" w:eastAsia="Arial" w:hAnsi="Arial"/>
                <w:sz w:val="18"/>
                <w:szCs w:val="18"/>
                <w:b w:val="1"/>
                <w:bCs w:val="1"/>
                <w:color w:val="auto"/>
              </w:rPr>
              <w:t>(Registrant)</w:t>
            </w:r>
          </w:p>
        </w:tc>
      </w:tr>
      <w:tr>
        <w:trPr>
          <w:trHeight w:val="455"/>
        </w:trPr>
        <w:tc>
          <w:tcPr>
            <w:tcW w:w="3620" w:type="dxa"/>
            <w:vAlign w:val="bottom"/>
          </w:tcPr>
          <w:p>
            <w:pPr>
              <w:spacing w:after="0"/>
              <w:rPr>
                <w:sz w:val="20"/>
                <w:szCs w:val="20"/>
                <w:color w:val="auto"/>
              </w:rPr>
            </w:pPr>
            <w:r>
              <w:rPr>
                <w:rFonts w:ascii="Arial" w:cs="Arial" w:eastAsia="Arial" w:hAnsi="Arial"/>
                <w:sz w:val="18"/>
                <w:szCs w:val="18"/>
                <w:color w:val="auto"/>
              </w:rPr>
              <w:t>Date: November 4, 2020</w:t>
            </w:r>
          </w:p>
        </w:tc>
        <w:tc>
          <w:tcPr>
            <w:tcW w:w="7620" w:type="dxa"/>
            <w:vAlign w:val="bottom"/>
            <w:gridSpan w:val="4"/>
          </w:tcPr>
          <w:p>
            <w:pPr>
              <w:ind w:left="2600"/>
              <w:spacing w:after="0"/>
              <w:rPr>
                <w:sz w:val="20"/>
                <w:szCs w:val="20"/>
                <w:color w:val="auto"/>
              </w:rPr>
            </w:pPr>
            <w:r>
              <w:rPr>
                <w:rFonts w:ascii="Arial" w:cs="Arial" w:eastAsia="Arial" w:hAnsi="Arial"/>
                <w:sz w:val="18"/>
                <w:szCs w:val="18"/>
                <w:color w:val="auto"/>
              </w:rPr>
              <w:t>By:  /s/ Amy Allbach Samford</w:t>
            </w:r>
          </w:p>
        </w:tc>
      </w:tr>
      <w:tr>
        <w:trPr>
          <w:trHeight w:val="194"/>
        </w:trPr>
        <w:tc>
          <w:tcPr>
            <w:tcW w:w="36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20" w:type="dxa"/>
            <w:vAlign w:val="bottom"/>
            <w:tcBorders>
              <w:top w:val="single" w:sz="8" w:color="auto"/>
            </w:tcBorders>
            <w:gridSpan w:val="2"/>
          </w:tcPr>
          <w:p>
            <w:pPr>
              <w:spacing w:after="0" w:line="194" w:lineRule="exact"/>
              <w:rPr>
                <w:sz w:val="20"/>
                <w:szCs w:val="20"/>
                <w:color w:val="auto"/>
              </w:rPr>
            </w:pPr>
            <w:r>
              <w:rPr>
                <w:rFonts w:ascii="Arial" w:cs="Arial" w:eastAsia="Arial" w:hAnsi="Arial"/>
                <w:sz w:val="18"/>
                <w:szCs w:val="18"/>
                <w:color w:val="auto"/>
              </w:rPr>
              <w:t>Amy Allbach Samford</w:t>
            </w:r>
          </w:p>
        </w:tc>
      </w:tr>
      <w:tr>
        <w:trPr>
          <w:trHeight w:val="227"/>
        </w:trPr>
        <w:tc>
          <w:tcPr>
            <w:tcW w:w="36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Vice President and Chief Financial Officer</w:t>
            </w:r>
          </w:p>
        </w:tc>
      </w:tr>
      <w:tr>
        <w:trPr>
          <w:trHeight w:val="643"/>
        </w:trPr>
        <w:tc>
          <w:tcPr>
            <w:tcW w:w="3620" w:type="dxa"/>
            <w:vAlign w:val="bottom"/>
          </w:tcPr>
          <w:p>
            <w:pPr>
              <w:spacing w:after="0"/>
              <w:rPr>
                <w:sz w:val="24"/>
                <w:szCs w:val="24"/>
                <w:color w:val="auto"/>
              </w:rPr>
            </w:pPr>
          </w:p>
        </w:tc>
        <w:tc>
          <w:tcPr>
            <w:tcW w:w="7620" w:type="dxa"/>
            <w:vAlign w:val="bottom"/>
            <w:gridSpan w:val="4"/>
          </w:tcPr>
          <w:p>
            <w:pPr>
              <w:ind w:left="2600"/>
              <w:spacing w:after="0"/>
              <w:rPr>
                <w:sz w:val="20"/>
                <w:szCs w:val="20"/>
                <w:color w:val="auto"/>
              </w:rPr>
            </w:pPr>
            <w:r>
              <w:rPr>
                <w:rFonts w:ascii="Arial" w:cs="Arial" w:eastAsia="Arial" w:hAnsi="Arial"/>
                <w:sz w:val="18"/>
                <w:szCs w:val="18"/>
                <w:color w:val="auto"/>
              </w:rPr>
              <w:t>By:  /s/ Amy E. Ruf</w:t>
            </w:r>
          </w:p>
        </w:tc>
      </w:tr>
      <w:tr>
        <w:trPr>
          <w:trHeight w:val="194"/>
        </w:trPr>
        <w:tc>
          <w:tcPr>
            <w:tcW w:w="36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20" w:type="dxa"/>
            <w:vAlign w:val="bottom"/>
            <w:tcBorders>
              <w:top w:val="single" w:sz="8" w:color="auto"/>
            </w:tcBorders>
            <w:gridSpan w:val="2"/>
          </w:tcPr>
          <w:p>
            <w:pPr>
              <w:spacing w:after="0" w:line="194" w:lineRule="exact"/>
              <w:rPr>
                <w:sz w:val="20"/>
                <w:szCs w:val="20"/>
                <w:color w:val="auto"/>
              </w:rPr>
            </w:pPr>
            <w:r>
              <w:rPr>
                <w:rFonts w:ascii="Arial" w:cs="Arial" w:eastAsia="Arial" w:hAnsi="Arial"/>
                <w:sz w:val="18"/>
                <w:szCs w:val="18"/>
                <w:color w:val="auto"/>
              </w:rPr>
              <w:t>Amy E. Ruf</w:t>
            </w:r>
          </w:p>
        </w:tc>
      </w:tr>
      <w:tr>
        <w:trPr>
          <w:trHeight w:val="227"/>
        </w:trPr>
        <w:tc>
          <w:tcPr>
            <w:tcW w:w="36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Vice President and Controller</w:t>
            </w:r>
          </w:p>
        </w:tc>
      </w:tr>
      <w:tr>
        <w:trPr>
          <w:trHeight w:val="856"/>
        </w:trPr>
        <w:tc>
          <w:tcPr>
            <w:tcW w:w="3620" w:type="dxa"/>
            <w:vAlign w:val="bottom"/>
          </w:tcPr>
          <w:p>
            <w:pPr>
              <w:spacing w:after="0"/>
              <w:rPr>
                <w:sz w:val="24"/>
                <w:szCs w:val="24"/>
                <w:color w:val="auto"/>
              </w:rPr>
            </w:pPr>
          </w:p>
        </w:tc>
        <w:tc>
          <w:tcPr>
            <w:tcW w:w="2600" w:type="dxa"/>
            <w:vAlign w:val="bottom"/>
          </w:tcPr>
          <w:p>
            <w:pPr>
              <w:jc w:val="right"/>
              <w:ind w:right="311"/>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36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Scott C. James, certify that:</w:t>
      </w:r>
    </w:p>
    <w:p>
      <w:pPr>
        <w:spacing w:after="0" w:line="114" w:lineRule="exact"/>
        <w:rPr>
          <w:sz w:val="20"/>
          <w:szCs w:val="20"/>
          <w:color w:val="auto"/>
        </w:rPr>
      </w:pPr>
    </w:p>
    <w:p>
      <w:pPr>
        <w:ind w:left="520" w:hanging="513"/>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CompX International Inc.;</w:t>
      </w:r>
    </w:p>
    <w:p>
      <w:pPr>
        <w:spacing w:after="0" w:line="113" w:lineRule="exact"/>
        <w:rPr>
          <w:rFonts w:ascii="Arial" w:cs="Arial" w:eastAsia="Arial" w:hAnsi="Arial"/>
          <w:sz w:val="18"/>
          <w:szCs w:val="18"/>
          <w:color w:val="auto"/>
        </w:rPr>
      </w:pPr>
    </w:p>
    <w:p>
      <w:pPr>
        <w:jc w:val="both"/>
        <w:ind w:left="520" w:hanging="513"/>
        <w:spacing w:after="0" w:line="259"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18"/>
          <w:szCs w:val="18"/>
          <w:color w:val="auto"/>
        </w:rPr>
      </w:pPr>
    </w:p>
    <w:p>
      <w:pPr>
        <w:ind w:left="520" w:hanging="513"/>
        <w:spacing w:after="0" w:line="301" w:lineRule="auto"/>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7"/>
          <w:szCs w:val="17"/>
          <w:color w:val="auto"/>
        </w:rPr>
      </w:pPr>
    </w:p>
    <w:p>
      <w:pPr>
        <w:jc w:val="both"/>
        <w:ind w:left="520" w:hanging="513"/>
        <w:spacing w:after="0" w:line="259"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have:</w:t>
      </w:r>
    </w:p>
    <w:p>
      <w:pPr>
        <w:spacing w:after="0" w:line="78" w:lineRule="exact"/>
        <w:rPr>
          <w:rFonts w:ascii="Arial" w:cs="Arial" w:eastAsia="Arial" w:hAnsi="Arial"/>
          <w:sz w:val="18"/>
          <w:szCs w:val="18"/>
          <w:color w:val="auto"/>
        </w:rPr>
      </w:pPr>
    </w:p>
    <w:p>
      <w:pPr>
        <w:jc w:val="both"/>
        <w:ind w:left="1020" w:hanging="505"/>
        <w:spacing w:after="0" w:line="259"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jc w:val="both"/>
        <w:ind w:left="1020" w:hanging="505"/>
        <w:spacing w:after="0" w:line="259"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ind w:left="1020" w:hanging="505"/>
        <w:spacing w:after="0" w:line="335" w:lineRule="auto"/>
        <w:tabs>
          <w:tab w:leader="none" w:pos="102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Arial" w:cs="Arial" w:eastAsia="Arial" w:hAnsi="Arial"/>
          <w:sz w:val="16"/>
          <w:szCs w:val="16"/>
          <w:color w:val="auto"/>
        </w:rPr>
      </w:pPr>
    </w:p>
    <w:p>
      <w:pPr>
        <w:jc w:val="both"/>
        <w:ind w:left="1020" w:hanging="505"/>
        <w:spacing w:after="0" w:line="259"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520" w:hanging="513"/>
        <w:spacing w:after="0" w:line="301" w:lineRule="auto"/>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44" w:lineRule="exact"/>
        <w:rPr>
          <w:rFonts w:ascii="Arial" w:cs="Arial" w:eastAsia="Arial" w:hAnsi="Arial"/>
          <w:sz w:val="17"/>
          <w:szCs w:val="17"/>
          <w:color w:val="auto"/>
        </w:rPr>
      </w:pPr>
    </w:p>
    <w:p>
      <w:pPr>
        <w:ind w:left="1020" w:hanging="505"/>
        <w:spacing w:after="0" w:line="301" w:lineRule="auto"/>
        <w:tabs>
          <w:tab w:leader="none" w:pos="1020"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7"/>
          <w:szCs w:val="17"/>
          <w:color w:val="auto"/>
        </w:rPr>
      </w:pPr>
    </w:p>
    <w:p>
      <w:pPr>
        <w:ind w:left="1020" w:right="20" w:hanging="505"/>
        <w:spacing w:after="0" w:line="271"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2020</w:t>
      </w:r>
    </w:p>
    <w:p>
      <w:pPr>
        <w:spacing w:after="0" w:line="22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Scott C. James</w:t>
      </w:r>
    </w:p>
    <w:p>
      <w:pPr>
        <w:spacing w:after="0" w:line="2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-130175</wp:posOffset>
            </wp:positionV>
            <wp:extent cx="25901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90165" cy="8255"/>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335"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Amy Allbach Samford, certify that:</w:t>
      </w:r>
    </w:p>
    <w:p>
      <w:pPr>
        <w:spacing w:after="0" w:line="114" w:lineRule="exact"/>
        <w:rPr>
          <w:sz w:val="20"/>
          <w:szCs w:val="20"/>
          <w:color w:val="auto"/>
        </w:rPr>
      </w:pPr>
    </w:p>
    <w:p>
      <w:pPr>
        <w:ind w:left="520" w:hanging="513"/>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CompX International Inc.;</w:t>
      </w:r>
    </w:p>
    <w:p>
      <w:pPr>
        <w:spacing w:after="0" w:line="113" w:lineRule="exact"/>
        <w:rPr>
          <w:rFonts w:ascii="Arial" w:cs="Arial" w:eastAsia="Arial" w:hAnsi="Arial"/>
          <w:sz w:val="18"/>
          <w:szCs w:val="18"/>
          <w:color w:val="auto"/>
        </w:rPr>
      </w:pPr>
    </w:p>
    <w:p>
      <w:pPr>
        <w:jc w:val="both"/>
        <w:ind w:left="520" w:hanging="513"/>
        <w:spacing w:after="0" w:line="259"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18"/>
          <w:szCs w:val="18"/>
          <w:color w:val="auto"/>
        </w:rPr>
      </w:pPr>
    </w:p>
    <w:p>
      <w:pPr>
        <w:ind w:left="520" w:hanging="513"/>
        <w:spacing w:after="0" w:line="301" w:lineRule="auto"/>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7"/>
          <w:szCs w:val="17"/>
          <w:color w:val="auto"/>
        </w:rPr>
      </w:pPr>
    </w:p>
    <w:p>
      <w:pPr>
        <w:jc w:val="both"/>
        <w:ind w:left="520" w:hanging="513"/>
        <w:spacing w:after="0" w:line="259"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13d-15(f)) for the registrant and have:</w:t>
      </w:r>
    </w:p>
    <w:p>
      <w:pPr>
        <w:spacing w:after="0" w:line="78" w:lineRule="exact"/>
        <w:rPr>
          <w:rFonts w:ascii="Arial" w:cs="Arial" w:eastAsia="Arial" w:hAnsi="Arial"/>
          <w:sz w:val="18"/>
          <w:szCs w:val="18"/>
          <w:color w:val="auto"/>
        </w:rPr>
      </w:pPr>
    </w:p>
    <w:p>
      <w:pPr>
        <w:jc w:val="both"/>
        <w:ind w:left="1020" w:hanging="505"/>
        <w:spacing w:after="0" w:line="259" w:lineRule="auto"/>
        <w:tabs>
          <w:tab w:leader="none" w:pos="10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jc w:val="both"/>
        <w:ind w:left="1020" w:hanging="505"/>
        <w:spacing w:after="0" w:line="259" w:lineRule="auto"/>
        <w:tabs>
          <w:tab w:leader="none" w:pos="10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ind w:left="1020" w:hanging="505"/>
        <w:spacing w:after="0" w:line="335" w:lineRule="auto"/>
        <w:tabs>
          <w:tab w:leader="none" w:pos="102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Arial" w:cs="Arial" w:eastAsia="Arial" w:hAnsi="Arial"/>
          <w:sz w:val="16"/>
          <w:szCs w:val="16"/>
          <w:color w:val="auto"/>
        </w:rPr>
      </w:pPr>
    </w:p>
    <w:p>
      <w:pPr>
        <w:jc w:val="both"/>
        <w:ind w:left="1020" w:hanging="505"/>
        <w:spacing w:after="0" w:line="259" w:lineRule="auto"/>
        <w:tabs>
          <w:tab w:leader="none" w:pos="10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520" w:hanging="513"/>
        <w:spacing w:after="0" w:line="301" w:lineRule="auto"/>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44" w:lineRule="exact"/>
        <w:rPr>
          <w:rFonts w:ascii="Arial" w:cs="Arial" w:eastAsia="Arial" w:hAnsi="Arial"/>
          <w:sz w:val="17"/>
          <w:szCs w:val="17"/>
          <w:color w:val="auto"/>
        </w:rPr>
      </w:pPr>
    </w:p>
    <w:p>
      <w:pPr>
        <w:ind w:left="1020" w:hanging="505"/>
        <w:spacing w:after="0" w:line="301" w:lineRule="auto"/>
        <w:tabs>
          <w:tab w:leader="none" w:pos="1020"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7"/>
          <w:szCs w:val="17"/>
          <w:color w:val="auto"/>
        </w:rPr>
      </w:pPr>
    </w:p>
    <w:p>
      <w:pPr>
        <w:ind w:left="1020" w:right="20" w:hanging="505"/>
        <w:spacing w:after="0" w:line="271" w:lineRule="auto"/>
        <w:tabs>
          <w:tab w:leader="none" w:pos="10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By: /s/ Amy Allbach Samford</w:t>
      </w:r>
    </w:p>
    <w:p>
      <w:pPr>
        <w:spacing w:after="0" w:line="2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Amy Allbach Samford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-130175</wp:posOffset>
            </wp:positionV>
            <wp:extent cx="26244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24455" cy="825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Vice President and Chief Financial Officer</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335"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Quarterly Report of CompX International Inc. (the Company) on Form 10-Q for the period ending September 30, 2020 as filed with the Securities and Exchange Commission on the date hereof (the Report), I, Scott C. James, President and Chief Executive Officer of the Company and I, Amy Allbach Samford, Vice President and Chief Financial Officer of the Company, certify, pursuant to 18 U.S.C. §1350, as adopted pursuant to §906 of the Sarbanes-Oxley Act of 2002, that:</w:t>
      </w:r>
    </w:p>
    <w:p>
      <w:pPr>
        <w:spacing w:after="0" w:line="83" w:lineRule="exact"/>
        <w:rPr>
          <w:sz w:val="20"/>
          <w:szCs w:val="20"/>
          <w:color w:val="auto"/>
        </w:rPr>
      </w:pPr>
    </w:p>
    <w:p>
      <w:pPr>
        <w:ind w:left="1020" w:hanging="50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Scott C. James</w:t>
      </w:r>
    </w:p>
    <w:p>
      <w:pPr>
        <w:spacing w:after="0" w:line="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-130175</wp:posOffset>
            </wp:positionV>
            <wp:extent cx="25393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President and Chief Executive Officer</w:t>
      </w:r>
    </w:p>
    <w:p>
      <w:pPr>
        <w:spacing w:after="0" w:line="23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Amy Allbach Samford</w:t>
      </w:r>
    </w:p>
    <w:p>
      <w:pPr>
        <w:spacing w:after="0" w:line="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Amy Allbach Samford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-130175</wp:posOffset>
            </wp:positionV>
            <wp:extent cx="25393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Vice President and Chief Financial Officer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2020</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 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04"/>
    </w:lvl>
    <w:lvl w:ilvl="1">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2020-11-04T15:31:32Z</dcterms:created>
  <dcterms:modified xsi:type="dcterms:W3CDTF">2020-11-04T15:31:32Z</dcterms:modified>
</cp:coreProperties>
</file>