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the earliest event reported)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May 27, 2020</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90"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269875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w:t>
      </w:r>
    </w:p>
    <w:p>
      <w:pPr>
        <w:spacing w:after="0" w:line="165" w:lineRule="exact"/>
        <w:rPr>
          <w:sz w:val="24"/>
          <w:szCs w:val="24"/>
          <w:color w:val="auto"/>
        </w:rPr>
      </w:pPr>
    </w:p>
    <w:p>
      <w:pPr>
        <w:ind w:left="800" w:hanging="477"/>
        <w:spacing w:after="0"/>
        <w:tabs>
          <w:tab w:leader="none" w:pos="800" w:val="left"/>
        </w:tabs>
        <w:numPr>
          <w:ilvl w:val="0"/>
          <w:numId w:val="1"/>
        </w:numPr>
        <w:rPr>
          <w:rFonts w:ascii="Arial" w:cs="Arial" w:eastAsia="Arial" w:hAnsi="Arial"/>
          <w:sz w:val="25"/>
          <w:szCs w:val="25"/>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sz w:val="24"/>
          <w:szCs w:val="24"/>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Soliciting material pursuant to Rule 14a-12 under the Exchange Act (17 CFR 240.14a-12)</w:t>
      </w:r>
    </w:p>
    <w:p>
      <w:pPr>
        <w:spacing w:after="0" w:line="260" w:lineRule="exact"/>
        <w:rPr>
          <w:rFonts w:ascii="MS PGothic" w:cs="MS PGothic" w:eastAsia="MS PGothic" w:hAnsi="MS PGothic"/>
          <w:sz w:val="25"/>
          <w:szCs w:val="25"/>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14d-2(b) under the Exchange Act (17 CFR 240.14d-2(b))</w:t>
      </w:r>
    </w:p>
    <w:p>
      <w:pPr>
        <w:spacing w:after="0" w:line="260" w:lineRule="exact"/>
        <w:rPr>
          <w:rFonts w:ascii="MS PGothic" w:cs="MS PGothic" w:eastAsia="MS PGothic" w:hAnsi="MS PGothic"/>
          <w:sz w:val="25"/>
          <w:szCs w:val="25"/>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4"/>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7"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(17 CFR §230.405) or Rule 12b-2 of the Securities Exchange Act of 1934 (17 CFR §240.12b-2).</w:t>
      </w:r>
    </w:p>
    <w:p>
      <w:pPr>
        <w:spacing w:after="0" w:line="213" w:lineRule="exact"/>
        <w:rPr>
          <w:sz w:val="24"/>
          <w:szCs w:val="24"/>
          <w:color w:val="auto"/>
        </w:rPr>
      </w:pPr>
    </w:p>
    <w:p>
      <w:pPr>
        <w:jc w:val="right"/>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381"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5.07</w:t>
      </w:r>
      <w:r>
        <w:rPr>
          <w:sz w:val="20"/>
          <w:szCs w:val="20"/>
          <w:color w:val="auto"/>
        </w:rPr>
        <w:tab/>
      </w:r>
      <w:r>
        <w:rPr>
          <w:rFonts w:ascii="Arial" w:cs="Arial" w:eastAsia="Arial" w:hAnsi="Arial"/>
          <w:sz w:val="19"/>
          <w:szCs w:val="19"/>
          <w:b w:val="1"/>
          <w:bCs w:val="1"/>
          <w:color w:val="auto"/>
        </w:rPr>
        <w:t>Submission of Matters to a Vote of Security Holders.</w:t>
      </w:r>
    </w:p>
    <w:p>
      <w:pPr>
        <w:spacing w:after="0" w:line="2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registrant held its 2020 annual meeting of stockholders on May 27, 2020. At the 2020 annual meeting, the registrant’s stockholders voted on the two proposals described in detail in the registrant’s definitive proxy statement on Schedule 14A filed with the U.S. Securities and Exchange Commission on April 16, 2020. Stockholders present at the 2020 annual meeting, either in person or by proxy, represented 97.4% of the 12,443,057 shares eligible to vote at the meeting.</w:t>
      </w:r>
    </w:p>
    <w:p>
      <w:pPr>
        <w:spacing w:after="0" w:line="170" w:lineRule="exact"/>
        <w:rPr>
          <w:sz w:val="20"/>
          <w:szCs w:val="20"/>
          <w:color w:val="auto"/>
        </w:rPr>
      </w:pPr>
    </w:p>
    <w:p>
      <w:pPr>
        <w:spacing w:after="0"/>
        <w:tabs>
          <w:tab w:leader="none" w:pos="2960" w:val="left"/>
        </w:tabs>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ROPOSAL</w:t>
      </w:r>
      <w:r>
        <w:rPr>
          <w:rFonts w:ascii="Arial" w:cs="Arial" w:eastAsia="Arial" w:hAnsi="Arial"/>
          <w:sz w:val="22"/>
          <w:szCs w:val="22"/>
          <w:color w:val="auto"/>
        </w:rPr>
        <w:t xml:space="preserve"> 1:</w:t>
      </w:r>
      <w:r>
        <w:rPr>
          <w:sz w:val="20"/>
          <w:szCs w:val="20"/>
          <w:color w:val="auto"/>
        </w:rPr>
        <w:tab/>
      </w:r>
      <w:r>
        <w:rPr>
          <w:rFonts w:ascii="Arial" w:cs="Arial" w:eastAsia="Arial" w:hAnsi="Arial"/>
          <w:sz w:val="20"/>
          <w:szCs w:val="20"/>
          <w:color w:val="auto"/>
        </w:rPr>
        <w:t>E</w:t>
      </w:r>
      <w:r>
        <w:rPr>
          <w:rFonts w:ascii="Arial" w:cs="Arial" w:eastAsia="Arial" w:hAnsi="Arial"/>
          <w:sz w:val="13"/>
          <w:szCs w:val="13"/>
          <w:color w:val="auto"/>
        </w:rPr>
        <w:t>LECTION OF</w:t>
      </w:r>
      <w:r>
        <w:rPr>
          <w:rFonts w:ascii="Arial" w:cs="Arial" w:eastAsia="Arial" w:hAnsi="Arial"/>
          <w:sz w:val="20"/>
          <w:szCs w:val="20"/>
          <w:color w:val="auto"/>
        </w:rPr>
        <w:t xml:space="preserve"> D</w:t>
      </w:r>
      <w:r>
        <w:rPr>
          <w:rFonts w:ascii="Arial" w:cs="Arial" w:eastAsia="Arial" w:hAnsi="Arial"/>
          <w:sz w:val="13"/>
          <w:szCs w:val="13"/>
          <w:color w:val="auto"/>
        </w:rPr>
        <w:t>IRECTORS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registrant’s stockholders elected Thomas E. Barry, David A. Bowers, Loretta J. Feehan, Robert D. Graham, Terri L. Herrington, Ann Manix and Mary A. Tidlund as directors. Each director nominee received votes “For” his or her election from at least 92.9% of the shares eligible to vote at the annual meeting.</w:t>
      </w:r>
    </w:p>
    <w:p>
      <w:pPr>
        <w:spacing w:after="0" w:line="213" w:lineRule="exact"/>
        <w:rPr>
          <w:sz w:val="20"/>
          <w:szCs w:val="20"/>
          <w:color w:val="auto"/>
        </w:rPr>
      </w:pPr>
    </w:p>
    <w:p>
      <w:pPr>
        <w:spacing w:after="0"/>
        <w:tabs>
          <w:tab w:leader="none" w:pos="2960" w:val="left"/>
        </w:tabs>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ROPOSAL</w:t>
      </w:r>
      <w:r>
        <w:rPr>
          <w:rFonts w:ascii="Arial" w:cs="Arial" w:eastAsia="Arial" w:hAnsi="Arial"/>
          <w:sz w:val="22"/>
          <w:szCs w:val="22"/>
          <w:color w:val="auto"/>
        </w:rPr>
        <w:t xml:space="preserve"> 2:</w:t>
      </w:r>
      <w:r>
        <w:rPr>
          <w:sz w:val="20"/>
          <w:szCs w:val="20"/>
          <w:color w:val="auto"/>
        </w:rPr>
        <w:tab/>
      </w:r>
      <w:r>
        <w:rPr>
          <w:rFonts w:ascii="Arial" w:cs="Arial" w:eastAsia="Arial" w:hAnsi="Arial"/>
          <w:sz w:val="22"/>
          <w:szCs w:val="22"/>
          <w:color w:val="auto"/>
        </w:rPr>
        <w:t>S</w:t>
      </w:r>
      <w:r>
        <w:rPr>
          <w:rFonts w:ascii="Arial" w:cs="Arial" w:eastAsia="Arial" w:hAnsi="Arial"/>
          <w:sz w:val="14"/>
          <w:szCs w:val="14"/>
          <w:color w:val="auto"/>
        </w:rPr>
        <w:t>AY</w:t>
      </w:r>
      <w:r>
        <w:rPr>
          <w:rFonts w:ascii="Arial" w:cs="Arial" w:eastAsia="Arial" w:hAnsi="Arial"/>
          <w:sz w:val="22"/>
          <w:szCs w:val="22"/>
          <w:color w:val="auto"/>
        </w:rPr>
        <w:t>-</w:t>
      </w:r>
      <w:r>
        <w:rPr>
          <w:rFonts w:ascii="Arial" w:cs="Arial" w:eastAsia="Arial" w:hAnsi="Arial"/>
          <w:sz w:val="14"/>
          <w:szCs w:val="14"/>
          <w:color w:val="auto"/>
        </w:rPr>
        <w:t>ON</w:t>
      </w:r>
      <w:r>
        <w:rPr>
          <w:rFonts w:ascii="Arial" w:cs="Arial" w:eastAsia="Arial" w:hAnsi="Arial"/>
          <w:sz w:val="22"/>
          <w:szCs w:val="22"/>
          <w:color w:val="auto"/>
        </w:rPr>
        <w:t>-P</w:t>
      </w:r>
      <w:r>
        <w:rPr>
          <w:rFonts w:ascii="Arial" w:cs="Arial" w:eastAsia="Arial" w:hAnsi="Arial"/>
          <w:sz w:val="14"/>
          <w:szCs w:val="14"/>
          <w:color w:val="auto"/>
        </w:rPr>
        <w:t>AY</w:t>
      </w:r>
      <w:r>
        <w:rPr>
          <w:rFonts w:ascii="Arial" w:cs="Arial" w:eastAsia="Arial" w:hAnsi="Arial"/>
          <w:sz w:val="22"/>
          <w:szCs w:val="22"/>
          <w:color w:val="auto"/>
        </w:rPr>
        <w:t>, N</w:t>
      </w:r>
      <w:r>
        <w:rPr>
          <w:rFonts w:ascii="Arial" w:cs="Arial" w:eastAsia="Arial" w:hAnsi="Arial"/>
          <w:sz w:val="14"/>
          <w:szCs w:val="14"/>
          <w:color w:val="auto"/>
        </w:rPr>
        <w:t>ONBINDING</w:t>
      </w:r>
      <w:r>
        <w:rPr>
          <w:rFonts w:ascii="Arial" w:cs="Arial" w:eastAsia="Arial" w:hAnsi="Arial"/>
          <w:sz w:val="22"/>
          <w:szCs w:val="22"/>
          <w:color w:val="auto"/>
        </w:rPr>
        <w:t xml:space="preserve"> A</w:t>
      </w:r>
      <w:r>
        <w:rPr>
          <w:rFonts w:ascii="Arial" w:cs="Arial" w:eastAsia="Arial" w:hAnsi="Arial"/>
          <w:sz w:val="14"/>
          <w:szCs w:val="14"/>
          <w:color w:val="auto"/>
        </w:rPr>
        <w:t>DVISORY</w:t>
      </w:r>
      <w:r>
        <w:rPr>
          <w:rFonts w:ascii="Arial" w:cs="Arial" w:eastAsia="Arial" w:hAnsi="Arial"/>
          <w:sz w:val="22"/>
          <w:szCs w:val="22"/>
          <w:color w:val="auto"/>
        </w:rPr>
        <w:t xml:space="preserve"> V</w:t>
      </w:r>
      <w:r>
        <w:rPr>
          <w:rFonts w:ascii="Arial" w:cs="Arial" w:eastAsia="Arial" w:hAnsi="Arial"/>
          <w:sz w:val="14"/>
          <w:szCs w:val="14"/>
          <w:color w:val="auto"/>
        </w:rPr>
        <w:t>OTE</w:t>
      </w:r>
      <w:r>
        <w:rPr>
          <w:rFonts w:ascii="Arial" w:cs="Arial" w:eastAsia="Arial" w:hAnsi="Arial"/>
          <w:sz w:val="22"/>
          <w:szCs w:val="22"/>
          <w:color w:val="auto"/>
        </w:rPr>
        <w:t xml:space="preserve"> A</w:t>
      </w:r>
      <w:r>
        <w:rPr>
          <w:rFonts w:ascii="Arial" w:cs="Arial" w:eastAsia="Arial" w:hAnsi="Arial"/>
          <w:sz w:val="14"/>
          <w:szCs w:val="14"/>
          <w:color w:val="auto"/>
        </w:rPr>
        <w:t>PPROVING</w:t>
      </w:r>
      <w:r>
        <w:rPr>
          <w:rFonts w:ascii="Arial" w:cs="Arial" w:eastAsia="Arial" w:hAnsi="Arial"/>
          <w:sz w:val="22"/>
          <w:szCs w:val="22"/>
          <w:color w:val="auto"/>
        </w:rPr>
        <w:t xml:space="preserve"> E</w:t>
      </w:r>
      <w:r>
        <w:rPr>
          <w:rFonts w:ascii="Arial" w:cs="Arial" w:eastAsia="Arial" w:hAnsi="Arial"/>
          <w:sz w:val="14"/>
          <w:szCs w:val="14"/>
          <w:color w:val="auto"/>
        </w:rPr>
        <w:t>XECUTIVE</w:t>
      </w:r>
      <w:r>
        <w:rPr>
          <w:rFonts w:ascii="Arial" w:cs="Arial" w:eastAsia="Arial" w:hAnsi="Arial"/>
          <w:sz w:val="22"/>
          <w:szCs w:val="22"/>
          <w:color w:val="auto"/>
        </w:rPr>
        <w:t xml:space="preserve"> C</w:t>
      </w:r>
      <w:r>
        <w:rPr>
          <w:rFonts w:ascii="Arial" w:cs="Arial" w:eastAsia="Arial" w:hAnsi="Arial"/>
          <w:sz w:val="14"/>
          <w:szCs w:val="14"/>
          <w:color w:val="auto"/>
        </w:rPr>
        <w:t>OMPENSATION</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registrant’s stockholders adopted a resolution, on a nonbinding advisory basis, approving the compensation of the registrant’s named executive officers as described in the registrant’s 2020 proxy statement. The resolution received the approval from 93.5% of the shares eligible to vote at the annual meeting.</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registrant hereby furnishes the information set forth in its press release issued on May 27, 2020, a copy of which is attached hereto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60" w:type="dxa"/>
            <w:vAlign w:val="bottom"/>
          </w:tcPr>
          <w:p>
            <w:pPr>
              <w:spacing w:after="0"/>
              <w:rPr>
                <w:sz w:val="20"/>
                <w:szCs w:val="20"/>
                <w:color w:val="auto"/>
              </w:rPr>
            </w:pPr>
            <w:r>
              <w:rPr>
                <w:rFonts w:ascii="Arial" w:cs="Arial" w:eastAsia="Arial" w:hAnsi="Arial"/>
                <w:sz w:val="22"/>
                <w:szCs w:val="22"/>
                <w:color w:val="auto"/>
              </w:rPr>
              <w:t>(d)</w:t>
            </w:r>
          </w:p>
        </w:tc>
        <w:tc>
          <w:tcPr>
            <w:tcW w:w="2440" w:type="dxa"/>
            <w:vAlign w:val="bottom"/>
            <w:gridSpan w:val="2"/>
          </w:tcPr>
          <w:p>
            <w:pPr>
              <w:ind w:left="200"/>
              <w:spacing w:after="0"/>
              <w:rPr>
                <w:sz w:val="20"/>
                <w:szCs w:val="20"/>
                <w:color w:val="auto"/>
              </w:rPr>
            </w:pPr>
            <w:r>
              <w:rPr>
                <w:rFonts w:ascii="Arial" w:cs="Arial" w:eastAsia="Arial" w:hAnsi="Arial"/>
                <w:sz w:val="22"/>
                <w:szCs w:val="22"/>
                <w:color w:val="auto"/>
              </w:rPr>
              <w:t>Exhibits</w:t>
            </w:r>
          </w:p>
        </w:tc>
        <w:tc>
          <w:tcPr>
            <w:tcW w:w="300" w:type="dxa"/>
            <w:vAlign w:val="bottom"/>
          </w:tcPr>
          <w:p>
            <w:pPr>
              <w:spacing w:after="0"/>
              <w:rPr>
                <w:sz w:val="23"/>
                <w:szCs w:val="23"/>
                <w:color w:val="auto"/>
              </w:rPr>
            </w:pPr>
          </w:p>
        </w:tc>
        <w:tc>
          <w:tcPr>
            <w:tcW w:w="8040" w:type="dxa"/>
            <w:vAlign w:val="bottom"/>
          </w:tcPr>
          <w:p>
            <w:pPr>
              <w:spacing w:after="0"/>
              <w:rPr>
                <w:sz w:val="23"/>
                <w:szCs w:val="23"/>
                <w:color w:val="auto"/>
              </w:rPr>
            </w:pPr>
          </w:p>
        </w:tc>
      </w:tr>
      <w:tr>
        <w:trPr>
          <w:trHeight w:val="456"/>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Item No.</w:t>
            </w:r>
          </w:p>
        </w:tc>
        <w:tc>
          <w:tcPr>
            <w:tcW w:w="300" w:type="dxa"/>
            <w:vAlign w:val="bottom"/>
          </w:tcPr>
          <w:p>
            <w:pPr>
              <w:spacing w:after="0"/>
              <w:rPr>
                <w:sz w:val="24"/>
                <w:szCs w:val="24"/>
                <w:color w:val="auto"/>
              </w:rPr>
            </w:pPr>
          </w:p>
        </w:tc>
        <w:tc>
          <w:tcPr>
            <w:tcW w:w="8040" w:type="dxa"/>
            <w:vAlign w:val="bottom"/>
            <w:tcBorders>
              <w:bottom w:val="single" w:sz="8" w:color="auto"/>
            </w:tcBorders>
          </w:tcPr>
          <w:p>
            <w:pPr>
              <w:ind w:left="3400"/>
              <w:spacing w:after="0"/>
              <w:rPr>
                <w:sz w:val="20"/>
                <w:szCs w:val="20"/>
                <w:color w:val="auto"/>
              </w:rPr>
            </w:pPr>
            <w:r>
              <w:rPr>
                <w:rFonts w:ascii="Arial" w:cs="Arial" w:eastAsia="Arial" w:hAnsi="Arial"/>
                <w:sz w:val="22"/>
                <w:szCs w:val="22"/>
                <w:b w:val="1"/>
                <w:bCs w:val="1"/>
                <w:color w:val="auto"/>
              </w:rPr>
              <w:t>Exhibit Index</w:t>
            </w:r>
          </w:p>
        </w:tc>
      </w:tr>
      <w:tr>
        <w:trPr>
          <w:trHeight w:val="469"/>
        </w:trPr>
        <w:tc>
          <w:tcPr>
            <w:tcW w:w="460" w:type="dxa"/>
            <w:vAlign w:val="bottom"/>
          </w:tcPr>
          <w:p>
            <w:pPr>
              <w:spacing w:after="0"/>
              <w:rPr>
                <w:sz w:val="24"/>
                <w:szCs w:val="24"/>
                <w:color w:val="auto"/>
              </w:rPr>
            </w:pPr>
          </w:p>
        </w:tc>
        <w:tc>
          <w:tcPr>
            <w:tcW w:w="2440" w:type="dxa"/>
            <w:vAlign w:val="bottom"/>
            <w:gridSpan w:val="2"/>
          </w:tcPr>
          <w:p>
            <w:pPr>
              <w:jc w:val="right"/>
              <w:ind w:right="812"/>
              <w:spacing w:after="0"/>
              <w:rPr>
                <w:sz w:val="20"/>
                <w:szCs w:val="20"/>
                <w:color w:val="auto"/>
              </w:rPr>
            </w:pPr>
            <w:r>
              <w:rPr>
                <w:rFonts w:ascii="Arial" w:cs="Arial" w:eastAsia="Arial" w:hAnsi="Arial"/>
                <w:sz w:val="22"/>
                <w:szCs w:val="22"/>
                <w:color w:val="auto"/>
              </w:rPr>
              <w:t>99.1</w:t>
            </w:r>
          </w:p>
        </w:tc>
        <w:tc>
          <w:tcPr>
            <w:tcW w:w="8340" w:type="dxa"/>
            <w:vAlign w:val="bottom"/>
            <w:gridSpan w:val="2"/>
          </w:tcPr>
          <w:p>
            <w:pPr>
              <w:ind w:left="300"/>
              <w:spacing w:after="0"/>
              <w:rPr>
                <w:rFonts w:ascii="Arial" w:cs="Arial" w:eastAsia="Arial" w:hAnsi="Arial"/>
                <w:sz w:val="22"/>
                <w:szCs w:val="22"/>
                <w:color w:val="0000EE"/>
              </w:rPr>
            </w:pPr>
            <w:hyperlink w:anchor="page4">
              <w:r>
                <w:rPr>
                  <w:rFonts w:ascii="Arial" w:cs="Arial" w:eastAsia="Arial" w:hAnsi="Arial"/>
                  <w:sz w:val="22"/>
                  <w:szCs w:val="22"/>
                  <w:u w:val="single" w:color="auto"/>
                  <w:color w:val="0000EE"/>
                </w:rPr>
                <w:t>Press release dated May 27, 2020 issued by the registrant</w:t>
              </w:r>
            </w:hyperlink>
            <w:r>
              <w:rPr>
                <w:rFonts w:ascii="Arial" w:cs="Arial" w:eastAsia="Arial" w:hAnsi="Arial"/>
                <w:sz w:val="22"/>
                <w:szCs w:val="22"/>
                <w:color w:val="000000"/>
              </w:rPr>
              <w:t>.</w:t>
            </w:r>
          </w:p>
        </w:tc>
      </w:tr>
      <w:tr>
        <w:trPr>
          <w:trHeight w:val="658"/>
        </w:trPr>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8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980" w:type="dxa"/>
            <w:vAlign w:val="bottom"/>
            <w:gridSpan w:val="2"/>
          </w:tcPr>
          <w:p>
            <w:pPr>
              <w:ind w:left="5580"/>
              <w:spacing w:after="0"/>
              <w:rPr>
                <w:sz w:val="20"/>
                <w:szCs w:val="20"/>
                <w:color w:val="auto"/>
              </w:rPr>
            </w:pPr>
            <w:r>
              <w:rPr>
                <w:rFonts w:ascii="Arial" w:cs="Arial" w:eastAsia="Arial" w:hAnsi="Arial"/>
                <w:sz w:val="22"/>
                <w:szCs w:val="22"/>
                <w:color w:val="auto"/>
              </w:rPr>
              <w:t>By:</w:t>
            </w:r>
          </w:p>
        </w:tc>
        <w:tc>
          <w:tcPr>
            <w:tcW w:w="5260" w:type="dxa"/>
            <w:vAlign w:val="bottom"/>
          </w:tcPr>
          <w:p>
            <w:pPr>
              <w:ind w:left="380"/>
              <w:spacing w:after="0"/>
              <w:rPr>
                <w:sz w:val="20"/>
                <w:szCs w:val="20"/>
                <w:color w:val="auto"/>
              </w:rPr>
            </w:pPr>
            <w:r>
              <w:rPr>
                <w:rFonts w:ascii="Arial" w:cs="Arial" w:eastAsia="Arial" w:hAnsi="Arial"/>
                <w:sz w:val="22"/>
                <w:szCs w:val="22"/>
                <w:color w:val="auto"/>
              </w:rPr>
              <w:t>/s/ Jane Grimm</w:t>
            </w:r>
          </w:p>
        </w:tc>
      </w:tr>
      <w:tr>
        <w:trPr>
          <w:trHeight w:val="274"/>
        </w:trPr>
        <w:tc>
          <w:tcPr>
            <w:tcW w:w="5580" w:type="dxa"/>
            <w:vAlign w:val="bottom"/>
          </w:tcPr>
          <w:p>
            <w:pPr>
              <w:spacing w:after="0"/>
              <w:rPr>
                <w:sz w:val="20"/>
                <w:szCs w:val="20"/>
                <w:color w:val="auto"/>
              </w:rPr>
            </w:pPr>
            <w:r>
              <w:rPr>
                <w:rFonts w:ascii="Arial" w:cs="Arial" w:eastAsia="Arial" w:hAnsi="Arial"/>
                <w:sz w:val="22"/>
                <w:szCs w:val="22"/>
                <w:color w:val="auto"/>
              </w:rPr>
              <w:t>Date: May 27, 2020</w:t>
            </w:r>
          </w:p>
        </w:tc>
        <w:tc>
          <w:tcPr>
            <w:tcW w:w="400" w:type="dxa"/>
            <w:vAlign w:val="bottom"/>
            <w:tcBorders>
              <w:top w:val="single" w:sz="8" w:color="auto"/>
            </w:tcBorders>
          </w:tcPr>
          <w:p>
            <w:pPr>
              <w:spacing w:after="0"/>
              <w:rPr>
                <w:sz w:val="23"/>
                <w:szCs w:val="23"/>
                <w:color w:val="auto"/>
              </w:rPr>
            </w:pPr>
          </w:p>
        </w:tc>
        <w:tc>
          <w:tcPr>
            <w:tcW w:w="5260" w:type="dxa"/>
            <w:vAlign w:val="bottom"/>
            <w:tcBorders>
              <w:top w:val="single" w:sz="8" w:color="auto"/>
            </w:tcBorders>
          </w:tcPr>
          <w:p>
            <w:pPr>
              <w:ind w:left="80"/>
              <w:spacing w:after="0"/>
              <w:rPr>
                <w:sz w:val="20"/>
                <w:szCs w:val="20"/>
                <w:color w:val="auto"/>
              </w:rPr>
            </w:pPr>
            <w:r>
              <w:rPr>
                <w:rFonts w:ascii="Arial" w:cs="Arial" w:eastAsia="Arial" w:hAnsi="Arial"/>
                <w:sz w:val="22"/>
                <w:szCs w:val="22"/>
                <w:i w:val="1"/>
                <w:iCs w:val="1"/>
                <w:color w:val="auto"/>
              </w:rPr>
              <w:t>Jane Grimm, Vice President and Secretary</w:t>
            </w: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060" w:space="720"/>
            <w:col w:w="446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060" w:space="720"/>
            <w:col w:w="4460"/>
          </w:cols>
          <w:pgMar w:left="320" w:top="1440" w:right="3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COMPX ANNOUNCES REGULAR QUARTERLY DIVIDEND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w:t>
      </w:r>
    </w:p>
    <w:p>
      <w:pPr>
        <w:jc w:val="center"/>
        <w:ind w:right="-19"/>
        <w:spacing w:after="0"/>
        <w:rPr>
          <w:sz w:val="20"/>
          <w:szCs w:val="20"/>
          <w:color w:val="auto"/>
        </w:rPr>
      </w:pPr>
      <w:r>
        <w:rPr>
          <w:rFonts w:ascii="Arial" w:cs="Arial" w:eastAsia="Arial" w:hAnsi="Arial"/>
          <w:sz w:val="22"/>
          <w:szCs w:val="22"/>
          <w:b w:val="1"/>
          <w:bCs w:val="1"/>
          <w:color w:val="auto"/>
        </w:rPr>
        <w:t>RESULTS OF THE ANNUAL STOCKHOLDER MEETING</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DALLAS, TEXAS . . . May 27, 2020 . . . CompX International Inc. (NYSE American: CIX) announced today that its board of directors has declared CompX’s regular quarterly dividend of ten cents ($0.10) per share on its class A common stock, payable on June 16, 2020 to stockholders of record at the close of business on June 9, 2020.</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also announced that at its annual stockholder meeting held on May 27, 2020, its stockholders:</w:t>
      </w:r>
    </w:p>
    <w:p>
      <w:pPr>
        <w:spacing w:after="0" w:line="233" w:lineRule="exact"/>
        <w:rPr>
          <w:sz w:val="20"/>
          <w:szCs w:val="20"/>
          <w:color w:val="auto"/>
        </w:rPr>
      </w:pPr>
    </w:p>
    <w:p>
      <w:pPr>
        <w:ind w:left="1300" w:hanging="644"/>
        <w:spacing w:after="0" w:line="250"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elected each of Thomas E. Barry, David A. Bowers, Loretta J. Feehan, Robert D. Graham, Terri L. Herrington, Ann Manix and Mary A. Tidlund as a director for a one year term; and</w:t>
      </w:r>
    </w:p>
    <w:p>
      <w:pPr>
        <w:spacing w:after="0" w:line="201" w:lineRule="exact"/>
        <w:rPr>
          <w:rFonts w:ascii="Arial" w:cs="Arial" w:eastAsia="Arial" w:hAnsi="Arial"/>
          <w:sz w:val="22"/>
          <w:szCs w:val="22"/>
          <w:color w:val="auto"/>
        </w:rPr>
      </w:pPr>
    </w:p>
    <w:p>
      <w:pPr>
        <w:ind w:left="1300" w:right="520" w:hanging="644"/>
        <w:spacing w:after="0" w:line="274" w:lineRule="auto"/>
        <w:tabs>
          <w:tab w:leader="none" w:pos="1300" w:val="left"/>
        </w:tabs>
        <w:numPr>
          <w:ilvl w:val="0"/>
          <w:numId w:val="3"/>
        </w:numPr>
        <w:rPr>
          <w:rFonts w:ascii="Arial" w:cs="Arial" w:eastAsia="Arial" w:hAnsi="Arial"/>
          <w:sz w:val="21"/>
          <w:szCs w:val="21"/>
          <w:color w:val="auto"/>
        </w:rPr>
      </w:pPr>
      <w:r>
        <w:rPr>
          <w:rFonts w:ascii="Arial" w:cs="Arial" w:eastAsia="Arial" w:hAnsi="Arial"/>
          <w:sz w:val="21"/>
          <w:szCs w:val="21"/>
          <w:color w:val="auto"/>
        </w:rPr>
        <w:t>adopted a resolution that approved, on a nonbinding advisory basis, the compensation of its named executive officers as disclosed in the proxy statement for the 2020 annual stockholder meeting.</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2020-05-27T15:21:51Z</dcterms:created>
  <dcterms:modified xsi:type="dcterms:W3CDTF">2020-05-27T15:21:51Z</dcterms:modified>
</cp:coreProperties>
</file>