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the earliest event reported)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February 26, 2020</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90" w:lineRule="exact"/>
        <w:rPr>
          <w:sz w:val="24"/>
          <w:szCs w:val="24"/>
          <w:color w:val="auto"/>
        </w:rPr>
      </w:pPr>
    </w:p>
    <w:tbl>
      <w:tblPr>
        <w:tblLayout w:type="fixed"/>
        <w:tblInd w:w="320" w:type="dxa"/>
        <w:tblCellMar>
          <w:top w:w="0" w:type="dxa"/>
          <w:left w:w="0" w:type="dxa"/>
          <w:bottom w:w="0" w:type="dxa"/>
          <w:right w:w="0" w:type="dxa"/>
        </w:tblCellMar>
      </w:tblPr>
      <w:tr>
        <w:trPr>
          <w:trHeight w:val="256"/>
        </w:trPr>
        <w:tc>
          <w:tcPr>
            <w:tcW w:w="4040" w:type="dxa"/>
            <w:vAlign w:val="bottom"/>
          </w:tcPr>
          <w:p>
            <w:pPr>
              <w:jc w:val="center"/>
              <w:ind w:right="781"/>
              <w:spacing w:after="0"/>
              <w:rPr>
                <w:sz w:val="20"/>
                <w:szCs w:val="20"/>
                <w:color w:val="auto"/>
              </w:rPr>
            </w:pPr>
            <w:r>
              <w:rPr>
                <w:rFonts w:ascii="Arial" w:cs="Arial" w:eastAsia="Arial" w:hAnsi="Arial"/>
                <w:sz w:val="22"/>
                <w:szCs w:val="22"/>
                <w:b w:val="1"/>
                <w:bCs w:val="1"/>
                <w:color w:val="auto"/>
                <w:w w:val="91"/>
              </w:rPr>
              <w:t>Delaware</w:t>
            </w:r>
          </w:p>
        </w:tc>
        <w:tc>
          <w:tcPr>
            <w:tcW w:w="3160" w:type="dxa"/>
            <w:vAlign w:val="bottom"/>
          </w:tcPr>
          <w:p>
            <w:pPr>
              <w:jc w:val="center"/>
              <w:ind w:right="384"/>
              <w:spacing w:after="0"/>
              <w:rPr>
                <w:sz w:val="20"/>
                <w:szCs w:val="20"/>
                <w:color w:val="auto"/>
              </w:rPr>
            </w:pPr>
            <w:r>
              <w:rPr>
                <w:rFonts w:ascii="Arial" w:cs="Arial" w:eastAsia="Arial" w:hAnsi="Arial"/>
                <w:sz w:val="22"/>
                <w:szCs w:val="22"/>
                <w:b w:val="1"/>
                <w:bCs w:val="1"/>
                <w:color w:val="auto"/>
                <w:w w:val="89"/>
              </w:rPr>
              <w:t>1-13905</w:t>
            </w:r>
          </w:p>
        </w:tc>
        <w:tc>
          <w:tcPr>
            <w:tcW w:w="2660" w:type="dxa"/>
            <w:vAlign w:val="bottom"/>
          </w:tcPr>
          <w:p>
            <w:pPr>
              <w:jc w:val="center"/>
              <w:ind w:left="1243"/>
              <w:spacing w:after="0"/>
              <w:rPr>
                <w:sz w:val="20"/>
                <w:szCs w:val="20"/>
                <w:color w:val="auto"/>
              </w:rPr>
            </w:pPr>
            <w:r>
              <w:rPr>
                <w:rFonts w:ascii="Arial" w:cs="Arial" w:eastAsia="Arial" w:hAnsi="Arial"/>
                <w:sz w:val="22"/>
                <w:szCs w:val="22"/>
                <w:b w:val="1"/>
                <w:bCs w:val="1"/>
                <w:color w:val="auto"/>
                <w:w w:val="88"/>
              </w:rPr>
              <w:t>57-0981653</w:t>
            </w:r>
          </w:p>
        </w:tc>
      </w:tr>
      <w:tr>
        <w:trPr>
          <w:trHeight w:val="216"/>
        </w:trPr>
        <w:tc>
          <w:tcPr>
            <w:tcW w:w="4040" w:type="dxa"/>
            <w:vAlign w:val="bottom"/>
          </w:tcPr>
          <w:p>
            <w:pPr>
              <w:jc w:val="center"/>
              <w:ind w:right="781"/>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64"/>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23"/>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64"/>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23"/>
              <w:spacing w:after="0"/>
              <w:rPr>
                <w:sz w:val="20"/>
                <w:szCs w:val="20"/>
                <w:color w:val="auto"/>
              </w:rPr>
            </w:pPr>
            <w:r>
              <w:rPr>
                <w:rFonts w:ascii="Arial" w:cs="Arial" w:eastAsia="Arial" w:hAnsi="Arial"/>
                <w:sz w:val="18"/>
                <w:szCs w:val="18"/>
                <w:color w:val="auto"/>
                <w:w w:val="95"/>
              </w:rPr>
              <w:t>Identification No.)</w:t>
            </w:r>
          </w:p>
        </w:tc>
      </w:tr>
      <w:tr>
        <w:trPr>
          <w:trHeight w:val="661"/>
        </w:trPr>
        <w:tc>
          <w:tcPr>
            <w:tcW w:w="7200" w:type="dxa"/>
            <w:vAlign w:val="bottom"/>
            <w:gridSpan w:val="2"/>
          </w:tcPr>
          <w:p>
            <w:pPr>
              <w:jc w:val="center"/>
              <w:ind w:right="104"/>
              <w:spacing w:after="0"/>
              <w:rPr>
                <w:sz w:val="20"/>
                <w:szCs w:val="20"/>
                <w:color w:val="auto"/>
              </w:rPr>
            </w:pPr>
            <w:r>
              <w:rPr>
                <w:rFonts w:ascii="Arial" w:cs="Arial" w:eastAsia="Arial" w:hAnsi="Arial"/>
                <w:sz w:val="22"/>
                <w:szCs w:val="22"/>
                <w:b w:val="1"/>
                <w:bCs w:val="1"/>
                <w:color w:val="auto"/>
                <w:w w:val="88"/>
              </w:rPr>
              <w:t>5430 LBJ Freeway, Suite 1700, Dallas, Texas</w:t>
            </w:r>
          </w:p>
        </w:tc>
        <w:tc>
          <w:tcPr>
            <w:tcW w:w="2660" w:type="dxa"/>
            <w:vAlign w:val="bottom"/>
          </w:tcPr>
          <w:p>
            <w:pPr>
              <w:jc w:val="center"/>
              <w:ind w:left="1263"/>
              <w:spacing w:after="0"/>
              <w:rPr>
                <w:sz w:val="20"/>
                <w:szCs w:val="20"/>
                <w:color w:val="auto"/>
              </w:rPr>
            </w:pPr>
            <w:r>
              <w:rPr>
                <w:rFonts w:ascii="Arial" w:cs="Arial" w:eastAsia="Arial" w:hAnsi="Arial"/>
                <w:sz w:val="22"/>
                <w:szCs w:val="22"/>
                <w:b w:val="1"/>
                <w:bCs w:val="1"/>
                <w:color w:val="auto"/>
                <w:w w:val="90"/>
              </w:rPr>
              <w:t>75240-2620</w:t>
            </w:r>
          </w:p>
        </w:tc>
      </w:tr>
      <w:tr>
        <w:trPr>
          <w:trHeight w:val="230"/>
        </w:trPr>
        <w:tc>
          <w:tcPr>
            <w:tcW w:w="7200" w:type="dxa"/>
            <w:vAlign w:val="bottom"/>
            <w:gridSpan w:val="2"/>
          </w:tcPr>
          <w:p>
            <w:pPr>
              <w:jc w:val="center"/>
              <w:ind w:right="84"/>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63"/>
              <w:spacing w:after="0"/>
              <w:rPr>
                <w:sz w:val="20"/>
                <w:szCs w:val="20"/>
                <w:color w:val="auto"/>
              </w:rPr>
            </w:pPr>
            <w:r>
              <w:rPr>
                <w:rFonts w:ascii="Arial" w:cs="Arial" w:eastAsia="Arial" w:hAnsi="Arial"/>
                <w:sz w:val="18"/>
                <w:szCs w:val="18"/>
                <w:color w:val="auto"/>
                <w:w w:val="91"/>
              </w:rPr>
              <w:t>(Zip Code)</w:t>
            </w:r>
          </w:p>
        </w:tc>
      </w:tr>
    </w:tbl>
    <w:p>
      <w:pPr>
        <w:spacing w:after="0" w:line="8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201930</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8"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w:t>
      </w:r>
    </w:p>
    <w:p>
      <w:pPr>
        <w:spacing w:after="0" w:line="56" w:lineRule="exact"/>
        <w:rPr>
          <w:sz w:val="24"/>
          <w:szCs w:val="24"/>
          <w:color w:val="auto"/>
        </w:rPr>
      </w:pPr>
    </w:p>
    <w:p>
      <w:pPr>
        <w:ind w:left="800" w:hanging="470"/>
        <w:spacing w:after="0"/>
        <w:tabs>
          <w:tab w:leader="none" w:pos="800" w:val="left"/>
        </w:tabs>
        <w:numPr>
          <w:ilvl w:val="0"/>
          <w:numId w:val="1"/>
        </w:numPr>
        <w:rPr>
          <w:rFonts w:ascii="Arial" w:cs="Arial" w:eastAsia="Arial" w:hAnsi="Arial"/>
          <w:sz w:val="25"/>
          <w:szCs w:val="25"/>
          <w:color w:val="auto"/>
        </w:rPr>
      </w:pPr>
      <w:r>
        <w:rPr>
          <w:rFonts w:ascii="Arial" w:cs="Arial" w:eastAsia="Arial" w:hAnsi="Arial"/>
          <w:sz w:val="18"/>
          <w:szCs w:val="18"/>
          <w:color w:val="auto"/>
        </w:rPr>
        <w:t>Written communications pursuant to Rule 425 under the Securities Act (17 CFR 230.425)</w:t>
      </w:r>
    </w:p>
    <w:p>
      <w:pPr>
        <w:spacing w:after="0" w:line="260" w:lineRule="exact"/>
        <w:rPr>
          <w:sz w:val="24"/>
          <w:szCs w:val="24"/>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Soliciting material pursuant to Rule 14a-12 under the Exchange Act (17 CFR 240.14a-12)</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14d-2(b) under the Exchange Act (17 CFR 240.14d-2(b))</w:t>
      </w:r>
    </w:p>
    <w:p>
      <w:pPr>
        <w:spacing w:after="0" w:line="260" w:lineRule="exact"/>
        <w:rPr>
          <w:rFonts w:ascii="MS PGothic" w:cs="MS PGothic" w:eastAsia="MS PGothic" w:hAnsi="MS PGothic"/>
          <w:sz w:val="25"/>
          <w:szCs w:val="25"/>
          <w:color w:val="auto"/>
        </w:rPr>
      </w:pPr>
    </w:p>
    <w:p>
      <w:pPr>
        <w:ind w:left="800" w:hanging="508"/>
        <w:spacing w:after="0"/>
        <w:tabs>
          <w:tab w:leader="none" w:pos="800" w:val="left"/>
        </w:tabs>
        <w:numPr>
          <w:ilvl w:val="0"/>
          <w:numId w:val="2"/>
        </w:numPr>
        <w:rPr>
          <w:rFonts w:ascii="MS PGothic" w:cs="MS PGothic" w:eastAsia="MS PGothic" w:hAnsi="MS PGothic"/>
          <w:sz w:val="25"/>
          <w:szCs w:val="25"/>
          <w:color w:val="auto"/>
        </w:rPr>
      </w:pPr>
      <w:r>
        <w:rPr>
          <w:rFonts w:ascii="Arial" w:cs="Arial" w:eastAsia="Arial" w:hAnsi="Arial"/>
          <w:sz w:val="18"/>
          <w:szCs w:val="18"/>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5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8"/>
        </w:trPr>
        <w:tc>
          <w:tcPr>
            <w:tcW w:w="43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5"/>
                <w:szCs w:val="15"/>
                <w:color w:val="auto"/>
              </w:rPr>
            </w:pPr>
          </w:p>
        </w:tc>
        <w:tc>
          <w:tcPr>
            <w:tcW w:w="5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4360" w:type="dxa"/>
            <w:vAlign w:val="bottom"/>
          </w:tcPr>
          <w:p>
            <w:pPr>
              <w:jc w:val="center"/>
              <w:spacing w:after="0" w:line="130" w:lineRule="exact"/>
              <w:rPr>
                <w:sz w:val="20"/>
                <w:szCs w:val="20"/>
                <w:color w:val="auto"/>
              </w:rPr>
            </w:pPr>
            <w:r>
              <w:rPr>
                <w:rFonts w:ascii="Arial" w:cs="Arial" w:eastAsia="Arial" w:hAnsi="Arial"/>
                <w:sz w:val="14"/>
                <w:szCs w:val="14"/>
                <w:color w:val="auto"/>
                <w:w w:val="92"/>
              </w:rPr>
              <w:t>Class A common stock</w:t>
            </w:r>
          </w:p>
        </w:tc>
        <w:tc>
          <w:tcPr>
            <w:tcW w:w="1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4360" w:type="dxa"/>
            <w:vAlign w:val="bottom"/>
          </w:tcPr>
          <w:p>
            <w:pPr>
              <w:jc w:val="center"/>
              <w:spacing w:after="0"/>
              <w:rPr>
                <w:sz w:val="20"/>
                <w:szCs w:val="20"/>
                <w:color w:val="auto"/>
              </w:rPr>
            </w:pPr>
            <w:r>
              <w:rPr>
                <w:rFonts w:ascii="Arial" w:cs="Arial" w:eastAsia="Arial" w:hAnsi="Arial"/>
                <w:sz w:val="14"/>
                <w:szCs w:val="14"/>
                <w:color w:val="auto"/>
                <w:w w:val="91"/>
              </w:rPr>
              <w:t>($.01 par value per share)</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color w:val="auto"/>
              </w:rPr>
              <w:t>CIX</w:t>
            </w:r>
          </w:p>
        </w:tc>
        <w:tc>
          <w:tcPr>
            <w:tcW w:w="120" w:type="dxa"/>
            <w:vAlign w:val="bottom"/>
          </w:tcPr>
          <w:p>
            <w:pPr>
              <w:spacing w:after="0"/>
              <w:rPr>
                <w:sz w:val="15"/>
                <w:szCs w:val="15"/>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6"/>
              </w:rPr>
              <w:t>NYSE American</w:t>
            </w:r>
          </w:p>
        </w:tc>
        <w:tc>
          <w:tcPr>
            <w:tcW w:w="0" w:type="dxa"/>
            <w:vAlign w:val="bottom"/>
          </w:tcPr>
          <w:p>
            <w:pPr>
              <w:spacing w:after="0"/>
              <w:rPr>
                <w:sz w:val="1"/>
                <w:szCs w:val="1"/>
                <w:color w:val="auto"/>
              </w:rPr>
            </w:pPr>
          </w:p>
        </w:tc>
      </w:tr>
    </w:tbl>
    <w:p>
      <w:pPr>
        <w:spacing w:after="0" w:line="207" w:lineRule="exact"/>
        <w:rPr>
          <w:sz w:val="24"/>
          <w:szCs w:val="24"/>
          <w:color w:val="auto"/>
        </w:rPr>
      </w:pPr>
    </w:p>
    <w:p>
      <w:pPr>
        <w:ind w:right="80"/>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(17 CFR §230.405) or Rule 12b-2 of the Securities Exchange Act of 1934 (17 CFR §240.12b-2).</w:t>
      </w:r>
    </w:p>
    <w:p>
      <w:pPr>
        <w:spacing w:after="0" w:line="1" w:lineRule="exact"/>
        <w:rPr>
          <w:sz w:val="24"/>
          <w:szCs w:val="24"/>
          <w:color w:val="auto"/>
        </w:rPr>
      </w:pPr>
    </w:p>
    <w:p>
      <w:pPr>
        <w:ind w:left="876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9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bookmarkStart w:id="1" w:name="page2"/>
    <w:bookmarkEnd w:id="1"/>
    <w:p>
      <w:pPr>
        <w:spacing w:after="0"/>
        <w:tabs>
          <w:tab w:leader="none" w:pos="1440" w:val="left"/>
        </w:tabs>
        <w:rPr>
          <w:sz w:val="20"/>
          <w:szCs w:val="20"/>
          <w:color w:val="auto"/>
        </w:rPr>
      </w:pPr>
      <w:r>
        <w:rPr>
          <w:rFonts w:ascii="Arial" w:cs="Arial" w:eastAsia="Arial" w:hAnsi="Arial"/>
          <w:sz w:val="22"/>
          <w:szCs w:val="22"/>
          <w:b w:val="1"/>
          <w:bCs w:val="1"/>
          <w:color w:val="auto"/>
        </w:rPr>
        <w:t>Item 2.02</w:t>
      </w:r>
      <w:r>
        <w:rPr>
          <w:sz w:val="20"/>
          <w:szCs w:val="20"/>
          <w:color w:val="auto"/>
        </w:rPr>
        <w:tab/>
      </w:r>
      <w:r>
        <w:rPr>
          <w:rFonts w:ascii="Arial" w:cs="Arial" w:eastAsia="Arial" w:hAnsi="Arial"/>
          <w:sz w:val="19"/>
          <w:szCs w:val="19"/>
          <w:b w:val="1"/>
          <w:bCs w:val="1"/>
          <w:color w:val="auto"/>
        </w:rPr>
        <w:t>Results of Operations and Financial Condition.</w:t>
      </w:r>
    </w:p>
    <w:p>
      <w:pPr>
        <w:spacing w:after="0" w:line="240"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Reports Fourth Quarter 2019 Results” that the registrant issued on February 26, 2020, a copy of which is attached hereto as Exhibit 99.1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214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Disclosures.</w:t>
      </w:r>
    </w:p>
    <w:p>
      <w:pPr>
        <w:spacing w:after="0" w:line="239"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registrant hereby furnishes the information set forth in its press release entitled “CompX Announces Increase in Quarterly Dividend” that the registrant also issued on February 26, 2020, a copy of which is attached hereto as Exhibit 99.2 and incorporated herein by reference.</w:t>
      </w:r>
    </w:p>
    <w:p>
      <w:pPr>
        <w:spacing w:after="0" w:line="21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06"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9" w:lineRule="exact"/>
        <w:rPr>
          <w:sz w:val="20"/>
          <w:szCs w:val="20"/>
          <w:color w:val="auto"/>
        </w:rPr>
      </w:pPr>
    </w:p>
    <w:p>
      <w:pPr>
        <w:ind w:left="700" w:hanging="692"/>
        <w:spacing w:after="0"/>
        <w:tabs>
          <w:tab w:leader="none" w:pos="700" w:val="left"/>
        </w:tabs>
        <w:numPr>
          <w:ilvl w:val="0"/>
          <w:numId w:val="3"/>
        </w:numPr>
        <w:rPr>
          <w:rFonts w:ascii="Arial" w:cs="Arial" w:eastAsia="Arial" w:hAnsi="Arial"/>
          <w:sz w:val="22"/>
          <w:szCs w:val="22"/>
          <w:color w:val="auto"/>
        </w:rPr>
      </w:pPr>
      <w:r>
        <w:rPr>
          <w:rFonts w:ascii="Arial" w:cs="Arial" w:eastAsia="Arial" w:hAnsi="Arial"/>
          <w:sz w:val="22"/>
          <w:szCs w:val="22"/>
          <w:color w:val="auto"/>
        </w:rPr>
        <w:t>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Borders>
              <w:bottom w:val="single" w:sz="8" w:color="auto"/>
            </w:tcBorders>
          </w:tcPr>
          <w:p>
            <w:pPr>
              <w:jc w:val="right"/>
              <w:ind w:right="532"/>
              <w:spacing w:after="0"/>
              <w:rPr>
                <w:sz w:val="20"/>
                <w:szCs w:val="20"/>
                <w:color w:val="auto"/>
              </w:rPr>
            </w:pPr>
            <w:r>
              <w:rPr>
                <w:rFonts w:ascii="Arial" w:cs="Arial" w:eastAsia="Arial" w:hAnsi="Arial"/>
                <w:sz w:val="22"/>
                <w:szCs w:val="22"/>
                <w:b w:val="1"/>
                <w:bCs w:val="1"/>
                <w:color w:val="auto"/>
              </w:rPr>
              <w:t>Item No.</w:t>
            </w:r>
          </w:p>
        </w:tc>
        <w:tc>
          <w:tcPr>
            <w:tcW w:w="520" w:type="dxa"/>
            <w:vAlign w:val="bottom"/>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ind w:left="200"/>
              <w:spacing w:after="0"/>
              <w:rPr>
                <w:sz w:val="20"/>
                <w:szCs w:val="20"/>
                <w:color w:val="auto"/>
              </w:rPr>
            </w:pPr>
            <w:r>
              <w:rPr>
                <w:rFonts w:ascii="Arial" w:cs="Arial" w:eastAsia="Arial" w:hAnsi="Arial"/>
                <w:sz w:val="22"/>
                <w:szCs w:val="22"/>
                <w:b w:val="1"/>
                <w:bCs w:val="1"/>
                <w:color w:val="auto"/>
              </w:rPr>
              <w:t>Description</w:t>
            </w:r>
          </w:p>
        </w:tc>
        <w:tc>
          <w:tcPr>
            <w:tcW w:w="0" w:type="dxa"/>
            <w:vAlign w:val="bottom"/>
          </w:tcPr>
          <w:p>
            <w:pPr>
              <w:spacing w:after="0"/>
              <w:rPr>
                <w:sz w:val="1"/>
                <w:szCs w:val="1"/>
                <w:color w:val="auto"/>
              </w:rPr>
            </w:pPr>
          </w:p>
        </w:tc>
      </w:tr>
      <w:tr>
        <w:trPr>
          <w:trHeight w:val="419"/>
        </w:trPr>
        <w:tc>
          <w:tcPr>
            <w:tcW w:w="380" w:type="dxa"/>
            <w:vAlign w:val="bottom"/>
          </w:tcPr>
          <w:p>
            <w:pPr>
              <w:spacing w:after="0"/>
              <w:rPr>
                <w:sz w:val="24"/>
                <w:szCs w:val="24"/>
                <w:color w:val="auto"/>
              </w:rPr>
            </w:pPr>
          </w:p>
        </w:tc>
        <w:tc>
          <w:tcPr>
            <w:tcW w:w="2400" w:type="dxa"/>
            <w:vAlign w:val="bottom"/>
            <w:gridSpan w:val="2"/>
          </w:tcPr>
          <w:p>
            <w:pPr>
              <w:jc w:val="right"/>
              <w:ind w:right="1492"/>
              <w:spacing w:after="0"/>
              <w:rPr>
                <w:sz w:val="20"/>
                <w:szCs w:val="20"/>
                <w:color w:val="auto"/>
              </w:rPr>
            </w:pPr>
            <w:r>
              <w:rPr>
                <w:rFonts w:ascii="Arial" w:cs="Arial" w:eastAsia="Arial" w:hAnsi="Arial"/>
                <w:sz w:val="22"/>
                <w:szCs w:val="22"/>
                <w:color w:val="auto"/>
              </w:rPr>
              <w:t>99.1*</w:t>
            </w:r>
          </w:p>
        </w:tc>
        <w:tc>
          <w:tcPr>
            <w:tcW w:w="520" w:type="dxa"/>
            <w:vAlign w:val="bottom"/>
          </w:tcPr>
          <w:p>
            <w:pPr>
              <w:spacing w:after="0"/>
              <w:rPr>
                <w:sz w:val="24"/>
                <w:szCs w:val="24"/>
                <w:color w:val="auto"/>
              </w:rPr>
            </w:pPr>
          </w:p>
        </w:tc>
        <w:tc>
          <w:tcPr>
            <w:tcW w:w="8120" w:type="dxa"/>
            <w:vAlign w:val="bottom"/>
            <w:tcBorders>
              <w:bottom w:val="single" w:sz="8" w:color="0000EE"/>
            </w:tcBorders>
            <w:gridSpan w:val="3"/>
          </w:tcPr>
          <w:p>
            <w:pPr>
              <w:spacing w:after="0"/>
              <w:rPr>
                <w:rFonts w:ascii="Arial" w:cs="Arial" w:eastAsia="Arial" w:hAnsi="Arial"/>
                <w:sz w:val="22"/>
                <w:szCs w:val="22"/>
                <w:color w:val="0000EE"/>
                <w:w w:val="97"/>
              </w:rPr>
            </w:pPr>
            <w:hyperlink w:anchor="page4">
              <w:r>
                <w:rPr>
                  <w:rFonts w:ascii="Arial" w:cs="Arial" w:eastAsia="Arial" w:hAnsi="Arial"/>
                  <w:sz w:val="22"/>
                  <w:szCs w:val="22"/>
                  <w:color w:val="0000EE"/>
                  <w:w w:val="97"/>
                </w:rPr>
                <w:t>Press release dated February 26, 2020 entitled “CompX Reports Fourth Quarter 2019</w:t>
              </w:r>
            </w:hyperlink>
          </w:p>
        </w:tc>
        <w:tc>
          <w:tcPr>
            <w:tcW w:w="0" w:type="dxa"/>
            <w:vAlign w:val="bottom"/>
          </w:tcPr>
          <w:p>
            <w:pPr>
              <w:spacing w:after="0"/>
              <w:rPr>
                <w:sz w:val="1"/>
                <w:szCs w:val="1"/>
                <w:color w:val="auto"/>
              </w:rPr>
            </w:pPr>
          </w:p>
        </w:tc>
      </w:tr>
      <w:tr>
        <w:trPr>
          <w:trHeight w:val="223"/>
        </w:trPr>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120" w:type="dxa"/>
            <w:vAlign w:val="bottom"/>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Results” and issued by the registrant</w:t>
              </w:r>
              <w:r>
                <w:rPr>
                  <w:rFonts w:ascii="Arial" w:cs="Arial" w:eastAsia="Arial" w:hAnsi="Arial"/>
                  <w:sz w:val="22"/>
                  <w:szCs w:val="22"/>
                  <w:color w:val="000000"/>
                </w:rPr>
                <w:t>.</w:t>
              </w:r>
            </w:hyperlink>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2400" w:type="dxa"/>
            <w:vAlign w:val="bottom"/>
            <w:gridSpan w:val="2"/>
          </w:tcPr>
          <w:p>
            <w:pPr>
              <w:jc w:val="right"/>
              <w:ind w:right="1492"/>
              <w:spacing w:after="0"/>
              <w:rPr>
                <w:sz w:val="20"/>
                <w:szCs w:val="20"/>
                <w:color w:val="auto"/>
              </w:rPr>
            </w:pPr>
            <w:r>
              <w:rPr>
                <w:rFonts w:ascii="Arial" w:cs="Arial" w:eastAsia="Arial" w:hAnsi="Arial"/>
                <w:sz w:val="22"/>
                <w:szCs w:val="22"/>
                <w:color w:val="auto"/>
              </w:rPr>
              <w:t>99.2*</w:t>
            </w:r>
          </w:p>
        </w:tc>
        <w:tc>
          <w:tcPr>
            <w:tcW w:w="520" w:type="dxa"/>
            <w:vAlign w:val="bottom"/>
          </w:tcPr>
          <w:p>
            <w:pPr>
              <w:spacing w:after="0"/>
              <w:rPr>
                <w:sz w:val="24"/>
                <w:szCs w:val="24"/>
                <w:color w:val="auto"/>
              </w:rPr>
            </w:pPr>
          </w:p>
        </w:tc>
        <w:tc>
          <w:tcPr>
            <w:tcW w:w="8120" w:type="dxa"/>
            <w:vAlign w:val="bottom"/>
            <w:tcBorders>
              <w:bottom w:val="single" w:sz="8" w:color="0000EE"/>
            </w:tcBorders>
            <w:gridSpan w:val="3"/>
          </w:tcPr>
          <w:p>
            <w:pPr>
              <w:spacing w:after="0"/>
              <w:rPr>
                <w:rFonts w:ascii="Arial" w:cs="Arial" w:eastAsia="Arial" w:hAnsi="Arial"/>
                <w:sz w:val="22"/>
                <w:szCs w:val="22"/>
                <w:color w:val="0000EE"/>
                <w:w w:val="92"/>
              </w:rPr>
            </w:pPr>
            <w:hyperlink w:anchor="page8">
              <w:r>
                <w:rPr>
                  <w:rFonts w:ascii="Arial" w:cs="Arial" w:eastAsia="Arial" w:hAnsi="Arial"/>
                  <w:sz w:val="22"/>
                  <w:szCs w:val="22"/>
                  <w:color w:val="0000EE"/>
                  <w:w w:val="92"/>
                </w:rPr>
                <w:t>Press release dated February 26, 2020 entitled “CompX Announces Increase in Quarterly</w:t>
              </w:r>
            </w:hyperlink>
          </w:p>
        </w:tc>
        <w:tc>
          <w:tcPr>
            <w:tcW w:w="0" w:type="dxa"/>
            <w:vAlign w:val="bottom"/>
          </w:tcPr>
          <w:p>
            <w:pPr>
              <w:spacing w:after="0"/>
              <w:rPr>
                <w:sz w:val="1"/>
                <w:szCs w:val="1"/>
                <w:color w:val="auto"/>
              </w:rPr>
            </w:pPr>
          </w:p>
        </w:tc>
      </w:tr>
      <w:tr>
        <w:trPr>
          <w:trHeight w:val="223"/>
        </w:trPr>
        <w:tc>
          <w:tcPr>
            <w:tcW w:w="380" w:type="dxa"/>
            <w:vAlign w:val="bottom"/>
            <w:vMerge w:val="restart"/>
          </w:tcPr>
          <w:p>
            <w:pPr>
              <w:jc w:val="right"/>
              <w:ind w:right="152"/>
              <w:spacing w:after="0"/>
              <w:rPr>
                <w:sz w:val="20"/>
                <w:szCs w:val="20"/>
                <w:color w:val="auto"/>
              </w:rPr>
            </w:pPr>
            <w:r>
              <w:rPr>
                <w:rFonts w:ascii="Arial" w:cs="Arial" w:eastAsia="Arial" w:hAnsi="Arial"/>
                <w:sz w:val="22"/>
                <w:szCs w:val="22"/>
                <w:color w:val="auto"/>
              </w:rPr>
              <w:t>*</w:t>
            </w:r>
          </w:p>
        </w:tc>
        <w:tc>
          <w:tcPr>
            <w:tcW w:w="2400" w:type="dxa"/>
            <w:vAlign w:val="bottom"/>
            <w:gridSpan w:val="2"/>
            <w:vMerge w:val="restart"/>
          </w:tcPr>
          <w:p>
            <w:pPr>
              <w:jc w:val="right"/>
              <w:ind w:right="752"/>
              <w:spacing w:after="0"/>
              <w:rPr>
                <w:sz w:val="20"/>
                <w:szCs w:val="20"/>
                <w:color w:val="auto"/>
              </w:rPr>
            </w:pPr>
            <w:r>
              <w:rPr>
                <w:rFonts w:ascii="Arial" w:cs="Arial" w:eastAsia="Arial" w:hAnsi="Arial"/>
                <w:sz w:val="22"/>
                <w:szCs w:val="22"/>
                <w:color w:val="auto"/>
              </w:rPr>
              <w:t>Filed herewith</w:t>
            </w:r>
          </w:p>
        </w:tc>
        <w:tc>
          <w:tcPr>
            <w:tcW w:w="520" w:type="dxa"/>
            <w:vAlign w:val="bottom"/>
          </w:tcPr>
          <w:p>
            <w:pPr>
              <w:spacing w:after="0"/>
              <w:rPr>
                <w:sz w:val="19"/>
                <w:szCs w:val="19"/>
                <w:color w:val="auto"/>
              </w:rPr>
            </w:pPr>
          </w:p>
        </w:tc>
        <w:tc>
          <w:tcPr>
            <w:tcW w:w="8120" w:type="dxa"/>
            <w:vAlign w:val="bottom"/>
            <w:gridSpan w:val="3"/>
          </w:tcPr>
          <w:p>
            <w:pPr>
              <w:spacing w:after="0" w:line="223" w:lineRule="exact"/>
              <w:rPr>
                <w:rFonts w:ascii="Arial" w:cs="Arial" w:eastAsia="Arial" w:hAnsi="Arial"/>
                <w:sz w:val="22"/>
                <w:szCs w:val="22"/>
                <w:color w:val="0000EE"/>
              </w:rPr>
            </w:pPr>
            <w:hyperlink w:anchor="page8">
              <w:r>
                <w:rPr>
                  <w:rFonts w:ascii="Arial" w:cs="Arial" w:eastAsia="Arial" w:hAnsi="Arial"/>
                  <w:sz w:val="22"/>
                  <w:szCs w:val="22"/>
                  <w:color w:val="0000EE"/>
                </w:rPr>
                <w:t>Dividend” and issued by the registrant</w:t>
              </w:r>
              <w:r>
                <w:rPr>
                  <w:rFonts w:ascii="Arial" w:cs="Arial" w:eastAsia="Arial" w:hAnsi="Arial"/>
                  <w:sz w:val="22"/>
                  <w:szCs w:val="22"/>
                  <w:color w:val="000000"/>
                </w:rPr>
                <w:t>.</w:t>
              </w:r>
            </w:hyperlink>
          </w:p>
        </w:tc>
        <w:tc>
          <w:tcPr>
            <w:tcW w:w="0" w:type="dxa"/>
            <w:vAlign w:val="bottom"/>
          </w:tcPr>
          <w:p>
            <w:pPr>
              <w:spacing w:after="0"/>
              <w:rPr>
                <w:sz w:val="1"/>
                <w:szCs w:val="1"/>
                <w:color w:val="auto"/>
              </w:rPr>
            </w:pPr>
          </w:p>
        </w:tc>
      </w:tr>
      <w:tr>
        <w:trPr>
          <w:trHeight w:val="287"/>
        </w:trPr>
        <w:tc>
          <w:tcPr>
            <w:tcW w:w="380" w:type="dxa"/>
            <w:vAlign w:val="bottom"/>
            <w:vMerge w:val="continue"/>
          </w:tcPr>
          <w:p>
            <w:pPr>
              <w:spacing w:after="0"/>
              <w:rPr>
                <w:sz w:val="24"/>
                <w:szCs w:val="24"/>
                <w:color w:val="auto"/>
              </w:rPr>
            </w:pPr>
          </w:p>
        </w:tc>
        <w:tc>
          <w:tcPr>
            <w:tcW w:w="240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2"/>
        </w:trPr>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194" w:lineRule="exact"/>
        <w:rPr>
          <w:sz w:val="20"/>
          <w:szCs w:val="20"/>
          <w:color w:val="auto"/>
        </w:rPr>
      </w:pPr>
    </w:p>
    <w:p>
      <w:pPr>
        <w:ind w:left="5680"/>
        <w:spacing w:after="0"/>
        <w:rPr>
          <w:sz w:val="20"/>
          <w:szCs w:val="20"/>
          <w:color w:val="auto"/>
        </w:rPr>
      </w:pPr>
      <w:r>
        <w:rPr>
          <w:rFonts w:ascii="Arial" w:cs="Arial" w:eastAsia="Arial" w:hAnsi="Arial"/>
          <w:sz w:val="22"/>
          <w:szCs w:val="22"/>
          <w:b w:val="1"/>
          <w:bCs w:val="1"/>
          <w:color w:val="auto"/>
        </w:rPr>
        <w:t>C</w:t>
      </w:r>
      <w:r>
        <w:rPr>
          <w:rFonts w:ascii="Arial" w:cs="Arial" w:eastAsia="Arial" w:hAnsi="Arial"/>
          <w:sz w:val="14"/>
          <w:szCs w:val="14"/>
          <w:b w:val="1"/>
          <w:bCs w:val="1"/>
          <w:color w:val="auto"/>
        </w:rPr>
        <w:t>OMP</w:t>
      </w:r>
      <w:r>
        <w:rPr>
          <w:rFonts w:ascii="Arial" w:cs="Arial" w:eastAsia="Arial" w:hAnsi="Arial"/>
          <w:sz w:val="22"/>
          <w:szCs w:val="22"/>
          <w:b w:val="1"/>
          <w:bCs w:val="1"/>
          <w:color w:val="auto"/>
        </w:rPr>
        <w:t>X I</w:t>
      </w:r>
      <w:r>
        <w:rPr>
          <w:rFonts w:ascii="Arial" w:cs="Arial" w:eastAsia="Arial" w:hAnsi="Arial"/>
          <w:sz w:val="14"/>
          <w:szCs w:val="14"/>
          <w:b w:val="1"/>
          <w:bCs w:val="1"/>
          <w:color w:val="auto"/>
        </w:rPr>
        <w:t>NTERNATIONAL</w:t>
      </w:r>
      <w:r>
        <w:rPr>
          <w:rFonts w:ascii="Arial" w:cs="Arial" w:eastAsia="Arial" w:hAnsi="Arial"/>
          <w:sz w:val="22"/>
          <w:szCs w:val="22"/>
          <w:b w:val="1"/>
          <w:bCs w:val="1"/>
          <w:color w:val="auto"/>
        </w:rPr>
        <w:t xml:space="preserve"> I</w:t>
      </w:r>
      <w:r>
        <w:rPr>
          <w:rFonts w:ascii="Arial" w:cs="Arial" w:eastAsia="Arial" w:hAnsi="Arial"/>
          <w:sz w:val="14"/>
          <w:szCs w:val="14"/>
          <w:b w:val="1"/>
          <w:bCs w:val="1"/>
          <w:color w:val="auto"/>
        </w:rPr>
        <w:t>NC</w:t>
      </w:r>
      <w:r>
        <w:rPr>
          <w:rFonts w:ascii="Arial" w:cs="Arial" w:eastAsia="Arial" w:hAnsi="Arial"/>
          <w:sz w:val="22"/>
          <w:szCs w:val="22"/>
          <w:b w:val="1"/>
          <w:bCs w:val="1"/>
          <w:color w:val="auto"/>
        </w:rPr>
        <w:t>.</w:t>
      </w:r>
    </w:p>
    <w:p>
      <w:pPr>
        <w:spacing w:after="0" w:line="14" w:lineRule="exact"/>
        <w:rPr>
          <w:sz w:val="20"/>
          <w:szCs w:val="20"/>
          <w:color w:val="auto"/>
        </w:rPr>
      </w:pPr>
    </w:p>
    <w:p>
      <w:pPr>
        <w:ind w:left="5680"/>
        <w:spacing w:after="0"/>
        <w:rPr>
          <w:sz w:val="20"/>
          <w:szCs w:val="20"/>
          <w:color w:val="auto"/>
        </w:rPr>
      </w:pPr>
      <w:r>
        <w:rPr>
          <w:rFonts w:ascii="Arial" w:cs="Arial" w:eastAsia="Arial" w:hAnsi="Arial"/>
          <w:sz w:val="22"/>
          <w:szCs w:val="22"/>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80" w:type="dxa"/>
            <w:vAlign w:val="bottom"/>
            <w:gridSpan w:val="2"/>
          </w:tcPr>
          <w:p>
            <w:pPr>
              <w:ind w:left="5680"/>
              <w:spacing w:after="0"/>
              <w:rPr>
                <w:sz w:val="20"/>
                <w:szCs w:val="20"/>
                <w:color w:val="auto"/>
              </w:rPr>
            </w:pPr>
            <w:r>
              <w:rPr>
                <w:rFonts w:ascii="Arial" w:cs="Arial" w:eastAsia="Arial" w:hAnsi="Arial"/>
                <w:sz w:val="22"/>
                <w:szCs w:val="22"/>
                <w:color w:val="auto"/>
              </w:rPr>
              <w:t>By:</w:t>
            </w:r>
          </w:p>
        </w:tc>
        <w:tc>
          <w:tcPr>
            <w:tcW w:w="5340" w:type="dxa"/>
            <w:vAlign w:val="bottom"/>
          </w:tcPr>
          <w:p>
            <w:pPr>
              <w:ind w:left="380"/>
              <w:spacing w:after="0"/>
              <w:rPr>
                <w:sz w:val="20"/>
                <w:szCs w:val="20"/>
                <w:color w:val="auto"/>
              </w:rPr>
            </w:pPr>
            <w:r>
              <w:rPr>
                <w:rFonts w:ascii="Arial" w:cs="Arial" w:eastAsia="Arial" w:hAnsi="Arial"/>
                <w:sz w:val="22"/>
                <w:szCs w:val="22"/>
                <w:color w:val="auto"/>
              </w:rPr>
              <w:t>/s/ Amy A. Samford</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2"/>
                <w:szCs w:val="22"/>
                <w:color w:val="auto"/>
              </w:rPr>
              <w:t>Date: February 26, 2020</w:t>
            </w:r>
          </w:p>
        </w:tc>
        <w:tc>
          <w:tcPr>
            <w:tcW w:w="400" w:type="dxa"/>
            <w:vAlign w:val="bottom"/>
            <w:tcBorders>
              <w:top w:val="single" w:sz="8" w:color="auto"/>
            </w:tcBorders>
          </w:tcPr>
          <w:p>
            <w:pPr>
              <w:spacing w:after="0"/>
              <w:rPr>
                <w:sz w:val="19"/>
                <w:szCs w:val="19"/>
                <w:color w:val="auto"/>
              </w:rPr>
            </w:pPr>
          </w:p>
        </w:tc>
        <w:tc>
          <w:tcPr>
            <w:tcW w:w="5340" w:type="dxa"/>
            <w:vAlign w:val="bottom"/>
            <w:tcBorders>
              <w:top w:val="single" w:sz="8" w:color="auto"/>
            </w:tcBorders>
          </w:tcPr>
          <w:p>
            <w:pPr>
              <w:ind w:left="80"/>
              <w:spacing w:after="0" w:line="222" w:lineRule="exact"/>
              <w:rPr>
                <w:sz w:val="20"/>
                <w:szCs w:val="20"/>
                <w:color w:val="auto"/>
              </w:rPr>
            </w:pPr>
            <w:r>
              <w:rPr>
                <w:rFonts w:ascii="Arial" w:cs="Arial" w:eastAsia="Arial" w:hAnsi="Arial"/>
                <w:sz w:val="22"/>
                <w:szCs w:val="22"/>
                <w:i w:val="1"/>
                <w:iCs w:val="1"/>
                <w:color w:val="auto"/>
              </w:rPr>
              <w:t>Amy A. Samford</w:t>
            </w:r>
          </w:p>
        </w:tc>
      </w:tr>
      <w:tr>
        <w:trPr>
          <w:trHeight w:val="275"/>
        </w:trPr>
        <w:tc>
          <w:tcPr>
            <w:tcW w:w="5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340" w:type="dxa"/>
            <w:vAlign w:val="bottom"/>
          </w:tcPr>
          <w:p>
            <w:pPr>
              <w:ind w:left="80"/>
              <w:spacing w:after="0"/>
              <w:rPr>
                <w:sz w:val="20"/>
                <w:szCs w:val="20"/>
                <w:color w:val="auto"/>
              </w:rPr>
            </w:pPr>
            <w:r>
              <w:rPr>
                <w:rFonts w:ascii="Arial" w:cs="Arial" w:eastAsia="Arial" w:hAnsi="Arial"/>
                <w:sz w:val="22"/>
                <w:szCs w:val="22"/>
                <w:i w:val="1"/>
                <w:iCs w:val="1"/>
                <w:color w:val="auto"/>
              </w:rPr>
              <w:t>Vice President and Chief Financial Officer</w:t>
            </w:r>
          </w:p>
        </w:tc>
      </w:tr>
    </w:tbl>
    <w:p>
      <w:pPr>
        <w:sectPr>
          <w:pgSz w:w="11900" w:h="16838" w:orient="portrait"/>
          <w:cols w:equalWidth="0" w:num="1">
            <w:col w:w="11420"/>
          </w:cols>
          <w:pgMar w:left="240" w:top="598"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2858770</wp:posOffset>
            </wp:positionH>
            <wp:positionV relativeFrom="page">
              <wp:posOffset>88900</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234"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COMPX REPORTS FOURTH QUARTER 2019 RESULTS</w:t>
      </w:r>
    </w:p>
    <w:p>
      <w:pPr>
        <w:spacing w:after="0" w:line="25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DALLAS, TEXAS …February 26, 2020 … CompX International Inc. (NYSE American: CIX) announced today sales of $29.6 million for the fourth quarter of 2019 compared to $27.4 million in the same period of 2018. Operating income was $3.5 million in the fourth quarter of 2019 compared to $2.9 million in the same period of 2018. Net income was $3.2 million, or $0.26 per diluted share, for the fourth quarter of 2019 compared to $2.7 million, or $0.22 per diluted share, in the same period of 2018.</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Net sales for the year ended December 31, 2019 were $124.2 million compared to $118.2 million in the previous year. Operating income was $17.7 million for the year ended December 31, 2019 compared to $17.8 million for 2018. Net income for the year ended December 31, 2019 was $16.0 million, or $1.29 per diluted share, compared to $15.3 million, or $1.23 per diluted share, for the year ended December 31, 2018.</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Net sales increased in the fourth quarter of 2019 compared to the same period in 2018 primarily due to higher Security Products sales to the government security market and to a lesser extent higher Marine Components sales to the towboat market. Operating income increased for the fourth quarter of 2019 compared to the fourth quarter of 2018 primarily due to the benefit of higher sales and a favorable customer and product mix at Security Products. Net sales increased for the full year of 2019 compared to the respective period in 2018 primarily due to higher Marine Components sales to the towboat market. For the full year of 2019, operating income was comparable to 2018 as the benefit of higher Marine Component sales and favorable medical costs at Security Products were offset by increased labor rates and associated payroll costs at Security Products resulting from regional pressure on wages for certain skilled labor positions.</w:t>
      </w:r>
    </w:p>
    <w:p>
      <w:pPr>
        <w:spacing w:after="0" w:line="208" w:lineRule="exact"/>
        <w:rPr>
          <w:sz w:val="20"/>
          <w:szCs w:val="20"/>
          <w:color w:val="auto"/>
        </w:rPr>
      </w:pPr>
    </w:p>
    <w:p>
      <w:pPr>
        <w:jc w:val="both"/>
        <w:ind w:right="20"/>
        <w:spacing w:after="0" w:line="251" w:lineRule="auto"/>
        <w:rPr>
          <w:sz w:val="20"/>
          <w:szCs w:val="20"/>
          <w:color w:val="auto"/>
        </w:rPr>
      </w:pPr>
      <w:r>
        <w:rPr>
          <w:rFonts w:ascii="Arial" w:cs="Arial" w:eastAsia="Arial" w:hAnsi="Arial"/>
          <w:sz w:val="22"/>
          <w:szCs w:val="22"/>
          <w:color w:val="auto"/>
        </w:rPr>
        <w:t>CompX is a leading manufacturer of security products and recreational marine components. It operates from three locations in the U.S. and employs approximately 550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Future demand for our products,</w:t>
      </w:r>
    </w:p>
    <w:p>
      <w:pPr>
        <w:spacing w:after="0" w:line="206"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4"/>
        </w:numPr>
        <w:rPr>
          <w:rFonts w:ascii="Arial" w:cs="Arial" w:eastAsia="Arial" w:hAnsi="Arial"/>
          <w:sz w:val="21"/>
          <w:szCs w:val="21"/>
          <w:color w:val="auto"/>
        </w:rPr>
      </w:pPr>
      <w:r>
        <w:rPr>
          <w:rFonts w:ascii="Arial" w:cs="Arial" w:eastAsia="Arial" w:hAnsi="Arial"/>
          <w:sz w:val="21"/>
          <w:szCs w:val="21"/>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50" w:lineRule="exact"/>
        <w:rPr>
          <w:rFonts w:ascii="Arial" w:cs="Arial" w:eastAsia="Arial" w:hAnsi="Arial"/>
          <w:sz w:val="21"/>
          <w:szCs w:val="21"/>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Price and product competition from low-cost manufacturing sources (such as China),</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impact of pricing and production decisions,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Customer and competitor strategies including substitute products,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Uncertainties associated with the development of new product features,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Future litigation,</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Our ability to protect or defend our intellectual property rights,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Potential difficulties in integrating future acquisitions,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Decisions to sell operating assets other than in the ordinary course of business,</w:t>
      </w:r>
    </w:p>
    <w:p>
      <w:pPr>
        <w:spacing w:after="0" w:line="206" w:lineRule="exact"/>
        <w:rPr>
          <w:rFonts w:ascii="Arial" w:cs="Arial" w:eastAsia="Arial" w:hAnsi="Arial"/>
          <w:sz w:val="22"/>
          <w:szCs w:val="22"/>
          <w:color w:val="auto"/>
        </w:rPr>
      </w:pPr>
    </w:p>
    <w:p>
      <w:pPr>
        <w:ind w:left="880" w:hanging="431"/>
        <w:spacing w:after="0"/>
        <w:tabs>
          <w:tab w:leader="none" w:pos="880" w:val="left"/>
        </w:tabs>
        <w:numPr>
          <w:ilvl w:val="0"/>
          <w:numId w:val="4"/>
        </w:numPr>
        <w:rPr>
          <w:rFonts w:ascii="Arial" w:cs="Arial" w:eastAsia="Arial" w:hAnsi="Arial"/>
          <w:sz w:val="21"/>
          <w:szCs w:val="21"/>
          <w:color w:val="auto"/>
        </w:rPr>
      </w:pPr>
      <w:r>
        <w:rPr>
          <w:rFonts w:ascii="Arial" w:cs="Arial" w:eastAsia="Arial" w:hAnsi="Arial"/>
          <w:sz w:val="21"/>
          <w:szCs w:val="21"/>
          <w:color w:val="auto"/>
        </w:rPr>
        <w:t>Environmental matters (such as those requiring emission and discharge standards for existing and new facilities),</w:t>
      </w:r>
    </w:p>
    <w:p>
      <w:pPr>
        <w:spacing w:after="0" w:line="217" w:lineRule="exact"/>
        <w:rPr>
          <w:rFonts w:ascii="Arial" w:cs="Arial" w:eastAsia="Arial" w:hAnsi="Arial"/>
          <w:sz w:val="21"/>
          <w:szCs w:val="21"/>
          <w:color w:val="auto"/>
        </w:rPr>
      </w:pPr>
    </w:p>
    <w:p>
      <w:pPr>
        <w:ind w:left="880" w:hanging="431"/>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ultimate outcome of income tax audits, tax settlement initiatives or other tax matters, including future tax reform,</w:t>
      </w:r>
    </w:p>
    <w:p>
      <w:pPr>
        <w:spacing w:after="0" w:line="240" w:lineRule="exact"/>
        <w:rPr>
          <w:rFonts w:ascii="Arial" w:cs="Arial" w:eastAsia="Arial" w:hAnsi="Arial"/>
          <w:sz w:val="19"/>
          <w:szCs w:val="19"/>
          <w:color w:val="auto"/>
        </w:rPr>
      </w:pPr>
    </w:p>
    <w:p>
      <w:pPr>
        <w:ind w:left="880" w:hanging="431"/>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impact of current or future government regulations (including employee healthcare benefit related regulations),</w:t>
      </w:r>
    </w:p>
    <w:p>
      <w:pPr>
        <w:spacing w:after="0" w:line="240" w:lineRule="exact"/>
        <w:rPr>
          <w:rFonts w:ascii="Arial" w:cs="Arial" w:eastAsia="Arial" w:hAnsi="Arial"/>
          <w:sz w:val="19"/>
          <w:szCs w:val="19"/>
          <w:color w:val="auto"/>
        </w:rPr>
      </w:pPr>
    </w:p>
    <w:p>
      <w:pPr>
        <w:jc w:val="both"/>
        <w:ind w:left="880" w:hanging="431"/>
        <w:spacing w:after="0" w:line="238" w:lineRule="auto"/>
        <w:tabs>
          <w:tab w:leader="none" w:pos="880" w:val="left"/>
        </w:tabs>
        <w:numPr>
          <w:ilvl w:val="0"/>
          <w:numId w:val="4"/>
        </w:numPr>
        <w:rPr>
          <w:rFonts w:ascii="Arial" w:cs="Arial" w:eastAsia="Arial" w:hAnsi="Arial"/>
          <w:sz w:val="22"/>
          <w:szCs w:val="22"/>
          <w:color w:val="auto"/>
        </w:rPr>
      </w:pPr>
      <w:r>
        <w:rPr>
          <w:rFonts w:ascii="Arial" w:cs="Arial" w:eastAsia="Arial" w:hAnsi="Arial"/>
          <w:sz w:val="22"/>
          <w:szCs w:val="22"/>
          <w:color w:val="auto"/>
        </w:rPr>
        <w:t>General global economic and political conditions that harm the U.S. economy, disrupt our supply chain, increase material costs or reduce demand or perceived demand for our products (including changes in the level of gross domestic product in various regions of the world, natural disasters, terrorist acts, global conflicts and public health crises such as the coronavirus); and</w:t>
      </w:r>
    </w:p>
    <w:p>
      <w:pPr>
        <w:spacing w:after="0" w:line="185" w:lineRule="exact"/>
        <w:rPr>
          <w:rFonts w:ascii="Arial" w:cs="Arial" w:eastAsia="Arial" w:hAnsi="Arial"/>
          <w:sz w:val="22"/>
          <w:szCs w:val="22"/>
          <w:color w:val="auto"/>
        </w:rPr>
      </w:pPr>
    </w:p>
    <w:p>
      <w:pPr>
        <w:ind w:left="880" w:hanging="431"/>
        <w:spacing w:after="0" w:line="274" w:lineRule="auto"/>
        <w:tabs>
          <w:tab w:leader="none" w:pos="880" w:val="left"/>
        </w:tabs>
        <w:numPr>
          <w:ilvl w:val="0"/>
          <w:numId w:val="4"/>
        </w:numPr>
        <w:rPr>
          <w:rFonts w:ascii="Arial" w:cs="Arial" w:eastAsia="Arial" w:hAnsi="Arial"/>
          <w:sz w:val="21"/>
          <w:szCs w:val="21"/>
          <w:color w:val="auto"/>
        </w:rPr>
      </w:pPr>
      <w:r>
        <w:rPr>
          <w:rFonts w:ascii="Arial" w:cs="Arial" w:eastAsia="Arial" w:hAnsi="Arial"/>
          <w:sz w:val="21"/>
          <w:szCs w:val="21"/>
          <w:color w:val="auto"/>
        </w:rPr>
        <w:t>Operating interruptions (including, but not limited to labor disputes, hazardous chemical leaks, natural disasters, fires, explosions, unscheduled or unplanned downtime, transportation interruptions and cyber-attacks).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5" w:name="page6"/>
    <w:bookmarkEnd w:id="5"/>
    <w:p>
      <w:pPr>
        <w:jc w:val="both"/>
        <w:spacing w:after="0" w:line="238" w:lineRule="auto"/>
        <w:rPr>
          <w:sz w:val="20"/>
          <w:szCs w:val="20"/>
          <w:color w:val="auto"/>
        </w:rPr>
      </w:pPr>
      <w:r>
        <w:rPr>
          <w:rFonts w:ascii="Arial" w:cs="Arial" w:eastAsia="Arial" w:hAnsi="Arial"/>
          <w:sz w:val="22"/>
          <w:szCs w:val="22"/>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12" w:lineRule="exact"/>
        <w:rPr>
          <w:sz w:val="20"/>
          <w:szCs w:val="20"/>
          <w:color w:val="auto"/>
        </w:rPr>
      </w:pPr>
    </w:p>
    <w:p>
      <w:pPr>
        <w:jc w:val="center"/>
        <w:ind w:right="440"/>
        <w:spacing w:after="0"/>
        <w:rPr>
          <w:sz w:val="20"/>
          <w:szCs w:val="20"/>
          <w:color w:val="auto"/>
        </w:rPr>
      </w:pPr>
      <w:r>
        <w:rPr>
          <w:rFonts w:ascii="Arial" w:cs="Arial" w:eastAsia="Arial" w:hAnsi="Arial"/>
          <w:sz w:val="22"/>
          <w:szCs w:val="22"/>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118745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980"/>
          </w:cols>
          <w:pgMar w:left="680" w:top="22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CONSOLIDATED STATEMENTS OF INCOME</w:t>
      </w:r>
    </w:p>
    <w:p>
      <w:pPr>
        <w:jc w:val="center"/>
        <w:spacing w:after="0"/>
        <w:rPr>
          <w:sz w:val="20"/>
          <w:szCs w:val="20"/>
          <w:color w:val="auto"/>
        </w:rPr>
      </w:pPr>
      <w:r>
        <w:rPr>
          <w:rFonts w:ascii="Arial" w:cs="Arial" w:eastAsia="Arial" w:hAnsi="Arial"/>
          <w:sz w:val="22"/>
          <w:szCs w:val="22"/>
          <w:b w:val="1"/>
          <w:bCs w:val="1"/>
          <w:color w:val="auto"/>
        </w:rPr>
        <w:t>(In millions,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393"/>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653"/>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6"/>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w w:val="84"/>
              </w:rPr>
              <w:t>2019</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8"/>
                <w:szCs w:val="18"/>
                <w:b w:val="1"/>
                <w:bCs w:val="1"/>
                <w:color w:val="auto"/>
                <w:w w:val="99"/>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49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gridSpan w:val="4"/>
          </w:tcPr>
          <w:p>
            <w:pPr>
              <w:jc w:val="right"/>
              <w:spacing w:after="0"/>
              <w:rPr>
                <w:sz w:val="20"/>
                <w:szCs w:val="20"/>
                <w:color w:val="auto"/>
              </w:rPr>
            </w:pPr>
            <w:r>
              <w:rPr>
                <w:rFonts w:ascii="Arial" w:cs="Arial" w:eastAsia="Arial" w:hAnsi="Arial"/>
                <w:sz w:val="22"/>
                <w:szCs w:val="22"/>
                <w:color w:val="auto"/>
              </w:rPr>
              <w:t>(Unaudited)</w:t>
            </w: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5"/>
        </w:trPr>
        <w:tc>
          <w:tcPr>
            <w:tcW w:w="20" w:type="dxa"/>
            <w:vAlign w:val="bottom"/>
            <w:vMerge w:val="restart"/>
          </w:tcPr>
          <w:p>
            <w:pPr>
              <w:spacing w:after="0"/>
              <w:rPr>
                <w:sz w:val="16"/>
                <w:szCs w:val="16"/>
                <w:color w:val="auto"/>
              </w:rPr>
            </w:pPr>
          </w:p>
        </w:tc>
        <w:tc>
          <w:tcPr>
            <w:tcW w:w="4900" w:type="dxa"/>
            <w:vAlign w:val="bottom"/>
          </w:tcPr>
          <w:p>
            <w:pPr>
              <w:spacing w:after="0"/>
              <w:rPr>
                <w:sz w:val="16"/>
                <w:szCs w:val="16"/>
                <w:color w:val="auto"/>
              </w:rPr>
            </w:pPr>
          </w:p>
        </w:tc>
        <w:tc>
          <w:tcPr>
            <w:tcW w:w="1400" w:type="dxa"/>
            <w:vAlign w:val="bottom"/>
            <w:gridSpan w:val="2"/>
          </w:tcPr>
          <w:p>
            <w:pPr>
              <w:spacing w:after="0"/>
              <w:rPr>
                <w:sz w:val="16"/>
                <w:szCs w:val="16"/>
                <w:color w:val="auto"/>
              </w:rPr>
            </w:pPr>
          </w:p>
        </w:tc>
        <w:tc>
          <w:tcPr>
            <w:tcW w:w="940" w:type="dxa"/>
            <w:vAlign w:val="bottom"/>
            <w:gridSpan w:val="2"/>
          </w:tcPr>
          <w:p>
            <w:pPr>
              <w:spacing w:after="0"/>
              <w:rPr>
                <w:sz w:val="16"/>
                <w:szCs w:val="16"/>
                <w:color w:val="auto"/>
              </w:rPr>
            </w:pPr>
          </w:p>
        </w:tc>
        <w:tc>
          <w:tcPr>
            <w:tcW w:w="600" w:type="dxa"/>
            <w:vAlign w:val="bottom"/>
            <w:gridSpan w:val="2"/>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gridSpan w:val="2"/>
          </w:tcPr>
          <w:p>
            <w:pPr>
              <w:spacing w:after="0"/>
              <w:rPr>
                <w:sz w:val="16"/>
                <w:szCs w:val="16"/>
                <w:color w:val="auto"/>
              </w:rPr>
            </w:pPr>
          </w:p>
        </w:tc>
        <w:tc>
          <w:tcPr>
            <w:tcW w:w="980" w:type="dxa"/>
            <w:vAlign w:val="bottom"/>
            <w:gridSpan w:val="2"/>
          </w:tcPr>
          <w:p>
            <w:pPr>
              <w:spacing w:after="0"/>
              <w:rPr>
                <w:sz w:val="16"/>
                <w:szCs w:val="16"/>
                <w:color w:val="auto"/>
              </w:rPr>
            </w:pPr>
          </w:p>
        </w:tc>
        <w:tc>
          <w:tcPr>
            <w:tcW w:w="440" w:type="dxa"/>
            <w:vAlign w:val="bottom"/>
            <w:gridSpan w:val="2"/>
          </w:tcPr>
          <w:p>
            <w:pPr>
              <w:spacing w:after="0"/>
              <w:rPr>
                <w:sz w:val="16"/>
                <w:szCs w:val="16"/>
                <w:color w:val="auto"/>
              </w:rPr>
            </w:pPr>
          </w:p>
        </w:tc>
        <w:tc>
          <w:tcPr>
            <w:tcW w:w="9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Net sales</w:t>
            </w:r>
          </w:p>
        </w:tc>
        <w:tc>
          <w:tcPr>
            <w:tcW w:w="1400" w:type="dxa"/>
            <w:vAlign w:val="bottom"/>
            <w:gridSpan w:val="2"/>
            <w:shd w:val="clear" w:color="auto" w:fill="CCEEFF"/>
          </w:tcPr>
          <w:p>
            <w:pPr>
              <w:jc w:val="right"/>
              <w:ind w:right="43"/>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27.4</w:t>
            </w:r>
          </w:p>
        </w:tc>
        <w:tc>
          <w:tcPr>
            <w:tcW w:w="600" w:type="dxa"/>
            <w:vAlign w:val="bottom"/>
            <w:gridSpan w:val="2"/>
            <w:shd w:val="clear" w:color="auto" w:fill="CCEEFF"/>
          </w:tcPr>
          <w:p>
            <w:pPr>
              <w:jc w:val="right"/>
              <w:ind w:right="183"/>
              <w:spacing w:after="0" w:line="243" w:lineRule="exact"/>
              <w:rPr>
                <w:sz w:val="20"/>
                <w:szCs w:val="20"/>
                <w:color w:val="auto"/>
              </w:rPr>
            </w:pPr>
            <w:r>
              <w:rPr>
                <w:rFonts w:ascii="Arial" w:cs="Arial" w:eastAsia="Arial" w:hAnsi="Arial"/>
                <w:sz w:val="22"/>
                <w:szCs w:val="22"/>
                <w:color w:val="auto"/>
              </w:rPr>
              <w:t>$</w:t>
            </w:r>
          </w:p>
        </w:tc>
        <w:tc>
          <w:tcPr>
            <w:tcW w:w="7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29.6</w:t>
            </w:r>
          </w:p>
        </w:tc>
        <w:tc>
          <w:tcPr>
            <w:tcW w:w="460" w:type="dxa"/>
            <w:vAlign w:val="bottom"/>
            <w:gridSpan w:val="2"/>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118.2</w:t>
            </w:r>
          </w:p>
        </w:tc>
        <w:tc>
          <w:tcPr>
            <w:tcW w:w="440" w:type="dxa"/>
            <w:vAlign w:val="bottom"/>
            <w:gridSpan w:val="2"/>
            <w:shd w:val="clear" w:color="auto" w:fill="CCEEFF"/>
          </w:tcPr>
          <w:p>
            <w:pPr>
              <w:jc w:val="right"/>
              <w:ind w:right="123"/>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124.2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Cost of sales</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19.5</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20.7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79.9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85.2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Gross margin</w:t>
            </w:r>
          </w:p>
        </w:tc>
        <w:tc>
          <w:tcPr>
            <w:tcW w:w="116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7.9</w:t>
            </w:r>
          </w:p>
        </w:tc>
        <w:tc>
          <w:tcPr>
            <w:tcW w:w="22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8.9</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38.3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39.0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Selling, general and administrative expense</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5.0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5.4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21.3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Operating income</w:t>
            </w:r>
          </w:p>
        </w:tc>
        <w:tc>
          <w:tcPr>
            <w:tcW w:w="116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2.9</w:t>
            </w:r>
          </w:p>
        </w:tc>
        <w:tc>
          <w:tcPr>
            <w:tcW w:w="22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3.5</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Interest income</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0.8</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0.7</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Income before taxes</w:t>
            </w:r>
          </w:p>
        </w:tc>
        <w:tc>
          <w:tcPr>
            <w:tcW w:w="1160" w:type="dxa"/>
            <w:vAlign w:val="bottom"/>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3.7</w:t>
            </w:r>
          </w:p>
        </w:tc>
        <w:tc>
          <w:tcPr>
            <w:tcW w:w="220" w:type="dxa"/>
            <w:vAlign w:val="bottom"/>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76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4.2</w:t>
            </w:r>
          </w:p>
        </w:tc>
        <w:tc>
          <w:tcPr>
            <w:tcW w:w="200" w:type="dxa"/>
            <w:vAlign w:val="bottom"/>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20.9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Provision for income taxes</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1.0</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tcBorders>
              <w:bottom w:val="single" w:sz="8" w:color="CCEEFF"/>
            </w:tcBorders>
            <w:shd w:val="clear" w:color="auto" w:fill="CCEEFF"/>
          </w:tcPr>
          <w:p>
            <w:pPr>
              <w:spacing w:after="0" w:line="243" w:lineRule="exact"/>
              <w:rPr>
                <w:sz w:val="20"/>
                <w:szCs w:val="20"/>
                <w:color w:val="auto"/>
              </w:rPr>
            </w:pPr>
            <w:r>
              <w:rPr>
                <w:rFonts w:ascii="Arial" w:cs="Arial" w:eastAsia="Arial" w:hAnsi="Arial"/>
                <w:sz w:val="22"/>
                <w:szCs w:val="22"/>
                <w:color w:val="auto"/>
              </w:rPr>
              <w:t>Net income</w:t>
            </w:r>
          </w:p>
        </w:tc>
        <w:tc>
          <w:tcPr>
            <w:tcW w:w="1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9"/>
                <w:szCs w:val="19"/>
                <w:color w:val="auto"/>
                <w:w w:val="75"/>
              </w:rPr>
              <w:t>$</w:t>
            </w:r>
          </w:p>
        </w:tc>
        <w:tc>
          <w:tcPr>
            <w:tcW w:w="9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2.7</w:t>
            </w:r>
          </w:p>
        </w:tc>
        <w:tc>
          <w:tcPr>
            <w:tcW w:w="20" w:type="dxa"/>
            <w:vAlign w:val="bottom"/>
            <w:tcBorders>
              <w:top w:val="single" w:sz="8" w:color="auto"/>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Arial" w:cs="Arial" w:eastAsia="Arial" w:hAnsi="Arial"/>
                <w:sz w:val="19"/>
                <w:szCs w:val="19"/>
                <w:color w:val="auto"/>
                <w:w w:val="75"/>
              </w:rPr>
              <w:t>$</w:t>
            </w:r>
          </w:p>
        </w:tc>
        <w:tc>
          <w:tcPr>
            <w:tcW w:w="76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3.2</w:t>
            </w:r>
          </w:p>
        </w:tc>
        <w:tc>
          <w:tcPr>
            <w:tcW w:w="2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w w:val="81"/>
              </w:rPr>
              <w:t>$</w:t>
            </w:r>
          </w:p>
        </w:tc>
        <w:tc>
          <w:tcPr>
            <w:tcW w:w="88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15.3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Arial" w:cs="Arial" w:eastAsia="Arial" w:hAnsi="Arial"/>
                <w:sz w:val="19"/>
                <w:szCs w:val="19"/>
                <w:color w:val="auto"/>
                <w:w w:val="75"/>
              </w:rPr>
              <w:t>$</w:t>
            </w:r>
          </w:p>
        </w:tc>
        <w:tc>
          <w:tcPr>
            <w:tcW w:w="820" w:type="dxa"/>
            <w:vAlign w:val="bottom"/>
            <w:tcBorders>
              <w:top w:val="single" w:sz="8" w:color="auto"/>
              <w:bottom w:val="single" w:sz="8" w:color="auto"/>
            </w:tcBorders>
            <w:shd w:val="clear" w:color="auto" w:fill="CCEEFF"/>
          </w:tcPr>
          <w:p>
            <w:pPr>
              <w:jc w:val="right"/>
              <w:spacing w:after="0" w:line="243" w:lineRule="exact"/>
              <w:rPr>
                <w:sz w:val="20"/>
                <w:szCs w:val="20"/>
                <w:color w:val="auto"/>
              </w:rPr>
            </w:pPr>
            <w:r>
              <w:rPr>
                <w:rFonts w:ascii="Arial" w:cs="Arial" w:eastAsia="Arial" w:hAnsi="Arial"/>
                <w:sz w:val="22"/>
                <w:szCs w:val="22"/>
                <w:color w:val="auto"/>
              </w:rPr>
              <w:t>16.0</w:t>
            </w:r>
          </w:p>
        </w:tc>
        <w:tc>
          <w:tcPr>
            <w:tcW w:w="1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tcPr>
          <w:p>
            <w:pPr>
              <w:spacing w:after="0" w:line="243" w:lineRule="exact"/>
              <w:rPr>
                <w:sz w:val="20"/>
                <w:szCs w:val="20"/>
                <w:color w:val="auto"/>
              </w:rPr>
            </w:pPr>
            <w:r>
              <w:rPr>
                <w:rFonts w:ascii="Arial" w:cs="Arial" w:eastAsia="Arial" w:hAnsi="Arial"/>
                <w:sz w:val="22"/>
                <w:szCs w:val="22"/>
                <w:color w:val="auto"/>
              </w:rPr>
              <w:t>Basic and diluted net income</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4900" w:type="dxa"/>
            <w:vAlign w:val="bottom"/>
            <w:shd w:val="clear" w:color="auto" w:fill="CCEEFF"/>
          </w:tcPr>
          <w:p>
            <w:pPr>
              <w:ind w:left="160"/>
              <w:spacing w:after="0" w:line="243" w:lineRule="exact"/>
              <w:rPr>
                <w:sz w:val="20"/>
                <w:szCs w:val="20"/>
                <w:color w:val="auto"/>
              </w:rPr>
            </w:pPr>
            <w:r>
              <w:rPr>
                <w:rFonts w:ascii="Arial" w:cs="Arial" w:eastAsia="Arial" w:hAnsi="Arial"/>
                <w:sz w:val="22"/>
                <w:szCs w:val="22"/>
                <w:color w:val="auto"/>
              </w:rPr>
              <w:t>per common share</w:t>
            </w:r>
          </w:p>
        </w:tc>
        <w:tc>
          <w:tcPr>
            <w:tcW w:w="1400" w:type="dxa"/>
            <w:vAlign w:val="bottom"/>
            <w:gridSpan w:val="2"/>
            <w:shd w:val="clear" w:color="auto" w:fill="CCEEFF"/>
          </w:tcPr>
          <w:p>
            <w:pPr>
              <w:jc w:val="right"/>
              <w:ind w:right="43"/>
              <w:spacing w:after="0" w:line="243" w:lineRule="exact"/>
              <w:rPr>
                <w:sz w:val="20"/>
                <w:szCs w:val="20"/>
                <w:color w:val="auto"/>
              </w:rPr>
            </w:pPr>
            <w:r>
              <w:rPr>
                <w:rFonts w:ascii="Arial" w:cs="Arial" w:eastAsia="Arial" w:hAnsi="Arial"/>
                <w:sz w:val="22"/>
                <w:szCs w:val="22"/>
                <w:color w:val="auto"/>
              </w:rPr>
              <w:t>$</w:t>
            </w:r>
          </w:p>
        </w:tc>
        <w:tc>
          <w:tcPr>
            <w:tcW w:w="940" w:type="dxa"/>
            <w:vAlign w:val="bottom"/>
            <w:gridSpan w:val="2"/>
            <w:shd w:val="clear" w:color="auto" w:fill="CCEEFF"/>
          </w:tcPr>
          <w:p>
            <w:pPr>
              <w:jc w:val="right"/>
              <w:ind w:right="20"/>
              <w:spacing w:after="0" w:line="243" w:lineRule="exact"/>
              <w:rPr>
                <w:sz w:val="20"/>
                <w:szCs w:val="20"/>
                <w:color w:val="auto"/>
              </w:rPr>
            </w:pPr>
            <w:r>
              <w:rPr>
                <w:rFonts w:ascii="Arial" w:cs="Arial" w:eastAsia="Arial" w:hAnsi="Arial"/>
                <w:sz w:val="22"/>
                <w:szCs w:val="22"/>
                <w:color w:val="auto"/>
              </w:rPr>
              <w:t>0.22</w:t>
            </w:r>
          </w:p>
        </w:tc>
        <w:tc>
          <w:tcPr>
            <w:tcW w:w="600" w:type="dxa"/>
            <w:vAlign w:val="bottom"/>
            <w:gridSpan w:val="2"/>
            <w:shd w:val="clear" w:color="auto" w:fill="CCEEFF"/>
          </w:tcPr>
          <w:p>
            <w:pPr>
              <w:jc w:val="right"/>
              <w:ind w:right="183"/>
              <w:spacing w:after="0" w:line="243" w:lineRule="exact"/>
              <w:rPr>
                <w:sz w:val="20"/>
                <w:szCs w:val="20"/>
                <w:color w:val="auto"/>
              </w:rPr>
            </w:pPr>
            <w:r>
              <w:rPr>
                <w:rFonts w:ascii="Arial" w:cs="Arial" w:eastAsia="Arial" w:hAnsi="Arial"/>
                <w:sz w:val="22"/>
                <w:szCs w:val="22"/>
                <w:color w:val="auto"/>
              </w:rPr>
              <w:t>$</w:t>
            </w:r>
          </w:p>
        </w:tc>
        <w:tc>
          <w:tcPr>
            <w:tcW w:w="760" w:type="dxa"/>
            <w:vAlign w:val="bottom"/>
            <w:shd w:val="clear" w:color="auto" w:fill="CCEEFF"/>
          </w:tcPr>
          <w:p>
            <w:pPr>
              <w:jc w:val="right"/>
              <w:spacing w:after="0" w:line="243" w:lineRule="exact"/>
              <w:rPr>
                <w:sz w:val="20"/>
                <w:szCs w:val="20"/>
                <w:color w:val="auto"/>
              </w:rPr>
            </w:pPr>
            <w:r>
              <w:rPr>
                <w:rFonts w:ascii="Arial" w:cs="Arial" w:eastAsia="Arial" w:hAnsi="Arial"/>
                <w:sz w:val="22"/>
                <w:szCs w:val="22"/>
                <w:color w:val="auto"/>
              </w:rPr>
              <w:t>0.26</w:t>
            </w:r>
          </w:p>
        </w:tc>
        <w:tc>
          <w:tcPr>
            <w:tcW w:w="460" w:type="dxa"/>
            <w:vAlign w:val="bottom"/>
            <w:gridSpan w:val="2"/>
            <w:shd w:val="clear" w:color="auto" w:fill="CCEEFF"/>
          </w:tcPr>
          <w:p>
            <w:pPr>
              <w:jc w:val="right"/>
              <w:ind w:right="32"/>
              <w:spacing w:after="0" w:line="243" w:lineRule="exact"/>
              <w:rPr>
                <w:sz w:val="20"/>
                <w:szCs w:val="20"/>
                <w:color w:val="auto"/>
              </w:rPr>
            </w:pPr>
            <w:r>
              <w:rPr>
                <w:rFonts w:ascii="Arial" w:cs="Arial" w:eastAsia="Arial" w:hAnsi="Arial"/>
                <w:sz w:val="22"/>
                <w:szCs w:val="22"/>
                <w:color w:val="auto"/>
              </w:rPr>
              <w:t>$</w:t>
            </w:r>
          </w:p>
        </w:tc>
        <w:tc>
          <w:tcPr>
            <w:tcW w:w="98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1.23</w:t>
            </w:r>
          </w:p>
        </w:tc>
        <w:tc>
          <w:tcPr>
            <w:tcW w:w="440" w:type="dxa"/>
            <w:vAlign w:val="bottom"/>
            <w:gridSpan w:val="2"/>
            <w:shd w:val="clear" w:color="auto" w:fill="CCEEFF"/>
          </w:tcPr>
          <w:p>
            <w:pPr>
              <w:jc w:val="right"/>
              <w:ind w:right="123"/>
              <w:spacing w:after="0" w:line="243" w:lineRule="exact"/>
              <w:rPr>
                <w:sz w:val="20"/>
                <w:szCs w:val="20"/>
                <w:color w:val="auto"/>
              </w:rPr>
            </w:pPr>
            <w:r>
              <w:rPr>
                <w:rFonts w:ascii="Arial" w:cs="Arial" w:eastAsia="Arial" w:hAnsi="Arial"/>
                <w:sz w:val="22"/>
                <w:szCs w:val="22"/>
                <w:color w:val="auto"/>
              </w:rPr>
              <w:t>$</w:t>
            </w:r>
          </w:p>
        </w:tc>
        <w:tc>
          <w:tcPr>
            <w:tcW w:w="920" w:type="dxa"/>
            <w:vAlign w:val="bottom"/>
            <w:gridSpan w:val="2"/>
            <w:shd w:val="clear" w:color="auto" w:fill="CCEEFF"/>
          </w:tcPr>
          <w:p>
            <w:pPr>
              <w:jc w:val="right"/>
              <w:ind w:right="100"/>
              <w:spacing w:after="0" w:line="243" w:lineRule="exact"/>
              <w:rPr>
                <w:sz w:val="20"/>
                <w:szCs w:val="20"/>
                <w:color w:val="auto"/>
              </w:rPr>
            </w:pPr>
            <w:r>
              <w:rPr>
                <w:rFonts w:ascii="Arial" w:cs="Arial" w:eastAsia="Arial" w:hAnsi="Arial"/>
                <w:sz w:val="22"/>
                <w:szCs w:val="22"/>
                <w:color w:val="auto"/>
              </w:rPr>
              <w:t>1.29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0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Weighted average diluted common</w:t>
            </w:r>
          </w:p>
        </w:tc>
        <w:tc>
          <w:tcPr>
            <w:tcW w:w="1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00" w:type="dxa"/>
            <w:vAlign w:val="bottom"/>
          </w:tcPr>
          <w:p>
            <w:pPr>
              <w:ind w:left="160"/>
              <w:spacing w:after="0" w:line="243" w:lineRule="exact"/>
              <w:rPr>
                <w:sz w:val="20"/>
                <w:szCs w:val="20"/>
                <w:color w:val="auto"/>
              </w:rPr>
            </w:pPr>
            <w:r>
              <w:rPr>
                <w:rFonts w:ascii="Arial" w:cs="Arial" w:eastAsia="Arial" w:hAnsi="Arial"/>
                <w:sz w:val="22"/>
                <w:szCs w:val="22"/>
                <w:color w:val="auto"/>
              </w:rPr>
              <w:t>shares outstanding</w:t>
            </w: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12.4</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line="243" w:lineRule="exact"/>
              <w:rPr>
                <w:sz w:val="20"/>
                <w:szCs w:val="20"/>
                <w:color w:val="auto"/>
              </w:rPr>
            </w:pPr>
            <w:r>
              <w:rPr>
                <w:rFonts w:ascii="Arial" w:cs="Arial" w:eastAsia="Arial" w:hAnsi="Arial"/>
                <w:sz w:val="22"/>
                <w:szCs w:val="22"/>
                <w:color w:val="auto"/>
              </w:rPr>
              <w:t>12.4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100"/>
              <w:spacing w:after="0" w:line="243" w:lineRule="exact"/>
              <w:rPr>
                <w:sz w:val="20"/>
                <w:szCs w:val="20"/>
                <w:color w:val="auto"/>
              </w:rPr>
            </w:pPr>
            <w:r>
              <w:rPr>
                <w:rFonts w:ascii="Arial" w:cs="Arial" w:eastAsia="Arial" w:hAnsi="Arial"/>
                <w:sz w:val="22"/>
                <w:szCs w:val="22"/>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0"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45796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t>PRESS RELEASE</w:t>
      </w:r>
    </w:p>
    <w:p>
      <w:pPr>
        <w:sectPr>
          <w:pgSz w:w="11900" w:h="16838" w:orient="portrait"/>
          <w:cols w:equalWidth="0" w:num="1">
            <w:col w:w="11420"/>
          </w:cols>
          <w:pgMar w:left="240" w:top="1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CONTACT:</w:t>
      </w:r>
    </w:p>
    <w:p>
      <w:pPr>
        <w:spacing w:after="0" w:line="211" w:lineRule="exact"/>
        <w:rPr>
          <w:sz w:val="20"/>
          <w:szCs w:val="20"/>
          <w:color w:val="auto"/>
        </w:rPr>
      </w:pPr>
    </w:p>
    <w:p>
      <w:pPr>
        <w:sectPr>
          <w:pgSz w:w="11900" w:h="16838" w:orient="portrait"/>
          <w:cols w:equalWidth="0" w:num="2">
            <w:col w:w="6160" w:space="720"/>
            <w:col w:w="4540"/>
          </w:cols>
          <w:pgMar w:left="240" w:top="1233" w:right="2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CompX International Inc.</w:t>
      </w:r>
    </w:p>
    <w:p>
      <w:pPr>
        <w:spacing w:after="0" w:line="238" w:lineRule="auto"/>
        <w:rPr>
          <w:sz w:val="20"/>
          <w:szCs w:val="20"/>
          <w:color w:val="auto"/>
        </w:rPr>
      </w:pPr>
      <w:r>
        <w:rPr>
          <w:rFonts w:ascii="Arial" w:cs="Arial" w:eastAsia="Arial" w:hAnsi="Arial"/>
          <w:sz w:val="22"/>
          <w:szCs w:val="22"/>
          <w:color w:val="auto"/>
        </w:rPr>
        <w:t>Three Lincoln Centre</w:t>
      </w:r>
    </w:p>
    <w:p>
      <w:pPr>
        <w:spacing w:after="0"/>
        <w:rPr>
          <w:sz w:val="20"/>
          <w:szCs w:val="20"/>
          <w:color w:val="auto"/>
        </w:rPr>
      </w:pPr>
      <w:r>
        <w:rPr>
          <w:rFonts w:ascii="Arial" w:cs="Arial" w:eastAsia="Arial" w:hAnsi="Arial"/>
          <w:sz w:val="19"/>
          <w:szCs w:val="19"/>
          <w:color w:val="auto"/>
        </w:rPr>
        <w:t>5430 LBJ Freeway, Suite 1700</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Dallas, Texas 75240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Janet G. Keckeisen</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Investor Relations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Tel. 972-233-1700</w:t>
      </w:r>
    </w:p>
    <w:p>
      <w:pPr>
        <w:spacing w:after="0" w:line="477" w:lineRule="exact"/>
        <w:rPr>
          <w:sz w:val="20"/>
          <w:szCs w:val="20"/>
          <w:color w:val="auto"/>
        </w:rPr>
      </w:pPr>
    </w:p>
    <w:p>
      <w:pPr>
        <w:sectPr>
          <w:pgSz w:w="11900" w:h="16838" w:orient="portrait"/>
          <w:cols w:equalWidth="0" w:num="2">
            <w:col w:w="6160" w:space="720"/>
            <w:col w:w="4540"/>
          </w:cols>
          <w:pgMar w:left="240" w:top="1233" w:right="239" w:bottom="1440" w:gutter="0" w:footer="0" w:header="0"/>
          <w:type w:val="continuous"/>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COMPX ANNOUNCES INCREASE IN QUARTERLY DIVIDEND</w:t>
      </w:r>
    </w:p>
    <w:p>
      <w:pPr>
        <w:spacing w:after="0" w:line="200" w:lineRule="exact"/>
        <w:rPr>
          <w:sz w:val="20"/>
          <w:szCs w:val="20"/>
          <w:color w:val="auto"/>
        </w:rPr>
      </w:pPr>
    </w:p>
    <w:p>
      <w:pPr>
        <w:spacing w:after="0" w:line="28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DALLAS, TEXAS . . . February 26, 2020 . . . CompX International Inc. (NYSE American: CIX) announced today a $0.03 per share increase in its regular quarterly dividend. CompX’s board of directors has declared a regular quarterly dividend of ten cents ($0.10) per share on its class A common stock, payable on March 19, 2020 to stockholders of record at the close of business on March 9, 2020.</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CompX is a leading manufacturer of security products and recreational marine components.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 *</w:t>
      </w:r>
    </w:p>
    <w:sectPr>
      <w:pgSz w:w="11900" w:h="16838" w:orient="portrait"/>
      <w:cols w:equalWidth="0" w:num="1">
        <w:col w:w="11420"/>
      </w:cols>
      <w:pgMar w:left="240" w:top="1233"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2020-02-26T15:30:54Z</dcterms:created>
  <dcterms:modified xsi:type="dcterms:W3CDTF">2020-02-26T15:30:54Z</dcterms:modified>
</cp:coreProperties>
</file>