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x-20240507x8k.htm"/>
      <w:bookmarkStart w:id="1" w:name="kscix20240507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e63969e_e1ef_4dca_a6d1_08362adfca27"/>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May 7, 2024</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YtI0_tihykamRfDS50P5kQ_5_2"/>
      <w:bookmarkStart w:id="4" w:name="Tc_PwBs7cpOL0SautJ7ft3HFg_5_0"/>
      <w:bookmarkStart w:id="5" w:name="Tc_b760BqP7ikWPtoh5Izv9vw_4_0"/>
      <w:bookmarkStart w:id="6" w:name="Tc_2Op8OjCRgkisYzIN4egr-Q_1_2"/>
      <w:bookmarkStart w:id="7" w:name="Tc_Scn9w7fYE0yXM5CjWdolFg_1_1"/>
      <w:bookmarkStart w:id="8" w:name="Tc_lxn5_Kie2ESNrhv-vsGaRQ_1_0"/>
      <w:bookmarkStart w:id="9" w:name="_b4f68095_e54f_4e44_947a_47c1ed4f140d"/>
      <w:bookmarkStart w:id="10" w:name="Tc_YtI0_tihykamRfDS50P5kQ_5_2"/>
      <w:bookmarkStart w:id="11" w:name="Tc_PwBs7cpOL0SautJ7ft3HFg_5_0"/>
      <w:bookmarkStart w:id="12" w:name="Tc_b760BqP7ikWPtoh5Izv9vw_4_0"/>
      <w:bookmarkStart w:id="13" w:name="Tc_2Op8OjCRgkisYzIN4egr-Q_1_2"/>
      <w:bookmarkStart w:id="14" w:name="Tc_Scn9w7fYE0yXM5CjWdolFg_1_1"/>
      <w:bookmarkStart w:id="15" w:name="Tc_lxn5_Kie2ESNrhv-vsGaRQ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krKiScxINkGAfj-bCV5GEg_6_1"/>
      <w:bookmarkStart w:id="18" w:name="Tc_inGeY20u2EuwuPFdEGGXgA_4_1"/>
      <w:bookmarkStart w:id="19" w:name="Tc_TZNX9c5mHkCibTbO-EAqtg_2_1"/>
      <w:bookmarkStart w:id="20" w:name="Tc_N0h1nWwBM06bUEvgM9_Hkg_0_1"/>
      <w:bookmarkStart w:id="21" w:name="_03f466d9_c487_4fb9_bacb_2fc3efc44005"/>
      <w:bookmarkStart w:id="22" w:name="Tc_krKiScxINkGAfj-bCV5GEg_6_1"/>
      <w:bookmarkStart w:id="23" w:name="Tc_inGeY20u2EuwuPFdEGGXgA_4_1"/>
      <w:bookmarkStart w:id="24" w:name="Tc_TZNX9c5mHkCibTbO-EAqtg_2_1"/>
      <w:bookmarkStart w:id="25" w:name="Tc_N0h1nWwBM06bUEvgM9_Hkg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VNzHsYYhTEqxb_H0tSXY4A_1_0"/>
      <w:bookmarkStart w:id="28" w:name="Tc_R7AZ-AkCWUmenz9zE_OMBQ_0_4"/>
      <w:bookmarkStart w:id="29" w:name="Tc_bsAa6mfdo02iP9FWb-Ti2w_0_2"/>
      <w:bookmarkStart w:id="30" w:name="Tc_4xOX7mgfIkK6_G8CJ35AjA_0_0"/>
      <w:bookmarkStart w:id="31" w:name="_84013d71_9fc3_4d86_8558_81d89f73a4dd"/>
      <w:bookmarkStart w:id="32" w:name="Tc_VNzHsYYhTEqxb_H0tSXY4A_1_0"/>
      <w:bookmarkStart w:id="33" w:name="Tc_R7AZ-AkCWUmenz9zE_OMBQ_0_4"/>
      <w:bookmarkStart w:id="34" w:name="Tc_bsAa6mfdo02iP9FWb-Ti2w_0_2"/>
      <w:bookmarkStart w:id="35" w:name="Tc_4xOX7mgfIkK6_G8CJ35AjA_0_0"/>
      <w:bookmarkStart w:id="36" w:name="_84013d71_9fc3_4d86_8558_81d89f73a4dd"/>
      <w:bookmarkEnd w:id="32"/>
      <w:bookmarkEnd w:id="33"/>
      <w:bookmarkEnd w:id="34"/>
      <w:bookmarkEnd w:id="35"/>
      <w:bookmarkEnd w:id="36"/>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37" w:name="_830bc902_fb52_47a6_adcb_99c6864fb062"/>
      <w:bookmarkStart w:id="38" w:name="_830bc902_fb52_47a6_adcb_99c6864fb062"/>
      <w:bookmarkEnd w:id="3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First Quarter 2024 Results” that the registrant issued on May 7, 2024,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0fe5b5ff_0c67_48bb_9948_9d115e0142a2"/>
      <w:bookmarkStart w:id="40" w:name="_0fe5b5ff_0c67_48bb_9948_9d115e0142a2"/>
      <w:bookmarkEnd w:id="40"/>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40"/>
        <w:gridCol w:w="809"/>
        <w:gridCol w:w="109"/>
        <w:gridCol w:w="8947"/>
      </w:tblGrid>
      <w:tr>
        <w:trPr/>
        <w:tc>
          <w:tcPr>
            <w:tcW w:w="3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47" w:type="dxa"/>
            <w:tcBorders/>
            <w:vAlign w:val="center"/>
          </w:tcPr>
          <w:p>
            <w:pPr>
              <w:pStyle w:val="TableContents"/>
              <w:bidi w:val="0"/>
              <w:spacing w:before="0" w:after="0"/>
              <w:ind w:left="0" w:right="0" w:hanging="0"/>
              <w:jc w:val="left"/>
              <w:rPr/>
            </w:pPr>
            <w:r>
              <w:rPr/>
              <w:t>​</w:t>
            </w:r>
          </w:p>
        </w:tc>
      </w:tr>
      <w:tr>
        <w:trPr/>
        <w:tc>
          <w:tcPr>
            <w:tcW w:w="340"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center"/>
              <w:rPr>
                <w:spacing w:val="-3"/>
              </w:rPr>
            </w:pPr>
            <w:r>
              <w:rPr>
                <w:spacing w:val="-3"/>
              </w:rPr>
              <w:t>​</w:t>
            </w:r>
          </w:p>
        </w:tc>
        <w:tc>
          <w:tcPr>
            <w:tcW w:w="809"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pPr>
            <w:hyperlink w:anchor="cix-20240507xex99d1.htm">
              <w:r>
                <w:rPr>
                  <w:rStyle w:val="InternetLink"/>
                  <w:rFonts w:ascii="Times New Roman;Times;serif" w:hAnsi="Times New Roman;Times;serif"/>
                  <w:b w:val="false"/>
                  <w:i w:val="false"/>
                  <w:caps w:val="false"/>
                  <w:smallCaps w:val="false"/>
                  <w:sz w:val="20"/>
                </w:rPr>
                <w:t xml:space="preserve">Press release dated May 7, 2024 </w:t>
              </w:r>
            </w:hyperlink>
            <w:hyperlink w:anchor="cix-20240507xex99d1.htm">
              <w:r>
                <w:rPr>
                  <w:rStyle w:val="InternetLink"/>
                  <w:rFonts w:ascii="Times New Roman;Times;serif" w:hAnsi="Times New Roman;Times;serif"/>
                  <w:b w:val="false"/>
                  <w:i w:val="false"/>
                  <w:caps w:val="false"/>
                  <w:smallCaps w:val="false"/>
                  <w:spacing w:val="-3"/>
                  <w:sz w:val="20"/>
                </w:rPr>
                <w:t xml:space="preserve">entitled “CompX Reports First Quarter 2024 Results” and </w:t>
              </w:r>
            </w:hyperlink>
            <w:hyperlink w:anchor="cix-20240507xex99d1.htm">
              <w:r>
                <w:rPr>
                  <w:rStyle w:val="InternetLink"/>
                  <w:rFonts w:ascii="Times New Roman;Times;serif" w:hAnsi="Times New Roman;Times;serif"/>
                  <w:b w:val="false"/>
                  <w:i w:val="false"/>
                  <w:caps w:val="false"/>
                  <w:smallCaps w:val="false"/>
                  <w:sz w:val="20"/>
                </w:rPr>
                <w:t>issued by the registrant.</w:t>
              </w:r>
            </w:hyperlink>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spacing w:val="-3"/>
              </w:rPr>
            </w:pPr>
            <w:r>
              <w:rPr>
                <w:spacing w:val="-3"/>
              </w:rPr>
              <w:t>​</w:t>
            </w:r>
          </w:p>
        </w:tc>
      </w:tr>
      <w:tr>
        <w:trPr/>
        <w:tc>
          <w:tcPr>
            <w:tcW w:w="340" w:type="dxa"/>
            <w:tcBorders/>
            <w:vAlign w:val="center"/>
          </w:tcPr>
          <w:p>
            <w:pPr>
              <w:pStyle w:val="TableContents"/>
              <w:bidi w:val="0"/>
              <w:spacing w:before="0" w:after="0"/>
              <w:ind w:left="0" w:right="0" w:hanging="0"/>
              <w:jc w:val="left"/>
              <w:rPr>
                <w:spacing w:val="-3"/>
              </w:rPr>
            </w:pPr>
            <w:r>
              <w:rPr>
                <w:spacing w:val="-3"/>
              </w:rPr>
              <w:t>​</w:t>
            </w:r>
          </w:p>
        </w:tc>
        <w:tc>
          <w:tcPr>
            <w:tcW w:w="809"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1" w:name="_cf32c242_cd4a_496d_b2a6_a8cb64a60444"/>
      <w:bookmarkEnd w:id="41"/>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043" w:type="dxa"/>
        <w:jc w:val="left"/>
        <w:tblInd w:w="0" w:type="dxa"/>
        <w:tblLayout w:type="fixed"/>
        <w:tblCellMar>
          <w:top w:w="0" w:type="dxa"/>
          <w:left w:w="0" w:type="dxa"/>
          <w:bottom w:w="0" w:type="dxa"/>
          <w:right w:w="0" w:type="dxa"/>
        </w:tblCellMar>
      </w:tblPr>
      <w:tblGrid>
        <w:gridCol w:w="1636"/>
        <w:gridCol w:w="406"/>
        <w:gridCol w:w="3001"/>
      </w:tblGrid>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63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7, 2024</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2" w:name="cix-20240507xex99d1.htm"/>
      <w:bookmarkStart w:id="43" w:name="kscix20240507xex99d1"/>
      <w:bookmarkStart w:id="44" w:name="cix-20240507xex99d1.htm"/>
      <w:bookmarkStart w:id="45" w:name="kscix20240507xex99d1"/>
      <w:bookmarkEnd w:id="44"/>
      <w:bookmarkEnd w:id="45"/>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lef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30"/>
        </w:rPr>
      </w:pPr>
      <w:r>
        <w:rPr>
          <w:rFonts w:ascii="Times New Roman;Times;serif" w:hAnsi="Times New Roman;Times;serif"/>
          <w:b/>
          <w:sz w:val="30"/>
        </w:rPr>
        <w:t>COMPX REPORTS FIRST QUARTER 2024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May 7, 2024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sales of $38.0 million for the first quarter of 2024 compared to $41.2 million in the same period of 2023. Operating income was $3.7 million in the first quarter of 2024 compared to $7.0 million in the same period of 2023. Net income was $3.7 million, or $.31 per basic and diluted common share, for the first quarter of 2024 compared to $6.1 million, or $.49 per basic and diluted common share, in the same period of 2023.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 xml:space="preserve">Net sales decreased in the first quarter of 2024 compared to the same period in 2023 due to lower Marine Components sales primarily to the towboat market, partially offset by higher Security Products sales to the government security market. Operating income decreased during the first quarter of 2024 predominantly due to lower Marine Components sales and gross margin.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540 people.</w:t>
      </w:r>
    </w:p>
    <w:p>
      <w:pPr>
        <w:pStyle w:val="TextBody"/>
        <w:bidi w:val="0"/>
        <w:spacing w:before="0" w:after="0"/>
        <w:ind w:left="0" w:right="0" w:hanging="0"/>
        <w:jc w:val="both"/>
        <w:rPr/>
      </w:pPr>
      <w:r>
        <w:rPr/>
        <w:t>​</w:t>
      </w:r>
    </w:p>
    <w:p>
      <w:pPr>
        <w:pStyle w:val="TextBody"/>
        <w:bidi w:val="0"/>
        <w:spacing w:before="0" w:after="16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3198" w:type="dxa"/>
        <w:jc w:val="left"/>
        <w:tblInd w:w="0" w:type="dxa"/>
        <w:tblLayout w:type="fixed"/>
        <w:tblCellMar>
          <w:top w:w="0" w:type="dxa"/>
          <w:left w:w="0" w:type="dxa"/>
          <w:bottom w:w="0" w:type="dxa"/>
          <w:right w:w="0" w:type="dxa"/>
        </w:tblCellMar>
      </w:tblPr>
      <w:tblGrid>
        <w:gridCol w:w="23"/>
        <w:gridCol w:w="95"/>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0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Changes in our raw material and other operating costs (such as zinc, brass, aluminum, steel and energy costs) and our ability to pass those costs on to our customers or offset them with reductions in other operating costs,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Price and product competition from low-cost manufacturing sources (such as China),</w:t>
            </w:r>
          </w:p>
        </w:tc>
      </w:tr>
    </w:tbl>
    <w:tbl>
      <w:tblPr>
        <w:tblW w:w="4653" w:type="dxa"/>
        <w:jc w:val="left"/>
        <w:tblInd w:w="0" w:type="dxa"/>
        <w:tblLayout w:type="fixed"/>
        <w:tblCellMar>
          <w:top w:w="0" w:type="dxa"/>
          <w:left w:w="0" w:type="dxa"/>
          <w:bottom w:w="0" w:type="dxa"/>
          <w:right w:w="0" w:type="dxa"/>
        </w:tblCellMar>
      </w:tblPr>
      <w:tblGrid>
        <w:gridCol w:w="23"/>
        <w:gridCol w:w="9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53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impact of pricing and production decisions,</w:t>
            </w:r>
          </w:p>
        </w:tc>
      </w:tr>
    </w:tbl>
    <w:tbl>
      <w:tblPr>
        <w:tblW w:w="6273" w:type="dxa"/>
        <w:jc w:val="left"/>
        <w:tblInd w:w="0" w:type="dxa"/>
        <w:tblLayout w:type="fixed"/>
        <w:tblCellMar>
          <w:top w:w="0" w:type="dxa"/>
          <w:left w:w="0" w:type="dxa"/>
          <w:bottom w:w="0" w:type="dxa"/>
          <w:right w:w="0" w:type="dxa"/>
        </w:tblCellMar>
      </w:tblPr>
      <w:tblGrid>
        <w:gridCol w:w="23"/>
        <w:gridCol w:w="9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Customer and competitor strategies including substitute products,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Uncertainties associated with the development of new products and product features,</w:t>
            </w:r>
          </w:p>
        </w:tc>
      </w:tr>
    </w:tbl>
    <w:tbl>
      <w:tblPr>
        <w:tblW w:w="1698" w:type="dxa"/>
        <w:jc w:val="left"/>
        <w:tblInd w:w="0" w:type="dxa"/>
        <w:tblLayout w:type="fixed"/>
        <w:tblCellMar>
          <w:top w:w="0" w:type="dxa"/>
          <w:left w:w="0" w:type="dxa"/>
          <w:bottom w:w="0" w:type="dxa"/>
          <w:right w:w="0" w:type="dxa"/>
        </w:tblCellMar>
      </w:tblPr>
      <w:tblGrid>
        <w:gridCol w:w="23"/>
        <w:gridCol w:w="9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5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litigation,</w:t>
            </w:r>
          </w:p>
        </w:tc>
      </w:tr>
    </w:tbl>
    <w:tbl>
      <w:tblPr>
        <w:tblW w:w="6018" w:type="dxa"/>
        <w:jc w:val="left"/>
        <w:tblInd w:w="0" w:type="dxa"/>
        <w:tblLayout w:type="fixed"/>
        <w:tblCellMar>
          <w:top w:w="0" w:type="dxa"/>
          <w:left w:w="0" w:type="dxa"/>
          <w:bottom w:w="0" w:type="dxa"/>
          <w:right w:w="0" w:type="dxa"/>
        </w:tblCellMar>
      </w:tblPr>
      <w:tblGrid>
        <w:gridCol w:w="23"/>
        <w:gridCol w:w="9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9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Our ability to protect or defend our intellectual property rights,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Potential difficulties in integrating future acquisitions,</w:t>
            </w:r>
          </w:p>
        </w:tc>
      </w:tr>
    </w:tbl>
    <w:tbl>
      <w:tblPr>
        <w:tblW w:w="7518" w:type="dxa"/>
        <w:jc w:val="left"/>
        <w:tblInd w:w="0" w:type="dxa"/>
        <w:tblLayout w:type="fixed"/>
        <w:tblCellMar>
          <w:top w:w="0" w:type="dxa"/>
          <w:left w:w="0" w:type="dxa"/>
          <w:bottom w:w="0" w:type="dxa"/>
          <w:right w:w="0" w:type="dxa"/>
        </w:tblCellMar>
      </w:tblPr>
      <w:tblGrid>
        <w:gridCol w:w="23"/>
        <w:gridCol w:w="9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4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Government laws and regulations and possible changes therein including new environmental, health, safety, sustainability or other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General global economic and political conditions that disrupt our supply chain, reduce demand or perceived demand for component products or impair our ability to operate our facilities (including changes in the level of gross domestic product in various regions of the world, natural disasters, terrorist acts, global conflicts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Operating interruptions (including, but not limited to labor disputes, leaks, natural disasters, fires, explosions, unscheduled or unplanned downtime, transportation interruptions, certain regional and world events or economic conditions and public health crises);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Technology related disruptions (including, but not limited to, cyber-attacks; software implementation, upgrades or improvements; technology processing failures; or other events) related to our technology infrastructure that could impact our ability to continue operations, or at key vendors which could impact our supply chain, or at key customers which could impact their operations and cause them to curtail or pause orders;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tbl>
      <w:tblPr>
        <w:tblW w:w="7469" w:type="dxa"/>
        <w:jc w:val="left"/>
        <w:tblInd w:w="0" w:type="dxa"/>
        <w:tblLayout w:type="fixed"/>
        <w:tblCellMar>
          <w:top w:w="0" w:type="dxa"/>
          <w:left w:w="0" w:type="dxa"/>
          <w:bottom w:w="0" w:type="dxa"/>
          <w:right w:w="0" w:type="dxa"/>
        </w:tblCellMar>
      </w:tblPr>
      <w:tblGrid>
        <w:gridCol w:w="5221"/>
        <w:gridCol w:w="260"/>
        <w:gridCol w:w="607"/>
        <w:gridCol w:w="376"/>
        <w:gridCol w:w="260"/>
        <w:gridCol w:w="745"/>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65100" cy="175260"/>
                      <wp:effectExtent l="0" t="0" r="0" b="0"/>
                      <wp:wrapNone/>
                      <wp:docPr id="3" name="Frame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5445" cy="175260"/>
                      <wp:effectExtent l="0" t="0" r="0" b="0"/>
                      <wp:wrapNone/>
                      <wp:docPr id="4" name="Frame3"/>
                      <a:graphic xmlns:a="http://schemas.openxmlformats.org/drawingml/2006/main">
                        <a:graphicData uri="http://schemas.microsoft.com/office/word/2010/wordprocessingShape">
                          <wps:wsp>
                            <wps:cNvSpPr txBox="1"/>
                            <wps:spPr>
                              <a:xfrm>
                                <a:off x="0" y="0"/>
                                <a:ext cx="385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38760" cy="175260"/>
                      <wp:effectExtent l="0" t="0" r="0" b="0"/>
                      <wp:wrapNone/>
                      <wp:docPr id="5" name="Frame4"/>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65100" cy="175260"/>
                      <wp:effectExtent l="0" t="0" r="0" b="0"/>
                      <wp:wrapNone/>
                      <wp:docPr id="6" name="Frame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73075" cy="175260"/>
                      <wp:effectExtent l="0" t="0" r="0" b="0"/>
                      <wp:wrapNone/>
                      <wp:docPr id="7" name="Frame6"/>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48"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r>
      <w:tr>
        <w:trPr/>
        <w:tc>
          <w:tcPr>
            <w:tcW w:w="5221" w:type="dxa"/>
            <w:tcBorders/>
            <w:vAlign w:val="center"/>
          </w:tcPr>
          <w:p>
            <w:pPr>
              <w:pStyle w:val="TableContents"/>
              <w:bidi w:val="0"/>
              <w:spacing w:before="0" w:after="0"/>
              <w:ind w:left="0" w:right="0" w:hanging="0"/>
              <w:jc w:val="left"/>
              <w:rPr/>
            </w:pPr>
            <w:r>
              <w:rPr/>
              <w:t>​</w:t>
            </w:r>
          </w:p>
        </w:tc>
        <w:tc>
          <w:tcPr>
            <w:tcW w:w="22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March 31,</w:t>
            </w:r>
          </w:p>
        </w:tc>
      </w:tr>
      <w:tr>
        <w:trPr/>
        <w:tc>
          <w:tcPr>
            <w:tcW w:w="5221" w:type="dxa"/>
            <w:tcBorders/>
            <w:vAlign w:val="center"/>
          </w:tcPr>
          <w:p>
            <w:pPr>
              <w:pStyle w:val="TableContents"/>
              <w:bidi w:val="0"/>
              <w:spacing w:before="0" w:after="0"/>
              <w:ind w:left="0" w:right="0" w:hanging="0"/>
              <w:jc w:val="left"/>
              <w:rPr/>
            </w:pPr>
            <w:r>
              <w:rPr/>
              <w:t>​</w:t>
            </w:r>
          </w:p>
        </w:tc>
        <w:tc>
          <w:tcPr>
            <w:tcW w:w="8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76" w:type="dxa"/>
            <w:tcBorders/>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2024</w:t>
            </w:r>
          </w:p>
        </w:tc>
      </w:tr>
      <w:tr>
        <w:trPr/>
        <w:tc>
          <w:tcPr>
            <w:tcW w:w="7469" w:type="dxa"/>
            <w:gridSpan w:val="6"/>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2248"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41.2</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38.0</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28.5</w:t>
            </w:r>
          </w:p>
        </w:tc>
        <w:tc>
          <w:tcPr>
            <w:tcW w:w="37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28.3</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60"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12.7</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5.7</w:t>
            </w:r>
          </w:p>
        </w:tc>
        <w:tc>
          <w:tcPr>
            <w:tcW w:w="37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6.0</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60"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7.0</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3.7</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c>
          <w:tcPr>
            <w:tcW w:w="37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taxes</w:t>
            </w:r>
          </w:p>
        </w:tc>
        <w:tc>
          <w:tcPr>
            <w:tcW w:w="260" w:type="dxa"/>
            <w:tcBorders/>
            <w:shd w:fill="CCEEFF" w:val="clear"/>
            <w:vAlign w:val="center"/>
          </w:tcPr>
          <w:p>
            <w:pPr>
              <w:pStyle w:val="TableContents"/>
              <w:bidi w:val="0"/>
              <w:spacing w:before="0" w:after="0"/>
              <w:ind w:left="0" w:right="0" w:hanging="0"/>
              <w:jc w:val="left"/>
              <w:rPr/>
            </w:pPr>
            <w:r>
              <w:rPr/>
              <w:t> </w:t>
            </w:r>
          </w:p>
        </w:tc>
        <w:tc>
          <w:tcPr>
            <w:tcW w:w="607"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8.0</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pPr>
            <w:r>
              <w:rPr/>
              <w:t> </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4.9</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Provision for income taxes</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w:t>
            </w:r>
          </w:p>
        </w:tc>
        <w:tc>
          <w:tcPr>
            <w:tcW w:w="37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6.1</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3.7</w:t>
            </w:r>
          </w:p>
        </w:tc>
      </w:tr>
      <w:tr>
        <w:trPr/>
        <w:tc>
          <w:tcPr>
            <w:tcW w:w="5221"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right"/>
              <w:rPr/>
            </w:pPr>
            <w:r>
              <w:rPr/>
              <w:t>​</w:t>
            </w:r>
          </w:p>
        </w:tc>
        <w:tc>
          <w:tcPr>
            <w:tcW w:w="37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45"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.49</w:t>
            </w:r>
          </w:p>
        </w:tc>
        <w:tc>
          <w:tcPr>
            <w:tcW w:w="37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.31</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12.3</w:t>
            </w:r>
          </w:p>
        </w:tc>
        <w:tc>
          <w:tcPr>
            <w:tcW w:w="37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45"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1323</Words>
  <Characters>7353</Characters>
  <CharactersWithSpaces>8679</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