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Arial" w:cs="Arial" w:eastAsia="Arial" w:hAnsi="Arial"/>
          <w:sz w:val="19"/>
          <w:szCs w:val="19"/>
          <w:b w:val="1"/>
          <w:bCs w:val="1"/>
          <w:color w:val="auto"/>
        </w:rPr>
        <w:t>UNITED STATES</w:t>
      </w:r>
    </w:p>
    <w:p>
      <w:pPr>
        <w:spacing w:after="0" w:line="2"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SECURITIES AND EXCHANGE COMMISSION</w:t>
      </w:r>
    </w:p>
    <w:p>
      <w:pPr>
        <w:jc w:val="center"/>
        <w:ind w:right="-6"/>
        <w:spacing w:after="0"/>
        <w:rPr>
          <w:sz w:val="20"/>
          <w:szCs w:val="20"/>
          <w:color w:val="auto"/>
        </w:rPr>
      </w:pPr>
      <w:r>
        <w:rPr>
          <w:rFonts w:ascii="Arial" w:cs="Arial" w:eastAsia="Arial" w:hAnsi="Arial"/>
          <w:sz w:val="19"/>
          <w:szCs w:val="19"/>
          <w:b w:val="1"/>
          <w:bCs w:val="1"/>
          <w:color w:val="auto"/>
        </w:rPr>
        <w:t>Washington, D.C.  205492015</w:t>
      </w:r>
    </w:p>
    <w:p>
      <w:pPr>
        <w:spacing w:after="0" w:line="347" w:lineRule="exact"/>
        <w:rPr>
          <w:sz w:val="24"/>
          <w:szCs w:val="24"/>
          <w:color w:val="auto"/>
        </w:rPr>
      </w:pPr>
    </w:p>
    <w:p>
      <w:pPr>
        <w:jc w:val="center"/>
        <w:ind w:right="-6"/>
        <w:spacing w:after="0"/>
        <w:rPr>
          <w:sz w:val="20"/>
          <w:szCs w:val="20"/>
          <w:color w:val="auto"/>
        </w:rPr>
      </w:pPr>
      <w:r>
        <w:rPr>
          <w:rFonts w:ascii="Arial" w:cs="Arial" w:eastAsia="Arial" w:hAnsi="Arial"/>
          <w:sz w:val="22"/>
          <w:szCs w:val="22"/>
          <w:b w:val="1"/>
          <w:bCs w:val="1"/>
          <w:color w:val="auto"/>
        </w:rPr>
        <w:t>FORM SD</w:t>
      </w:r>
    </w:p>
    <w:p>
      <w:pPr>
        <w:spacing w:after="0" w:line="27" w:lineRule="exact"/>
        <w:rPr>
          <w:sz w:val="24"/>
          <w:szCs w:val="24"/>
          <w:color w:val="auto"/>
        </w:rPr>
      </w:pPr>
    </w:p>
    <w:p>
      <w:pPr>
        <w:jc w:val="center"/>
        <w:ind w:right="-6"/>
        <w:spacing w:after="0"/>
        <w:rPr>
          <w:sz w:val="20"/>
          <w:szCs w:val="20"/>
          <w:color w:val="auto"/>
        </w:rPr>
      </w:pPr>
      <w:r>
        <w:rPr>
          <w:rFonts w:ascii="Arial" w:cs="Arial" w:eastAsia="Arial" w:hAnsi="Arial"/>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C</w:t>
      </w:r>
      <w:r>
        <w:rPr>
          <w:rFonts w:ascii="Arial" w:cs="Arial" w:eastAsia="Arial" w:hAnsi="Arial"/>
          <w:sz w:val="19"/>
          <w:szCs w:val="19"/>
          <w:b w:val="1"/>
          <w:bCs w:val="1"/>
          <w:color w:val="auto"/>
        </w:rPr>
        <w:t>OMP</w:t>
      </w:r>
      <w:r>
        <w:rPr>
          <w:rFonts w:ascii="Arial" w:cs="Arial" w:eastAsia="Arial" w:hAnsi="Arial"/>
          <w:sz w:val="28"/>
          <w:szCs w:val="28"/>
          <w:b w:val="1"/>
          <w:bCs w:val="1"/>
          <w:color w:val="auto"/>
        </w:rPr>
        <w:t>X I</w:t>
      </w:r>
      <w:r>
        <w:rPr>
          <w:rFonts w:ascii="Arial" w:cs="Arial" w:eastAsia="Arial" w:hAnsi="Arial"/>
          <w:sz w:val="19"/>
          <w:szCs w:val="19"/>
          <w:b w:val="1"/>
          <w:bCs w:val="1"/>
          <w:color w:val="auto"/>
        </w:rPr>
        <w:t>NTERNATIONAL</w:t>
      </w:r>
      <w:r>
        <w:rPr>
          <w:rFonts w:ascii="Arial" w:cs="Arial" w:eastAsia="Arial" w:hAnsi="Arial"/>
          <w:sz w:val="28"/>
          <w:szCs w:val="28"/>
          <w:b w:val="1"/>
          <w:bCs w:val="1"/>
          <w:color w:val="auto"/>
        </w:rPr>
        <w:t xml:space="preserve"> I</w:t>
      </w:r>
      <w:r>
        <w:rPr>
          <w:rFonts w:ascii="Arial" w:cs="Arial" w:eastAsia="Arial" w:hAnsi="Arial"/>
          <w:sz w:val="19"/>
          <w:szCs w:val="19"/>
          <w:b w:val="1"/>
          <w:bCs w:val="1"/>
          <w:color w:val="auto"/>
        </w:rPr>
        <w:t>NC</w:t>
      </w:r>
      <w:r>
        <w:rPr>
          <w:rFonts w:ascii="Arial" w:cs="Arial" w:eastAsia="Arial" w:hAnsi="Arial"/>
          <w:sz w:val="28"/>
          <w:szCs w:val="28"/>
          <w:b w:val="1"/>
          <w:bCs w:val="1"/>
          <w:color w:val="auto"/>
        </w:rPr>
        <w:t>.</w:t>
      </w:r>
    </w:p>
    <w:p>
      <w:pPr>
        <w:spacing w:after="0" w:line="26" w:lineRule="exact"/>
        <w:rPr>
          <w:sz w:val="24"/>
          <w:szCs w:val="24"/>
          <w:color w:val="auto"/>
        </w:rPr>
      </w:pPr>
    </w:p>
    <w:p>
      <w:pPr>
        <w:jc w:val="center"/>
        <w:ind w:right="-6"/>
        <w:spacing w:after="0"/>
        <w:rPr>
          <w:sz w:val="20"/>
          <w:szCs w:val="20"/>
          <w:color w:val="auto"/>
        </w:rPr>
      </w:pPr>
      <w:r>
        <w:rPr>
          <w:rFonts w:ascii="Arial" w:cs="Arial" w:eastAsia="Arial" w:hAnsi="Arial"/>
          <w:sz w:val="19"/>
          <w:szCs w:val="19"/>
          <w:color w:val="auto"/>
        </w:rPr>
        <w:t>(Exact name of registrant as specified in its charter)</w:t>
      </w:r>
    </w:p>
    <w:p>
      <w:pPr>
        <w:spacing w:after="0" w:line="253" w:lineRule="exact"/>
        <w:rPr>
          <w:sz w:val="24"/>
          <w:szCs w:val="24"/>
          <w:color w:val="auto"/>
        </w:rPr>
      </w:pPr>
    </w:p>
    <w:tbl>
      <w:tblPr>
        <w:tblLayout w:type="fixed"/>
        <w:tblInd w:w="7" w:type="dxa"/>
        <w:tblCellMar>
          <w:top w:w="0" w:type="dxa"/>
          <w:left w:w="0" w:type="dxa"/>
          <w:bottom w:w="0" w:type="dxa"/>
          <w:right w:w="0" w:type="dxa"/>
        </w:tblCellMar>
      </w:tblPr>
      <w:tr>
        <w:trPr>
          <w:trHeight w:val="279"/>
        </w:trPr>
        <w:tc>
          <w:tcPr>
            <w:tcW w:w="5100" w:type="dxa"/>
            <w:vAlign w:val="bottom"/>
            <w:tcBorders>
              <w:bottom w:val="single" w:sz="8" w:color="auto"/>
            </w:tcBorders>
          </w:tcPr>
          <w:p>
            <w:pPr>
              <w:jc w:val="center"/>
              <w:ind w:right="1287"/>
              <w:spacing w:after="0"/>
              <w:rPr>
                <w:sz w:val="20"/>
                <w:szCs w:val="20"/>
                <w:color w:val="auto"/>
              </w:rPr>
            </w:pPr>
            <w:r>
              <w:rPr>
                <w:rFonts w:ascii="Arial" w:cs="Arial" w:eastAsia="Arial" w:hAnsi="Arial"/>
                <w:sz w:val="22"/>
                <w:szCs w:val="22"/>
                <w:b w:val="1"/>
                <w:bCs w:val="1"/>
                <w:color w:val="auto"/>
                <w:w w:val="91"/>
              </w:rPr>
              <w:t>Delaware</w:t>
            </w:r>
          </w:p>
        </w:tc>
        <w:tc>
          <w:tcPr>
            <w:tcW w:w="2320" w:type="dxa"/>
            <w:vAlign w:val="bottom"/>
            <w:tcBorders>
              <w:bottom w:val="single" w:sz="8" w:color="auto"/>
            </w:tcBorders>
          </w:tcPr>
          <w:p>
            <w:pPr>
              <w:jc w:val="center"/>
              <w:ind w:right="1192"/>
              <w:spacing w:after="0"/>
              <w:rPr>
                <w:sz w:val="20"/>
                <w:szCs w:val="20"/>
                <w:color w:val="auto"/>
              </w:rPr>
            </w:pPr>
            <w:r>
              <w:rPr>
                <w:rFonts w:ascii="Arial" w:cs="Arial" w:eastAsia="Arial" w:hAnsi="Arial"/>
                <w:sz w:val="22"/>
                <w:szCs w:val="22"/>
                <w:b w:val="1"/>
                <w:bCs w:val="1"/>
                <w:color w:val="auto"/>
                <w:w w:val="89"/>
              </w:rPr>
              <w:t>1-13905</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57-0981653</w:t>
            </w:r>
          </w:p>
        </w:tc>
      </w:tr>
      <w:tr>
        <w:trPr>
          <w:trHeight w:val="176"/>
        </w:trPr>
        <w:tc>
          <w:tcPr>
            <w:tcW w:w="5100" w:type="dxa"/>
            <w:vAlign w:val="bottom"/>
          </w:tcPr>
          <w:p>
            <w:pPr>
              <w:jc w:val="center"/>
              <w:ind w:right="1287"/>
              <w:spacing w:after="0" w:line="176" w:lineRule="exact"/>
              <w:rPr>
                <w:sz w:val="20"/>
                <w:szCs w:val="20"/>
                <w:color w:val="auto"/>
              </w:rPr>
            </w:pPr>
            <w:r>
              <w:rPr>
                <w:rFonts w:ascii="Arial" w:cs="Arial" w:eastAsia="Arial" w:hAnsi="Arial"/>
                <w:sz w:val="16"/>
                <w:szCs w:val="16"/>
                <w:color w:val="auto"/>
                <w:w w:val="89"/>
              </w:rPr>
              <w:t>(State or other jurisdiction of incorporation)</w:t>
            </w:r>
          </w:p>
        </w:tc>
        <w:tc>
          <w:tcPr>
            <w:tcW w:w="2320" w:type="dxa"/>
            <w:vAlign w:val="bottom"/>
          </w:tcPr>
          <w:p>
            <w:pPr>
              <w:jc w:val="center"/>
              <w:ind w:right="1192"/>
              <w:spacing w:after="0" w:line="176" w:lineRule="exact"/>
              <w:rPr>
                <w:sz w:val="20"/>
                <w:szCs w:val="20"/>
                <w:color w:val="auto"/>
              </w:rPr>
            </w:pPr>
            <w:r>
              <w:rPr>
                <w:rFonts w:ascii="Arial" w:cs="Arial" w:eastAsia="Arial" w:hAnsi="Arial"/>
                <w:sz w:val="16"/>
                <w:szCs w:val="16"/>
                <w:color w:val="auto"/>
                <w:w w:val="89"/>
              </w:rPr>
              <w:t>(Commission</w:t>
            </w:r>
          </w:p>
        </w:tc>
        <w:tc>
          <w:tcPr>
            <w:tcW w:w="3840" w:type="dxa"/>
            <w:vAlign w:val="bottom"/>
          </w:tcPr>
          <w:p>
            <w:pPr>
              <w:jc w:val="center"/>
              <w:spacing w:after="0" w:line="176" w:lineRule="exact"/>
              <w:rPr>
                <w:sz w:val="20"/>
                <w:szCs w:val="20"/>
                <w:color w:val="auto"/>
              </w:rPr>
            </w:pPr>
            <w:r>
              <w:rPr>
                <w:rFonts w:ascii="Arial" w:cs="Arial" w:eastAsia="Arial" w:hAnsi="Arial"/>
                <w:sz w:val="16"/>
                <w:szCs w:val="16"/>
                <w:color w:val="auto"/>
                <w:w w:val="90"/>
              </w:rPr>
              <w:t>(IRS Employer</w:t>
            </w:r>
          </w:p>
        </w:tc>
      </w:tr>
      <w:tr>
        <w:trPr>
          <w:trHeight w:val="196"/>
        </w:trPr>
        <w:tc>
          <w:tcPr>
            <w:tcW w:w="5100" w:type="dxa"/>
            <w:vAlign w:val="bottom"/>
          </w:tcPr>
          <w:p>
            <w:pPr>
              <w:spacing w:after="0"/>
              <w:rPr>
                <w:sz w:val="17"/>
                <w:szCs w:val="17"/>
                <w:color w:val="auto"/>
              </w:rPr>
            </w:pPr>
          </w:p>
        </w:tc>
        <w:tc>
          <w:tcPr>
            <w:tcW w:w="2320" w:type="dxa"/>
            <w:vAlign w:val="bottom"/>
          </w:tcPr>
          <w:p>
            <w:pPr>
              <w:jc w:val="center"/>
              <w:ind w:right="1192"/>
              <w:spacing w:after="0"/>
              <w:rPr>
                <w:sz w:val="20"/>
                <w:szCs w:val="20"/>
                <w:color w:val="auto"/>
              </w:rPr>
            </w:pPr>
            <w:r>
              <w:rPr>
                <w:rFonts w:ascii="Arial" w:cs="Arial" w:eastAsia="Arial" w:hAnsi="Arial"/>
                <w:sz w:val="16"/>
                <w:szCs w:val="16"/>
                <w:color w:val="auto"/>
                <w:w w:val="90"/>
              </w:rPr>
              <w:t>File Number)</w:t>
            </w:r>
          </w:p>
        </w:tc>
        <w:tc>
          <w:tcPr>
            <w:tcW w:w="3840" w:type="dxa"/>
            <w:vAlign w:val="bottom"/>
          </w:tcPr>
          <w:p>
            <w:pPr>
              <w:jc w:val="center"/>
              <w:spacing w:after="0"/>
              <w:rPr>
                <w:sz w:val="20"/>
                <w:szCs w:val="20"/>
                <w:color w:val="auto"/>
              </w:rPr>
            </w:pPr>
            <w:r>
              <w:rPr>
                <w:rFonts w:ascii="Arial" w:cs="Arial" w:eastAsia="Arial" w:hAnsi="Arial"/>
                <w:sz w:val="16"/>
                <w:szCs w:val="16"/>
                <w:color w:val="auto"/>
                <w:w w:val="93"/>
              </w:rPr>
              <w:t>Identification No.)</w:t>
            </w:r>
          </w:p>
        </w:tc>
      </w:tr>
      <w:tr>
        <w:trPr>
          <w:trHeight w:val="632"/>
        </w:trPr>
        <w:tc>
          <w:tcPr>
            <w:tcW w:w="742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3840" w:type="dxa"/>
            <w:vAlign w:val="bottom"/>
            <w:tcBorders>
              <w:bottom w:val="single" w:sz="8" w:color="auto"/>
            </w:tcBorders>
          </w:tcPr>
          <w:p>
            <w:pPr>
              <w:jc w:val="center"/>
              <w:ind w:left="10"/>
              <w:spacing w:after="0"/>
              <w:rPr>
                <w:sz w:val="20"/>
                <w:szCs w:val="20"/>
                <w:color w:val="auto"/>
              </w:rPr>
            </w:pPr>
            <w:r>
              <w:rPr>
                <w:rFonts w:ascii="Arial" w:cs="Arial" w:eastAsia="Arial" w:hAnsi="Arial"/>
                <w:sz w:val="22"/>
                <w:szCs w:val="22"/>
                <w:b w:val="1"/>
                <w:bCs w:val="1"/>
                <w:color w:val="auto"/>
                <w:w w:val="90"/>
              </w:rPr>
              <w:t>75240-2620</w:t>
            </w:r>
          </w:p>
        </w:tc>
      </w:tr>
      <w:tr>
        <w:trPr>
          <w:trHeight w:val="183"/>
        </w:trPr>
        <w:tc>
          <w:tcPr>
            <w:tcW w:w="5100" w:type="dxa"/>
            <w:vAlign w:val="bottom"/>
          </w:tcPr>
          <w:p>
            <w:pPr>
              <w:jc w:val="center"/>
              <w:ind w:left="2307"/>
              <w:spacing w:after="0"/>
              <w:rPr>
                <w:sz w:val="20"/>
                <w:szCs w:val="20"/>
                <w:color w:val="auto"/>
              </w:rPr>
            </w:pPr>
            <w:r>
              <w:rPr>
                <w:rFonts w:ascii="Arial" w:cs="Arial" w:eastAsia="Arial" w:hAnsi="Arial"/>
                <w:sz w:val="16"/>
                <w:szCs w:val="16"/>
                <w:color w:val="auto"/>
                <w:w w:val="89"/>
              </w:rPr>
              <w:t>(Address of principal executive offices)</w:t>
            </w:r>
          </w:p>
        </w:tc>
        <w:tc>
          <w:tcPr>
            <w:tcW w:w="2320" w:type="dxa"/>
            <w:vAlign w:val="bottom"/>
          </w:tcPr>
          <w:p>
            <w:pPr>
              <w:spacing w:after="0"/>
              <w:rPr>
                <w:sz w:val="15"/>
                <w:szCs w:val="15"/>
                <w:color w:val="auto"/>
              </w:rPr>
            </w:pPr>
          </w:p>
        </w:tc>
        <w:tc>
          <w:tcPr>
            <w:tcW w:w="3840" w:type="dxa"/>
            <w:vAlign w:val="bottom"/>
          </w:tcPr>
          <w:p>
            <w:pPr>
              <w:jc w:val="center"/>
              <w:ind w:left="10"/>
              <w:spacing w:after="0"/>
              <w:rPr>
                <w:sz w:val="20"/>
                <w:szCs w:val="20"/>
                <w:color w:val="auto"/>
              </w:rPr>
            </w:pPr>
            <w:r>
              <w:rPr>
                <w:rFonts w:ascii="Arial" w:cs="Arial" w:eastAsia="Arial" w:hAnsi="Arial"/>
                <w:sz w:val="16"/>
                <w:szCs w:val="16"/>
                <w:color w:val="auto"/>
                <w:w w:val="92"/>
              </w:rPr>
              <w:t>(Zip Code)</w:t>
            </w:r>
          </w:p>
        </w:tc>
      </w:tr>
    </w:tbl>
    <w:p>
      <w:pPr>
        <w:jc w:val="center"/>
        <w:ind w:right="-6"/>
        <w:spacing w:after="0" w:line="230" w:lineRule="auto"/>
        <w:rPr>
          <w:sz w:val="20"/>
          <w:szCs w:val="20"/>
          <w:color w:val="auto"/>
        </w:rPr>
      </w:pPr>
      <w:r>
        <w:rPr>
          <w:rFonts w:ascii="Arial" w:cs="Arial" w:eastAsia="Arial" w:hAnsi="Arial"/>
          <w:sz w:val="19"/>
          <w:szCs w:val="19"/>
          <w:b w:val="1"/>
          <w:bCs w:val="1"/>
          <w:color w:val="auto"/>
        </w:rPr>
        <w:t>Jane Grimm</w:t>
      </w:r>
    </w:p>
    <w:p>
      <w:pPr>
        <w:jc w:val="center"/>
        <w:ind w:right="-6"/>
        <w:spacing w:after="0" w:line="230" w:lineRule="auto"/>
        <w:rPr>
          <w:sz w:val="20"/>
          <w:szCs w:val="20"/>
          <w:color w:val="auto"/>
        </w:rPr>
      </w:pPr>
      <w:r>
        <w:rPr>
          <w:rFonts w:ascii="Arial" w:cs="Arial" w:eastAsia="Arial" w:hAnsi="Arial"/>
          <w:sz w:val="19"/>
          <w:szCs w:val="19"/>
          <w:b w:val="1"/>
          <w:bCs w:val="1"/>
          <w:color w:val="auto"/>
        </w:rPr>
        <w:t>Vice President and Secretary</w:t>
      </w:r>
    </w:p>
    <w:p>
      <w:pPr>
        <w:jc w:val="center"/>
        <w:ind w:right="-6"/>
        <w:spacing w:after="0" w:line="230" w:lineRule="auto"/>
        <w:rPr>
          <w:sz w:val="20"/>
          <w:szCs w:val="20"/>
          <w:color w:val="auto"/>
        </w:rPr>
      </w:pPr>
      <w:r>
        <w:rPr>
          <w:rFonts w:ascii="Arial" w:cs="Arial" w:eastAsia="Arial" w:hAnsi="Arial"/>
          <w:sz w:val="19"/>
          <w:szCs w:val="19"/>
          <w:b w:val="1"/>
          <w:bCs w:val="1"/>
          <w:color w:val="auto"/>
        </w:rPr>
        <w:t>C</w:t>
      </w:r>
      <w:r>
        <w:rPr>
          <w:rFonts w:ascii="Arial" w:cs="Arial" w:eastAsia="Arial" w:hAnsi="Arial"/>
          <w:sz w:val="12"/>
          <w:szCs w:val="12"/>
          <w:b w:val="1"/>
          <w:bCs w:val="1"/>
          <w:color w:val="auto"/>
        </w:rPr>
        <w:t>OMP</w:t>
      </w:r>
      <w:r>
        <w:rPr>
          <w:rFonts w:ascii="Arial" w:cs="Arial" w:eastAsia="Arial" w:hAnsi="Arial"/>
          <w:sz w:val="19"/>
          <w:szCs w:val="19"/>
          <w:b w:val="1"/>
          <w:bCs w:val="1"/>
          <w:color w:val="auto"/>
        </w:rPr>
        <w:t>X I</w:t>
      </w:r>
      <w:r>
        <w:rPr>
          <w:rFonts w:ascii="Arial" w:cs="Arial" w:eastAsia="Arial" w:hAnsi="Arial"/>
          <w:sz w:val="12"/>
          <w:szCs w:val="12"/>
          <w:b w:val="1"/>
          <w:bCs w:val="1"/>
          <w:color w:val="auto"/>
        </w:rPr>
        <w:t>NTERNATIONAL</w:t>
      </w:r>
      <w:r>
        <w:rPr>
          <w:rFonts w:ascii="Arial" w:cs="Arial" w:eastAsia="Arial" w:hAnsi="Arial"/>
          <w:sz w:val="19"/>
          <w:szCs w:val="19"/>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9"/>
          <w:szCs w:val="19"/>
          <w:b w:val="1"/>
          <w:bCs w:val="1"/>
          <w:color w:val="auto"/>
        </w:rPr>
        <w:t>.</w:t>
      </w:r>
    </w:p>
    <w:p>
      <w:pPr>
        <w:jc w:val="center"/>
        <w:ind w:right="-6"/>
        <w:spacing w:after="0" w:line="230" w:lineRule="auto"/>
        <w:rPr>
          <w:sz w:val="20"/>
          <w:szCs w:val="20"/>
          <w:color w:val="auto"/>
        </w:rPr>
      </w:pPr>
      <w:r>
        <w:rPr>
          <w:rFonts w:ascii="Arial" w:cs="Arial" w:eastAsia="Arial" w:hAnsi="Arial"/>
          <w:sz w:val="19"/>
          <w:szCs w:val="19"/>
          <w:b w:val="1"/>
          <w:bCs w:val="1"/>
          <w:color w:val="auto"/>
        </w:rPr>
        <w:t>Three Lincoln Centre</w:t>
      </w:r>
    </w:p>
    <w:p>
      <w:pPr>
        <w:jc w:val="center"/>
        <w:ind w:right="-6"/>
        <w:spacing w:after="0" w:line="230" w:lineRule="auto"/>
        <w:rPr>
          <w:sz w:val="20"/>
          <w:szCs w:val="20"/>
          <w:color w:val="auto"/>
        </w:rPr>
      </w:pPr>
      <w:r>
        <w:rPr>
          <w:rFonts w:ascii="Arial" w:cs="Arial" w:eastAsia="Arial" w:hAnsi="Arial"/>
          <w:sz w:val="19"/>
          <w:szCs w:val="19"/>
          <w:b w:val="1"/>
          <w:bCs w:val="1"/>
          <w:color w:val="auto"/>
        </w:rPr>
        <w:t>5430 LBJ Freeway, Suite 1700</w:t>
      </w:r>
    </w:p>
    <w:p>
      <w:pPr>
        <w:jc w:val="center"/>
        <w:ind w:right="-6"/>
        <w:spacing w:after="0" w:line="230" w:lineRule="auto"/>
        <w:rPr>
          <w:sz w:val="20"/>
          <w:szCs w:val="20"/>
          <w:color w:val="auto"/>
        </w:rPr>
      </w:pPr>
      <w:r>
        <w:rPr>
          <w:rFonts w:ascii="Arial" w:cs="Arial" w:eastAsia="Arial" w:hAnsi="Arial"/>
          <w:sz w:val="19"/>
          <w:szCs w:val="19"/>
          <w:b w:val="1"/>
          <w:bCs w:val="1"/>
          <w:color w:val="auto"/>
        </w:rPr>
        <w:t>Dallas, Texas 75240-2620</w:t>
      </w:r>
    </w:p>
    <w:p>
      <w:pPr>
        <w:jc w:val="center"/>
        <w:ind w:right="-6"/>
        <w:spacing w:after="0" w:line="230" w:lineRule="auto"/>
        <w:rPr>
          <w:sz w:val="20"/>
          <w:szCs w:val="20"/>
          <w:color w:val="auto"/>
        </w:rPr>
      </w:pPr>
      <w:r>
        <w:rPr>
          <w:rFonts w:ascii="Arial" w:cs="Arial" w:eastAsia="Arial" w:hAnsi="Arial"/>
          <w:sz w:val="19"/>
          <w:szCs w:val="19"/>
          <w:b w:val="1"/>
          <w:bCs w:val="1"/>
          <w:color w:val="auto"/>
        </w:rPr>
        <w:t>(972) 233-1700</w:t>
      </w:r>
    </w:p>
    <w:p>
      <w:pPr>
        <w:jc w:val="center"/>
        <w:ind w:right="-6"/>
        <w:spacing w:after="0"/>
        <w:rPr>
          <w:sz w:val="20"/>
          <w:szCs w:val="20"/>
          <w:color w:val="auto"/>
        </w:rPr>
      </w:pPr>
      <w:r>
        <w:rPr>
          <w:rFonts w:ascii="Arial" w:cs="Arial" w:eastAsia="Arial" w:hAnsi="Arial"/>
          <w:sz w:val="19"/>
          <w:szCs w:val="19"/>
          <w:color w:val="auto"/>
        </w:rPr>
        <w:t>(Name and telephone number, including area code, of the person to contact in connection with this report.)</w:t>
      </w:r>
    </w:p>
    <w:p>
      <w:pPr>
        <w:spacing w:after="0" w:line="219" w:lineRule="exact"/>
        <w:rPr>
          <w:sz w:val="24"/>
          <w:szCs w:val="24"/>
          <w:color w:val="auto"/>
        </w:rPr>
      </w:pPr>
    </w:p>
    <w:p>
      <w:pPr>
        <w:ind w:left="7" w:right="140"/>
        <w:spacing w:after="0" w:line="252" w:lineRule="auto"/>
        <w:rPr>
          <w:sz w:val="20"/>
          <w:szCs w:val="20"/>
          <w:color w:val="auto"/>
        </w:rPr>
      </w:pPr>
      <w:r>
        <w:rPr>
          <w:rFonts w:ascii="Arial" w:cs="Arial" w:eastAsia="Arial" w:hAnsi="Arial"/>
          <w:sz w:val="19"/>
          <w:szCs w:val="19"/>
          <w:color w:val="auto"/>
        </w:rPr>
        <w:t>Check the appropriate box to indicate the rule pursuant to which this form is being filed, and provide the period to which the information in this form applies:</w:t>
      </w:r>
    </w:p>
    <w:p>
      <w:pPr>
        <w:ind w:left="787" w:hanging="787"/>
        <w:spacing w:after="0" w:line="215" w:lineRule="auto"/>
        <w:tabs>
          <w:tab w:leader="none" w:pos="787"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Rule 13p-1 under the Securities Exchange Act (17 CFR 240.13p-1) for the reporting period from January 1 to December 31, 2020</w:t>
      </w:r>
    </w:p>
    <w:p>
      <w:pPr>
        <w:spacing w:after="0" w:line="2" w:lineRule="exact"/>
        <w:rPr>
          <w:rFonts w:ascii="MS PGothic" w:cs="MS PGothic" w:eastAsia="MS PGothic" w:hAnsi="MS PGothic"/>
          <w:sz w:val="43"/>
          <w:szCs w:val="43"/>
          <w:color w:val="auto"/>
          <w:vertAlign w:val="subscript"/>
        </w:rPr>
      </w:pPr>
    </w:p>
    <w:p>
      <w:pPr>
        <w:ind w:left="787"/>
        <w:spacing w:after="0"/>
        <w:rPr>
          <w:rFonts w:ascii="MS PGothic" w:cs="MS PGothic" w:eastAsia="MS PGothic" w:hAnsi="MS PGothic"/>
          <w:sz w:val="43"/>
          <w:szCs w:val="43"/>
          <w:color w:val="auto"/>
          <w:vertAlign w:val="subscript"/>
        </w:rPr>
      </w:pP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229235</wp:posOffset>
            </wp:positionV>
            <wp:extent cx="7151370"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7"/>
          </w:cols>
          <w:pgMar w:left="313" w:top="419" w:right="319" w:bottom="1440" w:gutter="0" w:footer="0" w:header="0"/>
        </w:sectPr>
      </w:pPr>
    </w:p>
    <w:bookmarkStart w:id="1" w:name="page2"/>
    <w:bookmarkEnd w:id="1"/>
    <w:p>
      <w:pPr>
        <w:spacing w:after="0"/>
        <w:rPr>
          <w:sz w:val="20"/>
          <w:szCs w:val="20"/>
          <w:color w:val="auto"/>
        </w:rPr>
      </w:pPr>
      <w:r>
        <w:rPr>
          <w:rFonts w:ascii="Arial" w:cs="Arial" w:eastAsia="Arial" w:hAnsi="Arial"/>
          <w:sz w:val="19"/>
          <w:szCs w:val="19"/>
          <w:b w:val="1"/>
          <w:bCs w:val="1"/>
          <w:color w:val="auto"/>
        </w:rPr>
        <w:t>Section 1 - Conflict Minerals Disclosure</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1.01 Conflict Minerals Disclosure and Report</w:t>
      </w:r>
    </w:p>
    <w:p>
      <w:pPr>
        <w:spacing w:after="0" w:line="200"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auto"/>
        </w:rPr>
        <w:t>Conflict Minerals Disclosure</w:t>
      </w:r>
    </w:p>
    <w:p>
      <w:pPr>
        <w:spacing w:after="0" w:line="204" w:lineRule="exact"/>
        <w:rPr>
          <w:sz w:val="20"/>
          <w:szCs w:val="20"/>
          <w:color w:val="auto"/>
        </w:rPr>
      </w:pPr>
    </w:p>
    <w:p>
      <w:pPr>
        <w:jc w:val="both"/>
        <w:ind w:right="100" w:firstLine="559"/>
        <w:spacing w:after="0"/>
        <w:rPr>
          <w:sz w:val="20"/>
          <w:szCs w:val="20"/>
          <w:color w:val="auto"/>
        </w:rPr>
      </w:pPr>
      <w:r>
        <w:rPr>
          <w:rFonts w:ascii="Arial" w:cs="Arial" w:eastAsia="Arial" w:hAnsi="Arial"/>
          <w:sz w:val="19"/>
          <w:szCs w:val="19"/>
          <w:color w:val="auto"/>
        </w:rPr>
        <w:t>For the calendar year 2020, we assessed whether any conflict minerals, as defined in Item 1.01(d)(3) of Form SD, were necessary to the functionality or production of a product we manufactured or contracted to be manufactured. We determined that certain conflict minerals were necessary to the functionality of products we manufactured.</w:t>
      </w:r>
    </w:p>
    <w:p>
      <w:pPr>
        <w:spacing w:after="0" w:line="182" w:lineRule="exact"/>
        <w:rPr>
          <w:sz w:val="20"/>
          <w:szCs w:val="20"/>
          <w:color w:val="auto"/>
        </w:rPr>
      </w:pPr>
    </w:p>
    <w:p>
      <w:pPr>
        <w:jc w:val="both"/>
        <w:ind w:right="80" w:firstLine="559"/>
        <w:spacing w:after="0" w:line="264" w:lineRule="auto"/>
        <w:rPr>
          <w:sz w:val="20"/>
          <w:szCs w:val="20"/>
          <w:color w:val="auto"/>
        </w:rPr>
      </w:pPr>
      <w:r>
        <w:rPr>
          <w:rFonts w:ascii="Arial" w:cs="Arial" w:eastAsia="Arial" w:hAnsi="Arial"/>
          <w:sz w:val="17"/>
          <w:szCs w:val="17"/>
          <w:color w:val="auto"/>
        </w:rPr>
        <w:t>Accordingly, we conducted in good faith a reasonable country of origin inquiry regarding the conflict minerals in our products for the calendar year 2020. We designed our inquiry to determine whether such conflict minerals originated in the Democratic Republic of the Congo or an adjoining country, as defined in Item 1.01(d)(1) of Form SD, or were from recycled or scrap sources, as defined in Item 1.01(d)(6) of Form SD. We sent a certification letter to each of our vendors who were approved vendors during 2020. We sent a total of 441 of such certification letters (one to each vendor with a unique vendor identification number within our computer systems). An approved vendor may have more than one vendor identification number because, among other things, the vendor may have multiple locations and each location has a separate vendor identification number. The certification letter required each recipient to support one response and, if necessary, we followed-up with the vendor in order to ensure we received a response. A summary of the responses regarding each such vendor’s product is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9"/>
                <w:szCs w:val="19"/>
                <w:b w:val="1"/>
                <w:bCs w:val="1"/>
                <w:color w:val="auto"/>
              </w:rPr>
              <w:t>Number of</w:t>
            </w:r>
          </w:p>
        </w:tc>
        <w:tc>
          <w:tcPr>
            <w:tcW w:w="1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9"/>
                <w:szCs w:val="19"/>
                <w:b w:val="1"/>
                <w:bCs w:val="1"/>
                <w:color w:val="auto"/>
              </w:rPr>
              <w:t>Percentage</w:t>
            </w:r>
          </w:p>
        </w:tc>
        <w:tc>
          <w:tcPr>
            <w:tcW w:w="740" w:type="dxa"/>
            <w:vAlign w:val="bottom"/>
          </w:tcPr>
          <w:p>
            <w:pPr>
              <w:spacing w:after="0"/>
              <w:rPr>
                <w:sz w:val="18"/>
                <w:szCs w:val="18"/>
                <w:color w:val="auto"/>
              </w:rPr>
            </w:pPr>
          </w:p>
        </w:tc>
      </w:tr>
      <w:tr>
        <w:trPr>
          <w:trHeight w:val="209"/>
        </w:trPr>
        <w:tc>
          <w:tcPr>
            <w:tcW w:w="6360" w:type="dxa"/>
            <w:vAlign w:val="bottom"/>
          </w:tcPr>
          <w:p>
            <w:pPr>
              <w:spacing w:after="0"/>
              <w:rPr>
                <w:sz w:val="18"/>
                <w:szCs w:val="18"/>
                <w:color w:val="auto"/>
              </w:rPr>
            </w:pPr>
          </w:p>
        </w:tc>
        <w:tc>
          <w:tcPr>
            <w:tcW w:w="1460" w:type="dxa"/>
            <w:vAlign w:val="bottom"/>
          </w:tcPr>
          <w:p>
            <w:pPr>
              <w:jc w:val="center"/>
              <w:spacing w:after="0" w:line="210" w:lineRule="exact"/>
              <w:rPr>
                <w:sz w:val="20"/>
                <w:szCs w:val="20"/>
                <w:color w:val="auto"/>
              </w:rPr>
            </w:pPr>
            <w:r>
              <w:rPr>
                <w:rFonts w:ascii="Arial" w:cs="Arial" w:eastAsia="Arial" w:hAnsi="Arial"/>
                <w:sz w:val="19"/>
                <w:szCs w:val="19"/>
                <w:b w:val="1"/>
                <w:bCs w:val="1"/>
                <w:color w:val="auto"/>
                <w:w w:val="86"/>
              </w:rPr>
              <w:t>Vendors</w:t>
            </w:r>
          </w:p>
        </w:tc>
        <w:tc>
          <w:tcPr>
            <w:tcW w:w="1200" w:type="dxa"/>
            <w:vAlign w:val="bottom"/>
          </w:tcPr>
          <w:p>
            <w:pPr>
              <w:spacing w:after="0"/>
              <w:rPr>
                <w:sz w:val="18"/>
                <w:szCs w:val="18"/>
                <w:color w:val="auto"/>
              </w:rPr>
            </w:pPr>
          </w:p>
        </w:tc>
        <w:tc>
          <w:tcPr>
            <w:tcW w:w="1580" w:type="dxa"/>
            <w:vAlign w:val="bottom"/>
          </w:tcPr>
          <w:p>
            <w:pPr>
              <w:jc w:val="center"/>
              <w:spacing w:after="0" w:line="210" w:lineRule="exact"/>
              <w:rPr>
                <w:sz w:val="20"/>
                <w:szCs w:val="20"/>
                <w:color w:val="auto"/>
              </w:rPr>
            </w:pPr>
            <w:r>
              <w:rPr>
                <w:rFonts w:ascii="Arial" w:cs="Arial" w:eastAsia="Arial" w:hAnsi="Arial"/>
                <w:sz w:val="19"/>
                <w:szCs w:val="19"/>
                <w:b w:val="1"/>
                <w:bCs w:val="1"/>
                <w:color w:val="auto"/>
                <w:w w:val="86"/>
              </w:rPr>
              <w:t>of Vendors</w:t>
            </w:r>
          </w:p>
        </w:tc>
        <w:tc>
          <w:tcPr>
            <w:tcW w:w="740" w:type="dxa"/>
            <w:vAlign w:val="bottom"/>
          </w:tcPr>
          <w:p>
            <w:pPr>
              <w:spacing w:after="0"/>
              <w:rPr>
                <w:sz w:val="18"/>
                <w:szCs w:val="18"/>
                <w:color w:val="auto"/>
              </w:rPr>
            </w:pPr>
          </w:p>
        </w:tc>
      </w:tr>
      <w:tr>
        <w:trPr>
          <w:trHeight w:val="209"/>
        </w:trPr>
        <w:tc>
          <w:tcPr>
            <w:tcW w:w="6360" w:type="dxa"/>
            <w:vAlign w:val="bottom"/>
          </w:tcPr>
          <w:p>
            <w:pPr>
              <w:jc w:val="right"/>
              <w:ind w:right="787"/>
              <w:spacing w:after="0" w:line="210" w:lineRule="exact"/>
              <w:rPr>
                <w:sz w:val="20"/>
                <w:szCs w:val="20"/>
                <w:color w:val="auto"/>
              </w:rPr>
            </w:pPr>
            <w:r>
              <w:rPr>
                <w:rFonts w:ascii="Arial" w:cs="Arial" w:eastAsia="Arial" w:hAnsi="Arial"/>
                <w:sz w:val="19"/>
                <w:szCs w:val="19"/>
                <w:b w:val="1"/>
                <w:bCs w:val="1"/>
                <w:color w:val="auto"/>
              </w:rPr>
              <w:t>Category of Description of the Certification Regarding the</w:t>
            </w:r>
          </w:p>
        </w:tc>
        <w:tc>
          <w:tcPr>
            <w:tcW w:w="1460" w:type="dxa"/>
            <w:vAlign w:val="bottom"/>
          </w:tcPr>
          <w:p>
            <w:pPr>
              <w:jc w:val="center"/>
              <w:spacing w:after="0" w:line="210" w:lineRule="exact"/>
              <w:rPr>
                <w:sz w:val="20"/>
                <w:szCs w:val="20"/>
                <w:color w:val="auto"/>
              </w:rPr>
            </w:pPr>
            <w:r>
              <w:rPr>
                <w:rFonts w:ascii="Arial" w:cs="Arial" w:eastAsia="Arial" w:hAnsi="Arial"/>
                <w:sz w:val="19"/>
                <w:szCs w:val="19"/>
                <w:b w:val="1"/>
                <w:bCs w:val="1"/>
                <w:color w:val="auto"/>
                <w:w w:val="85"/>
              </w:rPr>
              <w:t>Responding by</w:t>
            </w:r>
          </w:p>
        </w:tc>
        <w:tc>
          <w:tcPr>
            <w:tcW w:w="1200" w:type="dxa"/>
            <w:vAlign w:val="bottom"/>
          </w:tcPr>
          <w:p>
            <w:pPr>
              <w:spacing w:after="0"/>
              <w:rPr>
                <w:sz w:val="18"/>
                <w:szCs w:val="18"/>
                <w:color w:val="auto"/>
              </w:rPr>
            </w:pPr>
          </w:p>
        </w:tc>
        <w:tc>
          <w:tcPr>
            <w:tcW w:w="1580" w:type="dxa"/>
            <w:vAlign w:val="bottom"/>
          </w:tcPr>
          <w:p>
            <w:pPr>
              <w:jc w:val="center"/>
              <w:spacing w:after="0" w:line="210" w:lineRule="exact"/>
              <w:rPr>
                <w:sz w:val="20"/>
                <w:szCs w:val="20"/>
                <w:color w:val="auto"/>
              </w:rPr>
            </w:pPr>
            <w:r>
              <w:rPr>
                <w:rFonts w:ascii="Arial" w:cs="Arial" w:eastAsia="Arial" w:hAnsi="Arial"/>
                <w:sz w:val="19"/>
                <w:szCs w:val="19"/>
                <w:b w:val="1"/>
                <w:bCs w:val="1"/>
                <w:color w:val="auto"/>
                <w:w w:val="85"/>
              </w:rPr>
              <w:t>Responding by</w:t>
            </w:r>
          </w:p>
        </w:tc>
        <w:tc>
          <w:tcPr>
            <w:tcW w:w="740" w:type="dxa"/>
            <w:vAlign w:val="bottom"/>
          </w:tcPr>
          <w:p>
            <w:pPr>
              <w:spacing w:after="0"/>
              <w:rPr>
                <w:sz w:val="18"/>
                <w:szCs w:val="18"/>
                <w:color w:val="auto"/>
              </w:rPr>
            </w:pPr>
          </w:p>
        </w:tc>
      </w:tr>
      <w:tr>
        <w:trPr>
          <w:trHeight w:val="236"/>
        </w:trPr>
        <w:tc>
          <w:tcPr>
            <w:tcW w:w="6360" w:type="dxa"/>
            <w:vAlign w:val="bottom"/>
          </w:tcPr>
          <w:p>
            <w:pPr>
              <w:jc w:val="right"/>
              <w:ind w:right="2267"/>
              <w:spacing w:after="0"/>
              <w:rPr>
                <w:sz w:val="20"/>
                <w:szCs w:val="20"/>
                <w:color w:val="auto"/>
              </w:rPr>
            </w:pPr>
            <w:r>
              <w:rPr>
                <w:rFonts w:ascii="Arial" w:cs="Arial" w:eastAsia="Arial" w:hAnsi="Arial"/>
                <w:sz w:val="19"/>
                <w:szCs w:val="19"/>
                <w:b w:val="1"/>
                <w:bCs w:val="1"/>
                <w:color w:val="auto"/>
              </w:rPr>
              <w:t>Vendor’s Provided Products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89"/>
              </w:rPr>
              <w:t>Category</w:t>
            </w:r>
          </w:p>
        </w:tc>
        <w:tc>
          <w:tcPr>
            <w:tcW w:w="12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89"/>
              </w:rPr>
              <w:t>Category</w:t>
            </w:r>
          </w:p>
        </w:tc>
        <w:tc>
          <w:tcPr>
            <w:tcW w:w="740" w:type="dxa"/>
            <w:vAlign w:val="bottom"/>
          </w:tcPr>
          <w:p>
            <w:pPr>
              <w:spacing w:after="0"/>
              <w:rPr>
                <w:sz w:val="20"/>
                <w:szCs w:val="20"/>
                <w:color w:val="auto"/>
              </w:rPr>
            </w:pPr>
          </w:p>
        </w:tc>
      </w:tr>
      <w:tr>
        <w:trPr>
          <w:trHeight w:val="186"/>
        </w:trPr>
        <w:tc>
          <w:tcPr>
            <w:tcW w:w="6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780" w:type="dxa"/>
            <w:vAlign w:val="bottom"/>
            <w:gridSpan w:val="2"/>
          </w:tcPr>
          <w:p>
            <w:pPr>
              <w:spacing w:after="0"/>
              <w:rPr>
                <w:sz w:val="16"/>
                <w:szCs w:val="16"/>
                <w:color w:val="auto"/>
              </w:rPr>
            </w:pPr>
          </w:p>
        </w:tc>
        <w:tc>
          <w:tcPr>
            <w:tcW w:w="740" w:type="dxa"/>
            <w:vAlign w:val="bottom"/>
          </w:tcPr>
          <w:p>
            <w:pPr>
              <w:spacing w:after="0"/>
              <w:rPr>
                <w:sz w:val="16"/>
                <w:szCs w:val="16"/>
                <w:color w:val="auto"/>
              </w:rPr>
            </w:pPr>
          </w:p>
        </w:tc>
      </w:tr>
      <w:tr>
        <w:trPr>
          <w:trHeight w:val="221"/>
        </w:trPr>
        <w:tc>
          <w:tcPr>
            <w:tcW w:w="6360" w:type="dxa"/>
            <w:vAlign w:val="bottom"/>
            <w:shd w:val="clear" w:color="auto" w:fill="CCEEFF"/>
          </w:tcPr>
          <w:p>
            <w:pPr>
              <w:ind w:left="560"/>
              <w:spacing w:after="0"/>
              <w:rPr>
                <w:sz w:val="20"/>
                <w:szCs w:val="20"/>
                <w:color w:val="auto"/>
              </w:rPr>
            </w:pPr>
            <w:r>
              <w:rPr>
                <w:rFonts w:ascii="Arial" w:cs="Arial" w:eastAsia="Arial" w:hAnsi="Arial"/>
                <w:sz w:val="19"/>
                <w:szCs w:val="19"/>
                <w:color w:val="auto"/>
              </w:rPr>
              <w:t xml:space="preserve">Contained </w:t>
            </w:r>
            <w:r>
              <w:rPr>
                <w:rFonts w:ascii="Arial" w:cs="Arial" w:eastAsia="Arial" w:hAnsi="Arial"/>
                <w:sz w:val="19"/>
                <w:szCs w:val="19"/>
                <w:b w:val="1"/>
                <w:bCs w:val="1"/>
                <w:color w:val="auto"/>
              </w:rPr>
              <w:t>no amount</w:t>
            </w:r>
            <w:r>
              <w:rPr>
                <w:rFonts w:ascii="Arial" w:cs="Arial" w:eastAsia="Arial" w:hAnsi="Arial"/>
                <w:sz w:val="19"/>
                <w:szCs w:val="19"/>
                <w:color w:val="auto"/>
              </w:rPr>
              <w:t xml:space="preserve"> of conflict minerals</w:t>
            </w: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328</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74.4</w:t>
            </w:r>
          </w:p>
        </w:tc>
        <w:tc>
          <w:tcPr>
            <w:tcW w:w="740" w:type="dxa"/>
            <w:vAlign w:val="bottom"/>
            <w:shd w:val="clear" w:color="auto" w:fill="CCEEFF"/>
          </w:tcPr>
          <w:p>
            <w:pPr>
              <w:ind w:left="560"/>
              <w:spacing w:after="0"/>
              <w:rPr>
                <w:sz w:val="20"/>
                <w:szCs w:val="20"/>
                <w:color w:val="auto"/>
              </w:rPr>
            </w:pPr>
            <w:r>
              <w:rPr>
                <w:rFonts w:ascii="Arial" w:cs="Arial" w:eastAsia="Arial" w:hAnsi="Arial"/>
                <w:sz w:val="19"/>
                <w:szCs w:val="19"/>
                <w:color w:val="auto"/>
                <w:w w:val="94"/>
              </w:rPr>
              <w:t>%</w:t>
            </w:r>
          </w:p>
        </w:tc>
      </w:tr>
      <w:tr>
        <w:trPr>
          <w:trHeight w:val="186"/>
        </w:trPr>
        <w:tc>
          <w:tcPr>
            <w:tcW w:w="6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6360" w:type="dxa"/>
            <w:vAlign w:val="bottom"/>
            <w:shd w:val="clear" w:color="auto" w:fill="CCEEFF"/>
          </w:tcPr>
          <w:p>
            <w:pPr>
              <w:jc w:val="right"/>
              <w:ind w:right="507"/>
              <w:spacing w:after="0" w:line="186" w:lineRule="exact"/>
              <w:rPr>
                <w:sz w:val="20"/>
                <w:szCs w:val="20"/>
                <w:color w:val="auto"/>
              </w:rPr>
            </w:pPr>
            <w:r>
              <w:rPr>
                <w:rFonts w:ascii="Arial" w:cs="Arial" w:eastAsia="Arial" w:hAnsi="Arial"/>
                <w:sz w:val="19"/>
                <w:szCs w:val="19"/>
                <w:color w:val="auto"/>
              </w:rPr>
              <w:t>Contained some amount of conflict mineral(s) but all such conflict</w:t>
            </w:r>
          </w:p>
        </w:tc>
        <w:tc>
          <w:tcPr>
            <w:tcW w:w="14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32"/>
        </w:trPr>
        <w:tc>
          <w:tcPr>
            <w:tcW w:w="6360" w:type="dxa"/>
            <w:vAlign w:val="bottom"/>
            <w:shd w:val="clear" w:color="auto" w:fill="CCEEFF"/>
          </w:tcPr>
          <w:p>
            <w:pPr>
              <w:spacing w:after="0"/>
              <w:rPr>
                <w:sz w:val="20"/>
                <w:szCs w:val="20"/>
                <w:color w:val="auto"/>
              </w:rPr>
            </w:pPr>
            <w:r>
              <w:rPr>
                <w:rFonts w:ascii="Arial" w:cs="Arial" w:eastAsia="Arial" w:hAnsi="Arial"/>
                <w:sz w:val="19"/>
                <w:szCs w:val="19"/>
                <w:color w:val="auto"/>
              </w:rPr>
              <w:t xml:space="preserve">mineral(s) </w:t>
            </w:r>
            <w:r>
              <w:rPr>
                <w:rFonts w:ascii="Arial" w:cs="Arial" w:eastAsia="Arial" w:hAnsi="Arial"/>
                <w:sz w:val="19"/>
                <w:szCs w:val="19"/>
                <w:b w:val="1"/>
                <w:bCs w:val="1"/>
                <w:color w:val="auto"/>
              </w:rPr>
              <w:t>came from recycled or scrap sources</w:t>
            </w: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2.5</w:t>
            </w:r>
          </w:p>
        </w:tc>
        <w:tc>
          <w:tcPr>
            <w:tcW w:w="740" w:type="dxa"/>
            <w:vAlign w:val="bottom"/>
            <w:shd w:val="clear" w:color="auto" w:fill="CCEEFF"/>
          </w:tcPr>
          <w:p>
            <w:pPr>
              <w:ind w:left="560"/>
              <w:spacing w:after="0"/>
              <w:rPr>
                <w:sz w:val="20"/>
                <w:szCs w:val="20"/>
                <w:color w:val="auto"/>
              </w:rPr>
            </w:pPr>
            <w:r>
              <w:rPr>
                <w:rFonts w:ascii="Arial" w:cs="Arial" w:eastAsia="Arial" w:hAnsi="Arial"/>
                <w:sz w:val="19"/>
                <w:szCs w:val="19"/>
                <w:color w:val="auto"/>
                <w:w w:val="94"/>
              </w:rPr>
              <w:t>%</w:t>
            </w:r>
          </w:p>
        </w:tc>
      </w:tr>
      <w:tr>
        <w:trPr>
          <w:trHeight w:val="186"/>
        </w:trPr>
        <w:tc>
          <w:tcPr>
            <w:tcW w:w="6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6360" w:type="dxa"/>
            <w:vAlign w:val="bottom"/>
            <w:shd w:val="clear" w:color="auto" w:fill="CCEEFF"/>
          </w:tcPr>
          <w:p>
            <w:pPr>
              <w:jc w:val="right"/>
              <w:ind w:right="507"/>
              <w:spacing w:after="0" w:line="191" w:lineRule="exact"/>
              <w:rPr>
                <w:sz w:val="20"/>
                <w:szCs w:val="20"/>
                <w:color w:val="auto"/>
              </w:rPr>
            </w:pPr>
            <w:r>
              <w:rPr>
                <w:rFonts w:ascii="Arial" w:cs="Arial" w:eastAsia="Arial" w:hAnsi="Arial"/>
                <w:sz w:val="19"/>
                <w:szCs w:val="19"/>
                <w:color w:val="auto"/>
              </w:rPr>
              <w:t xml:space="preserve">Contained some amount (including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amounts) of one or</w:t>
            </w:r>
          </w:p>
        </w:tc>
        <w:tc>
          <w:tcPr>
            <w:tcW w:w="14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09"/>
        </w:trPr>
        <w:tc>
          <w:tcPr>
            <w:tcW w:w="6360" w:type="dxa"/>
            <w:vAlign w:val="bottom"/>
            <w:shd w:val="clear" w:color="auto" w:fill="CCEEFF"/>
          </w:tcPr>
          <w:p>
            <w:pPr>
              <w:jc w:val="right"/>
              <w:ind w:right="507"/>
              <w:spacing w:after="0" w:line="210" w:lineRule="exact"/>
              <w:rPr>
                <w:sz w:val="20"/>
                <w:szCs w:val="20"/>
                <w:color w:val="auto"/>
              </w:rPr>
            </w:pPr>
            <w:r>
              <w:rPr>
                <w:rFonts w:ascii="Arial" w:cs="Arial" w:eastAsia="Arial" w:hAnsi="Arial"/>
                <w:sz w:val="19"/>
                <w:szCs w:val="19"/>
                <w:color w:val="auto"/>
                <w:w w:val="91"/>
              </w:rPr>
              <w:t>more conflict mineral(s), but such conflict mineral(s) did not originate in the</w:t>
            </w: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8"/>
        </w:trPr>
        <w:tc>
          <w:tcPr>
            <w:tcW w:w="6360" w:type="dxa"/>
            <w:vAlign w:val="bottom"/>
            <w:shd w:val="clear" w:color="auto" w:fill="CCEEFF"/>
          </w:tcPr>
          <w:p>
            <w:pPr>
              <w:spacing w:after="0"/>
              <w:rPr>
                <w:sz w:val="20"/>
                <w:szCs w:val="20"/>
                <w:color w:val="auto"/>
              </w:rPr>
            </w:pPr>
            <w:r>
              <w:rPr>
                <w:rFonts w:ascii="Arial" w:cs="Arial" w:eastAsia="Arial" w:hAnsi="Arial"/>
                <w:sz w:val="19"/>
                <w:szCs w:val="19"/>
                <w:color w:val="auto"/>
              </w:rPr>
              <w:t>Democratic Republic of the Congo or an adjoining country</w:t>
            </w: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101</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22.9</w:t>
            </w:r>
          </w:p>
        </w:tc>
        <w:tc>
          <w:tcPr>
            <w:tcW w:w="740" w:type="dxa"/>
            <w:vAlign w:val="bottom"/>
            <w:shd w:val="clear" w:color="auto" w:fill="CCEEFF"/>
          </w:tcPr>
          <w:p>
            <w:pPr>
              <w:ind w:left="560"/>
              <w:spacing w:after="0"/>
              <w:rPr>
                <w:sz w:val="20"/>
                <w:szCs w:val="20"/>
                <w:color w:val="auto"/>
              </w:rPr>
            </w:pPr>
            <w:r>
              <w:rPr>
                <w:rFonts w:ascii="Arial" w:cs="Arial" w:eastAsia="Arial" w:hAnsi="Arial"/>
                <w:sz w:val="19"/>
                <w:szCs w:val="19"/>
                <w:color w:val="auto"/>
                <w:w w:val="94"/>
              </w:rPr>
              <w:t>%</w:t>
            </w:r>
          </w:p>
        </w:tc>
      </w:tr>
      <w:tr>
        <w:trPr>
          <w:trHeight w:val="186"/>
        </w:trPr>
        <w:tc>
          <w:tcPr>
            <w:tcW w:w="6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6360" w:type="dxa"/>
            <w:vAlign w:val="bottom"/>
            <w:shd w:val="clear" w:color="auto" w:fill="CCEEFF"/>
          </w:tcPr>
          <w:p>
            <w:pPr>
              <w:jc w:val="right"/>
              <w:ind w:right="507"/>
              <w:spacing w:after="0" w:line="186" w:lineRule="exact"/>
              <w:rPr>
                <w:sz w:val="20"/>
                <w:szCs w:val="20"/>
                <w:color w:val="auto"/>
              </w:rPr>
            </w:pPr>
            <w:r>
              <w:rPr>
                <w:rFonts w:ascii="Arial" w:cs="Arial" w:eastAsia="Arial" w:hAnsi="Arial"/>
                <w:sz w:val="19"/>
                <w:szCs w:val="19"/>
                <w:color w:val="auto"/>
              </w:rPr>
              <w:t xml:space="preserve">Contained some amount (including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amounts) of one or</w:t>
            </w:r>
          </w:p>
        </w:tc>
        <w:tc>
          <w:tcPr>
            <w:tcW w:w="14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09"/>
        </w:trPr>
        <w:tc>
          <w:tcPr>
            <w:tcW w:w="6360" w:type="dxa"/>
            <w:vAlign w:val="bottom"/>
            <w:shd w:val="clear" w:color="auto" w:fill="CCEEFF"/>
          </w:tcPr>
          <w:p>
            <w:pPr>
              <w:jc w:val="right"/>
              <w:ind w:right="507"/>
              <w:spacing w:after="0" w:line="210" w:lineRule="exact"/>
              <w:rPr>
                <w:sz w:val="20"/>
                <w:szCs w:val="20"/>
                <w:color w:val="auto"/>
              </w:rPr>
            </w:pPr>
            <w:r>
              <w:rPr>
                <w:rFonts w:ascii="Arial" w:cs="Arial" w:eastAsia="Arial" w:hAnsi="Arial"/>
                <w:sz w:val="19"/>
                <w:szCs w:val="19"/>
                <w:color w:val="auto"/>
                <w:w w:val="94"/>
              </w:rPr>
              <w:t xml:space="preserve">more  conflict  mineral(s),  with  such  conflict  mineral(s)  </w:t>
            </w:r>
            <w:r>
              <w:rPr>
                <w:rFonts w:ascii="Arial" w:cs="Arial" w:eastAsia="Arial" w:hAnsi="Arial"/>
                <w:sz w:val="19"/>
                <w:szCs w:val="19"/>
                <w:b w:val="1"/>
                <w:bCs w:val="1"/>
                <w:color w:val="auto"/>
                <w:w w:val="94"/>
              </w:rPr>
              <w:t>originating or</w:t>
            </w: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3"/>
        </w:trPr>
        <w:tc>
          <w:tcPr>
            <w:tcW w:w="6360" w:type="dxa"/>
            <w:vAlign w:val="bottom"/>
            <w:shd w:val="clear" w:color="auto" w:fill="CCEEFF"/>
          </w:tcPr>
          <w:p>
            <w:pPr>
              <w:jc w:val="right"/>
              <w:ind w:right="507"/>
              <w:spacing w:after="0" w:line="214" w:lineRule="exact"/>
              <w:rPr>
                <w:sz w:val="20"/>
                <w:szCs w:val="20"/>
                <w:color w:val="auto"/>
              </w:rPr>
            </w:pPr>
            <w:r>
              <w:rPr>
                <w:rFonts w:ascii="Arial" w:cs="Arial" w:eastAsia="Arial" w:hAnsi="Arial"/>
                <w:sz w:val="19"/>
                <w:szCs w:val="19"/>
                <w:b w:val="1"/>
                <w:bCs w:val="1"/>
                <w:color w:val="auto"/>
                <w:w w:val="99"/>
              </w:rPr>
              <w:t xml:space="preserve">possibly originating </w:t>
            </w:r>
            <w:r>
              <w:rPr>
                <w:rFonts w:ascii="Arial" w:cs="Arial" w:eastAsia="Arial" w:hAnsi="Arial"/>
                <w:sz w:val="19"/>
                <w:szCs w:val="19"/>
                <w:color w:val="auto"/>
                <w:w w:val="99"/>
              </w:rPr>
              <w:t>in the Democratic Republic of the Congo or an</w:t>
            </w: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8"/>
        </w:trPr>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9"/>
                <w:szCs w:val="19"/>
                <w:color w:val="auto"/>
              </w:rPr>
              <w:t>adjoining country</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1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0.2</w:t>
            </w:r>
          </w:p>
        </w:tc>
        <w:tc>
          <w:tcPr>
            <w:tcW w:w="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9"/>
                <w:szCs w:val="19"/>
                <w:color w:val="auto"/>
                <w:w w:val="94"/>
              </w:rPr>
              <w:t>%</w:t>
            </w:r>
          </w:p>
        </w:tc>
      </w:tr>
      <w:tr>
        <w:trPr>
          <w:trHeight w:val="178"/>
        </w:trPr>
        <w:tc>
          <w:tcPr>
            <w:tcW w:w="6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8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r>
      <w:tr>
        <w:trPr>
          <w:trHeight w:val="249"/>
        </w:trPr>
        <w:tc>
          <w:tcPr>
            <w:tcW w:w="6360" w:type="dxa"/>
            <w:vAlign w:val="bottom"/>
            <w:tcBorders>
              <w:bottom w:val="single" w:sz="8" w:color="CCEEFF"/>
            </w:tcBorders>
            <w:shd w:val="clear" w:color="auto" w:fill="CCEEFF"/>
          </w:tcPr>
          <w:p>
            <w:pPr>
              <w:ind w:left="560"/>
              <w:spacing w:after="0" w:line="210" w:lineRule="exact"/>
              <w:rPr>
                <w:sz w:val="20"/>
                <w:szCs w:val="20"/>
                <w:color w:val="auto"/>
              </w:rPr>
            </w:pPr>
            <w:r>
              <w:rPr>
                <w:rFonts w:ascii="Arial" w:cs="Arial" w:eastAsia="Arial" w:hAnsi="Arial"/>
                <w:sz w:val="19"/>
                <w:szCs w:val="19"/>
                <w:b w:val="1"/>
                <w:bCs w:val="1"/>
                <w:color w:val="auto"/>
              </w:rPr>
              <w:t>Total</w:t>
            </w:r>
          </w:p>
        </w:tc>
        <w:tc>
          <w:tcPr>
            <w:tcW w:w="146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b w:val="1"/>
                <w:bCs w:val="1"/>
                <w:color w:val="auto"/>
              </w:rPr>
              <w:t>441</w:t>
            </w:r>
          </w:p>
        </w:tc>
        <w:tc>
          <w:tcPr>
            <w:tcW w:w="1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b w:val="1"/>
                <w:bCs w:val="1"/>
                <w:color w:val="auto"/>
              </w:rPr>
              <w:t>100.0</w:t>
            </w:r>
          </w:p>
        </w:tc>
        <w:tc>
          <w:tcPr>
            <w:tcW w:w="740" w:type="dxa"/>
            <w:vAlign w:val="bottom"/>
            <w:tcBorders>
              <w:bottom w:val="single" w:sz="8" w:color="CCEEFF"/>
            </w:tcBorders>
            <w:shd w:val="clear" w:color="auto" w:fill="CCEEFF"/>
          </w:tcPr>
          <w:p>
            <w:pPr>
              <w:ind w:left="560"/>
              <w:spacing w:after="0" w:line="210" w:lineRule="exact"/>
              <w:rPr>
                <w:sz w:val="20"/>
                <w:szCs w:val="20"/>
                <w:color w:val="auto"/>
              </w:rPr>
            </w:pPr>
            <w:r>
              <w:rPr>
                <w:rFonts w:ascii="Arial" w:cs="Arial" w:eastAsia="Arial" w:hAnsi="Arial"/>
                <w:sz w:val="19"/>
                <w:szCs w:val="19"/>
                <w:b w:val="1"/>
                <w:bCs w:val="1"/>
                <w:color w:val="auto"/>
                <w:w w:val="94"/>
              </w:rPr>
              <w:t>%</w:t>
            </w:r>
          </w:p>
        </w:tc>
      </w:tr>
    </w:tbl>
    <w:p>
      <w:pPr>
        <w:spacing w:after="0" w:line="400" w:lineRule="exact"/>
        <w:rPr>
          <w:sz w:val="20"/>
          <w:szCs w:val="20"/>
          <w:color w:val="auto"/>
        </w:rPr>
      </w:pPr>
    </w:p>
    <w:p>
      <w:pPr>
        <w:jc w:val="both"/>
        <w:ind w:right="80" w:firstLine="559"/>
        <w:spacing w:after="0" w:line="262" w:lineRule="auto"/>
        <w:rPr>
          <w:sz w:val="20"/>
          <w:szCs w:val="20"/>
          <w:color w:val="auto"/>
        </w:rPr>
      </w:pPr>
      <w:r>
        <w:rPr>
          <w:rFonts w:ascii="Arial" w:cs="Arial" w:eastAsia="Arial" w:hAnsi="Arial"/>
          <w:sz w:val="17"/>
          <w:szCs w:val="17"/>
          <w:color w:val="auto"/>
        </w:rPr>
        <w:t>With respect to the one response regarding conflict minerals originating or possibly originating in the Democratic Republic of the Congo or an adjoining company, we contacted the vendor. This vendor provides products from the electronic component industry with extensive product lines. We purchase relatively few item SKUs compared to total vendor offerings. The vendor informed us that they have made efforts to ensure conflict free sourcing, expect suppliers to source responsibly, or are in various stages of compliance. This vendor does not directly provide product specific reports as to the sourcing of their conflict minerals. These conditions create a level of uncertainty related to the term “possibly originating” as it relates to the specific products the registrant purchases from this vendor. As a result (and even though we were able to satisfy ourselves, by further researching the manufacturers sourced by this vendor, that certain specific products sourced from this vendor did not fall into the fourth category above), the registrant does not have sufficient information to assess whether all of the products it purchased from this vendor did not contain some amount of one or more conflict minerals originating or possibly originating in the Democratic Republic of the Congo or an adjoining country. The total value of the registrant’s purchases from this vendor (not including purchases from the vendors of products that we were able to remove from the fourth category by further researching manufacturers) represents an aggregate of 0.020% of total purchases from all of the registrant’s vendors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51370"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340"/>
          </w:cols>
          <w:pgMar w:left="320" w:top="115" w:right="239" w:bottom="1440" w:gutter="0" w:footer="0" w:header="0"/>
        </w:sectPr>
      </w:pPr>
    </w:p>
    <w:bookmarkStart w:id="2" w:name="page3"/>
    <w:bookmarkEnd w:id="2"/>
    <w:p>
      <w:pPr>
        <w:ind w:firstLine="559"/>
        <w:spacing w:after="0" w:line="278" w:lineRule="auto"/>
        <w:rPr>
          <w:sz w:val="20"/>
          <w:szCs w:val="20"/>
          <w:color w:val="auto"/>
        </w:rPr>
      </w:pPr>
      <w:r>
        <w:rPr>
          <w:rFonts w:ascii="Arial" w:cs="Arial" w:eastAsia="Arial" w:hAnsi="Arial"/>
          <w:sz w:val="18"/>
          <w:szCs w:val="18"/>
          <w:color w:val="auto"/>
        </w:rPr>
        <w:t>Based on the registrant’s good faith, reasonable country of origin inquiry, the registrant does not know or have reason to believe that the conflict minerals in the registrant’s products have originated from the Democratic Republic of the Congo or an adjoining country.</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This Conflicts Minerals Disclosure is also posted on our website at</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9"/>
          <w:szCs w:val="19"/>
          <w:color w:val="auto"/>
        </w:rPr>
        <w:t>https://compxinternational.com/governance/#conflict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w:t>
      </w:r>
    </w:p>
    <w:p>
      <w:pPr>
        <w:spacing w:after="0" w:line="204" w:lineRule="exact"/>
        <w:rPr>
          <w:sz w:val="20"/>
          <w:szCs w:val="20"/>
          <w:color w:val="auto"/>
        </w:rPr>
      </w:pPr>
    </w:p>
    <w:p>
      <w:pPr>
        <w:ind w:right="20" w:firstLine="559"/>
        <w:spacing w:after="0" w:line="251"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p>
      <w:pPr>
        <w:ind w:left="5580"/>
        <w:spacing w:after="0"/>
        <w:rPr>
          <w:sz w:val="20"/>
          <w:szCs w:val="20"/>
          <w:color w:val="auto"/>
        </w:rPr>
      </w:pPr>
      <w:r>
        <w:rPr>
          <w:rFonts w:ascii="Arial" w:cs="Arial" w:eastAsia="Arial" w:hAnsi="Arial"/>
          <w:sz w:val="19"/>
          <w:szCs w:val="19"/>
          <w:b w:val="1"/>
          <w:bCs w:val="1"/>
          <w:color w:val="auto"/>
        </w:rPr>
        <w:t>C</w:t>
      </w:r>
      <w:r>
        <w:rPr>
          <w:rFonts w:ascii="Arial" w:cs="Arial" w:eastAsia="Arial" w:hAnsi="Arial"/>
          <w:sz w:val="12"/>
          <w:szCs w:val="12"/>
          <w:b w:val="1"/>
          <w:bCs w:val="1"/>
          <w:color w:val="auto"/>
        </w:rPr>
        <w:t>OMP</w:t>
      </w:r>
      <w:r>
        <w:rPr>
          <w:rFonts w:ascii="Arial" w:cs="Arial" w:eastAsia="Arial" w:hAnsi="Arial"/>
          <w:sz w:val="19"/>
          <w:szCs w:val="19"/>
          <w:b w:val="1"/>
          <w:bCs w:val="1"/>
          <w:color w:val="auto"/>
        </w:rPr>
        <w:t>X I</w:t>
      </w:r>
      <w:r>
        <w:rPr>
          <w:rFonts w:ascii="Arial" w:cs="Arial" w:eastAsia="Arial" w:hAnsi="Arial"/>
          <w:sz w:val="12"/>
          <w:szCs w:val="12"/>
          <w:b w:val="1"/>
          <w:bCs w:val="1"/>
          <w:color w:val="auto"/>
        </w:rPr>
        <w:t>NTERNATIONAL</w:t>
      </w:r>
      <w:r>
        <w:rPr>
          <w:rFonts w:ascii="Arial" w:cs="Arial" w:eastAsia="Arial" w:hAnsi="Arial"/>
          <w:sz w:val="19"/>
          <w:szCs w:val="19"/>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9"/>
          <w:szCs w:val="19"/>
          <w:b w:val="1"/>
          <w:bCs w:val="1"/>
          <w:color w:val="auto"/>
        </w:rPr>
        <w:t>.</w:t>
      </w:r>
    </w:p>
    <w:p>
      <w:pPr>
        <w:spacing w:after="0" w:line="11"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920" w:type="dxa"/>
            <w:vAlign w:val="bottom"/>
            <w:gridSpan w:val="2"/>
          </w:tcPr>
          <w:p>
            <w:pPr>
              <w:ind w:left="5580"/>
              <w:spacing w:after="0"/>
              <w:rPr>
                <w:sz w:val="20"/>
                <w:szCs w:val="20"/>
                <w:color w:val="auto"/>
              </w:rPr>
            </w:pPr>
            <w:r>
              <w:rPr>
                <w:rFonts w:ascii="Arial" w:cs="Arial" w:eastAsia="Arial" w:hAnsi="Arial"/>
                <w:sz w:val="19"/>
                <w:szCs w:val="19"/>
                <w:color w:val="auto"/>
              </w:rPr>
              <w:t>By:</w:t>
            </w:r>
          </w:p>
        </w:tc>
        <w:tc>
          <w:tcPr>
            <w:tcW w:w="5340" w:type="dxa"/>
            <w:vAlign w:val="bottom"/>
          </w:tcPr>
          <w:p>
            <w:pPr>
              <w:ind w:left="340"/>
              <w:spacing w:after="0"/>
              <w:rPr>
                <w:sz w:val="20"/>
                <w:szCs w:val="20"/>
                <w:color w:val="auto"/>
              </w:rPr>
            </w:pPr>
            <w:r>
              <w:rPr>
                <w:rFonts w:ascii="Arial" w:cs="Arial" w:eastAsia="Arial" w:hAnsi="Arial"/>
                <w:sz w:val="19"/>
                <w:szCs w:val="19"/>
                <w:color w:val="auto"/>
              </w:rPr>
              <w:t>/s/ Jane Grimm</w:t>
            </w:r>
          </w:p>
        </w:tc>
      </w:tr>
      <w:tr>
        <w:trPr>
          <w:trHeight w:val="190"/>
        </w:trPr>
        <w:tc>
          <w:tcPr>
            <w:tcW w:w="5580" w:type="dxa"/>
            <w:vAlign w:val="bottom"/>
          </w:tcPr>
          <w:p>
            <w:pPr>
              <w:spacing w:after="0" w:line="191" w:lineRule="exact"/>
              <w:rPr>
                <w:sz w:val="20"/>
                <w:szCs w:val="20"/>
                <w:color w:val="auto"/>
              </w:rPr>
            </w:pPr>
            <w:r>
              <w:rPr>
                <w:rFonts w:ascii="Arial" w:cs="Arial" w:eastAsia="Arial" w:hAnsi="Arial"/>
                <w:sz w:val="19"/>
                <w:szCs w:val="19"/>
                <w:color w:val="auto"/>
              </w:rPr>
              <w:t>Date:  May 24, 2021</w:t>
            </w:r>
          </w:p>
        </w:tc>
        <w:tc>
          <w:tcPr>
            <w:tcW w:w="340" w:type="dxa"/>
            <w:vAlign w:val="bottom"/>
            <w:tcBorders>
              <w:top w:val="single" w:sz="8" w:color="auto"/>
            </w:tcBorders>
          </w:tcPr>
          <w:p>
            <w:pPr>
              <w:spacing w:after="0"/>
              <w:rPr>
                <w:sz w:val="16"/>
                <w:szCs w:val="16"/>
                <w:color w:val="auto"/>
              </w:rPr>
            </w:pPr>
          </w:p>
        </w:tc>
        <w:tc>
          <w:tcPr>
            <w:tcW w:w="5340" w:type="dxa"/>
            <w:vAlign w:val="bottom"/>
            <w:tcBorders>
              <w:top w:val="single" w:sz="8" w:color="auto"/>
            </w:tcBorders>
          </w:tcPr>
          <w:p>
            <w:pPr>
              <w:ind w:left="80"/>
              <w:spacing w:after="0" w:line="191" w:lineRule="exact"/>
              <w:rPr>
                <w:sz w:val="20"/>
                <w:szCs w:val="20"/>
                <w:color w:val="auto"/>
              </w:rPr>
            </w:pPr>
            <w:r>
              <w:rPr>
                <w:rFonts w:ascii="Arial" w:cs="Arial" w:eastAsia="Arial" w:hAnsi="Arial"/>
                <w:sz w:val="19"/>
                <w:szCs w:val="19"/>
                <w:i w:val="1"/>
                <w:iCs w:val="1"/>
                <w:color w:val="auto"/>
              </w:rPr>
              <w:t>Jane Grimm</w:t>
            </w:r>
          </w:p>
        </w:tc>
      </w:tr>
      <w:tr>
        <w:trPr>
          <w:trHeight w:val="238"/>
        </w:trPr>
        <w:tc>
          <w:tcPr>
            <w:tcW w:w="5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340" w:type="dxa"/>
            <w:vAlign w:val="bottom"/>
          </w:tcPr>
          <w:p>
            <w:pPr>
              <w:ind w:left="80"/>
              <w:spacing w:after="0"/>
              <w:rPr>
                <w:sz w:val="20"/>
                <w:szCs w:val="20"/>
                <w:color w:val="auto"/>
              </w:rPr>
            </w:pPr>
            <w:r>
              <w:rPr>
                <w:rFonts w:ascii="Arial" w:cs="Arial" w:eastAsia="Arial" w:hAnsi="Arial"/>
                <w:sz w:val="19"/>
                <w:szCs w:val="19"/>
                <w:i w:val="1"/>
                <w:iCs w:val="1"/>
                <w:color w:val="auto"/>
              </w:rPr>
              <w:t>Vice President and Secretary</w:t>
            </w:r>
          </w:p>
        </w:tc>
      </w:tr>
    </w:tbl>
    <w:p>
      <w:pPr>
        <w:spacing w:after="0" w:line="1" w:lineRule="exact"/>
        <w:rPr>
          <w:sz w:val="20"/>
          <w:szCs w:val="20"/>
          <w:color w:val="auto"/>
        </w:rPr>
      </w:pPr>
    </w:p>
    <w:sectPr>
      <w:pgSz w:w="11900" w:h="16838" w:orient="portrait"/>
      <w:cols w:equalWidth="0" w:num="1">
        <w:col w:w="11260"/>
      </w:cols>
      <w:pgMar w:left="320" w:top="3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2021-05-24T15:38:51Z</dcterms:created>
  <dcterms:modified xsi:type="dcterms:W3CDTF">2021-05-24T15:38:51Z</dcterms:modified>
</cp:coreProperties>
</file>