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August 2, 2022</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269875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20"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9" w:right="33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3"/>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9"/>
              </w:rPr>
              <w:t>NYSE American LLC</w:t>
            </w:r>
          </w:p>
        </w:tc>
        <w:tc>
          <w:tcPr>
            <w:tcW w:w="0" w:type="dxa"/>
            <w:vAlign w:val="bottom"/>
          </w:tcPr>
          <w:p>
            <w:pPr>
              <w:spacing w:after="0"/>
              <w:rPr>
                <w:sz w:val="1"/>
                <w:szCs w:val="1"/>
                <w:color w:val="auto"/>
              </w:rPr>
            </w:pPr>
          </w:p>
        </w:tc>
      </w:tr>
    </w:tbl>
    <w:p>
      <w:pPr>
        <w:spacing w:after="0" w:line="214"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Reports Second Quarter 2022 Results” that the registrant issued on August 2, 2022, a copy of which is attached hereto as Exhibit 99.1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Declares Regular Quarterly Dividend” that the registrant also issued on August 2, 2022, a copy of which is attached hereto as Exhibit 99.2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(d)</w:t>
            </w:r>
          </w:p>
        </w:tc>
        <w:tc>
          <w:tcPr>
            <w:tcW w:w="2040" w:type="dxa"/>
            <w:vAlign w:val="bottom"/>
          </w:tcPr>
          <w:p>
            <w:pPr>
              <w:spacing w:after="0"/>
              <w:rPr>
                <w:sz w:val="20"/>
                <w:szCs w:val="20"/>
                <w:color w:val="auto"/>
              </w:rPr>
            </w:pPr>
            <w:r>
              <w:rPr>
                <w:rFonts w:ascii="Arial" w:cs="Arial" w:eastAsia="Arial" w:hAnsi="Arial"/>
                <w:sz w:val="22"/>
                <w:szCs w:val="22"/>
                <w:color w:val="auto"/>
              </w:rPr>
              <w:t>Exhibits</w:t>
            </w:r>
          </w:p>
        </w:tc>
        <w:tc>
          <w:tcPr>
            <w:tcW w:w="5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620" w:type="dxa"/>
            <w:vAlign w:val="bottom"/>
          </w:tcPr>
          <w:p>
            <w:pPr>
              <w:spacing w:after="0"/>
              <w:rPr>
                <w:sz w:val="23"/>
                <w:szCs w:val="23"/>
                <w:color w:val="auto"/>
              </w:rPr>
            </w:pPr>
          </w:p>
        </w:tc>
      </w:tr>
      <w:tr>
        <w:trPr>
          <w:trHeight w:val="456"/>
        </w:trPr>
        <w:tc>
          <w:tcPr>
            <w:tcW w:w="680" w:type="dxa"/>
            <w:vAlign w:val="bottom"/>
          </w:tcPr>
          <w:p>
            <w:pPr>
              <w:spacing w:after="0"/>
              <w:rPr>
                <w:sz w:val="24"/>
                <w:szCs w:val="24"/>
                <w:color w:val="auto"/>
              </w:rPr>
            </w:pPr>
          </w:p>
        </w:tc>
        <w:tc>
          <w:tcPr>
            <w:tcW w:w="2040" w:type="dxa"/>
            <w:vAlign w:val="bottom"/>
            <w:tcBorders>
              <w:bottom w:val="single" w:sz="8" w:color="auto"/>
            </w:tcBorders>
          </w:tcPr>
          <w:p>
            <w:pPr>
              <w:ind w:left="620"/>
              <w:spacing w:after="0"/>
              <w:rPr>
                <w:sz w:val="20"/>
                <w:szCs w:val="20"/>
                <w:color w:val="auto"/>
              </w:rPr>
            </w:pPr>
            <w:r>
              <w:rPr>
                <w:rFonts w:ascii="Arial" w:cs="Arial" w:eastAsia="Arial" w:hAnsi="Arial"/>
                <w:sz w:val="22"/>
                <w:szCs w:val="22"/>
                <w:b w:val="1"/>
                <w:bCs w:val="1"/>
                <w:color w:val="auto"/>
              </w:rPr>
              <w:t>Item No.</w:t>
            </w:r>
          </w:p>
        </w:tc>
        <w:tc>
          <w:tcPr>
            <w:tcW w:w="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ind w:left="1100"/>
              <w:spacing w:after="0"/>
              <w:rPr>
                <w:sz w:val="20"/>
                <w:szCs w:val="20"/>
                <w:color w:val="auto"/>
              </w:rPr>
            </w:pPr>
            <w:r>
              <w:rPr>
                <w:rFonts w:ascii="Arial" w:cs="Arial" w:eastAsia="Arial" w:hAnsi="Arial"/>
                <w:sz w:val="22"/>
                <w:szCs w:val="22"/>
                <w:b w:val="1"/>
                <w:bCs w:val="1"/>
                <w:color w:val="auto"/>
              </w:rPr>
              <w:t>Description</w:t>
            </w:r>
          </w:p>
        </w:tc>
      </w:tr>
      <w:tr>
        <w:trPr>
          <w:trHeight w:val="418"/>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8000" w:type="dxa"/>
            <w:vAlign w:val="bottom"/>
            <w:tcBorders>
              <w:bottom w:val="single" w:sz="8" w:color="0000EE"/>
            </w:tcBorders>
            <w:gridSpan w:val="2"/>
          </w:tcPr>
          <w:p>
            <w:pPr>
              <w:spacing w:after="0"/>
              <w:rPr>
                <w:rFonts w:ascii="Arial" w:cs="Arial" w:eastAsia="Arial" w:hAnsi="Arial"/>
                <w:sz w:val="22"/>
                <w:szCs w:val="22"/>
                <w:color w:val="0000EE"/>
                <w:w w:val="88"/>
              </w:rPr>
            </w:pPr>
            <w:hyperlink w:anchor="page4">
              <w:r>
                <w:rPr>
                  <w:rFonts w:ascii="Arial" w:cs="Arial" w:eastAsia="Arial" w:hAnsi="Arial"/>
                  <w:sz w:val="22"/>
                  <w:szCs w:val="22"/>
                  <w:color w:val="0000EE"/>
                  <w:w w:val="88"/>
                </w:rPr>
                <w:t>Press release dated August 2, 2022 entitled “CompX Reports Second Quarter 2022 Results”</w:t>
              </w:r>
            </w:hyperlink>
          </w:p>
        </w:tc>
      </w:tr>
      <w:tr>
        <w:trPr>
          <w:trHeight w:val="223"/>
        </w:trPr>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2"/>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and issued by the registrant</w:t>
              </w:r>
              <w:r>
                <w:rPr>
                  <w:rFonts w:ascii="Arial" w:cs="Arial" w:eastAsia="Arial" w:hAnsi="Arial"/>
                  <w:sz w:val="22"/>
                  <w:szCs w:val="22"/>
                  <w:color w:val="000000"/>
                </w:rPr>
                <w:t>.</w:t>
              </w:r>
            </w:hyperlink>
          </w:p>
        </w:tc>
      </w:tr>
      <w:tr>
        <w:trPr>
          <w:trHeight w:val="20"/>
        </w:trPr>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39"/>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99.2</w:t>
            </w:r>
          </w:p>
        </w:tc>
        <w:tc>
          <w:tcPr>
            <w:tcW w:w="520" w:type="dxa"/>
            <w:vAlign w:val="bottom"/>
          </w:tcPr>
          <w:p>
            <w:pPr>
              <w:spacing w:after="0"/>
              <w:rPr>
                <w:sz w:val="24"/>
                <w:szCs w:val="24"/>
                <w:color w:val="auto"/>
              </w:rPr>
            </w:pPr>
          </w:p>
        </w:tc>
        <w:tc>
          <w:tcPr>
            <w:tcW w:w="8000" w:type="dxa"/>
            <w:vAlign w:val="bottom"/>
            <w:tcBorders>
              <w:bottom w:val="single" w:sz="8" w:color="0000EE"/>
            </w:tcBorders>
            <w:gridSpan w:val="2"/>
          </w:tcPr>
          <w:p>
            <w:pPr>
              <w:spacing w:after="0"/>
              <w:rPr>
                <w:rFonts w:ascii="Arial" w:cs="Arial" w:eastAsia="Arial" w:hAnsi="Arial"/>
                <w:sz w:val="22"/>
                <w:szCs w:val="22"/>
                <w:color w:val="0000EE"/>
                <w:w w:val="90"/>
              </w:rPr>
            </w:pPr>
            <w:hyperlink w:anchor="page8">
              <w:r>
                <w:rPr>
                  <w:rFonts w:ascii="Arial" w:cs="Arial" w:eastAsia="Arial" w:hAnsi="Arial"/>
                  <w:sz w:val="22"/>
                  <w:szCs w:val="22"/>
                  <w:color w:val="0000EE"/>
                  <w:w w:val="90"/>
                </w:rPr>
                <w:t>Press release dated August 2, 2022 entitled “CompX Declares Regular Quarterly Dividend”</w:t>
              </w:r>
            </w:hyperlink>
          </w:p>
        </w:tc>
      </w:tr>
      <w:tr>
        <w:trPr>
          <w:trHeight w:val="223"/>
        </w:trPr>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2"/>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and issued by the registrant</w:t>
              </w:r>
              <w:r>
                <w:rPr>
                  <w:rFonts w:ascii="Arial" w:cs="Arial" w:eastAsia="Arial" w:hAnsi="Arial"/>
                  <w:sz w:val="22"/>
                  <w:szCs w:val="22"/>
                  <w:color w:val="000000"/>
                </w:rPr>
                <w:t>.</w:t>
              </w:r>
            </w:hyperlink>
          </w:p>
        </w:tc>
      </w:tr>
      <w:tr>
        <w:trPr>
          <w:trHeight w:val="20"/>
        </w:trPr>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90"/>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22"/>
                <w:szCs w:val="22"/>
                <w:color w:val="auto"/>
              </w:rPr>
              <w:t>Cover Page Interactive Data File (embedded within the Inline XBRL document)</w:t>
            </w:r>
          </w:p>
        </w:tc>
      </w:tr>
      <w:tr>
        <w:trPr>
          <w:trHeight w:val="901"/>
        </w:trPr>
        <w:tc>
          <w:tcPr>
            <w:tcW w:w="6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600" w:type="dxa"/>
            <w:vAlign w:val="bottom"/>
          </w:tcPr>
          <w:p>
            <w:pPr>
              <w:spacing w:after="0"/>
              <w:rPr>
                <w:sz w:val="23"/>
                <w:szCs w:val="23"/>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/s/ Amy A. Samford</w:t>
            </w:r>
          </w:p>
        </w:tc>
      </w:tr>
      <w:tr>
        <w:trPr>
          <w:trHeight w:val="222"/>
        </w:trPr>
        <w:tc>
          <w:tcPr>
            <w:tcW w:w="5600" w:type="dxa"/>
            <w:vAlign w:val="bottom"/>
          </w:tcPr>
          <w:p>
            <w:pPr>
              <w:spacing w:after="0" w:line="222" w:lineRule="exact"/>
              <w:rPr>
                <w:sz w:val="20"/>
                <w:szCs w:val="20"/>
                <w:color w:val="auto"/>
              </w:rPr>
            </w:pPr>
            <w:r>
              <w:rPr>
                <w:rFonts w:ascii="Arial" w:cs="Arial" w:eastAsia="Arial" w:hAnsi="Arial"/>
                <w:sz w:val="22"/>
                <w:szCs w:val="22"/>
                <w:color w:val="auto"/>
              </w:rPr>
              <w:t>Date: August 2, 2022</w:t>
            </w:r>
          </w:p>
        </w:tc>
        <w:tc>
          <w:tcPr>
            <w:tcW w:w="380" w:type="dxa"/>
            <w:vAlign w:val="bottom"/>
          </w:tcPr>
          <w:p>
            <w:pPr>
              <w:spacing w:after="0"/>
              <w:rPr>
                <w:sz w:val="19"/>
                <w:szCs w:val="19"/>
                <w:color w:val="auto"/>
              </w:rPr>
            </w:pPr>
          </w:p>
        </w:tc>
        <w:tc>
          <w:tcPr>
            <w:tcW w:w="5260" w:type="dxa"/>
            <w:vAlign w:val="bottom"/>
          </w:tcPr>
          <w:p>
            <w:pPr>
              <w:ind w:left="80"/>
              <w:spacing w:after="0" w:line="222" w:lineRule="exact"/>
              <w:rPr>
                <w:sz w:val="20"/>
                <w:szCs w:val="20"/>
                <w:color w:val="auto"/>
              </w:rPr>
            </w:pPr>
            <w:r>
              <w:rPr>
                <w:rFonts w:ascii="Arial" w:cs="Arial" w:eastAsia="Arial" w:hAnsi="Arial"/>
                <w:sz w:val="22"/>
                <w:szCs w:val="22"/>
                <w:i w:val="1"/>
                <w:iCs w:val="1"/>
                <w:color w:val="auto"/>
              </w:rPr>
              <w:t>Amy A. Samford</w:t>
            </w:r>
          </w:p>
        </w:tc>
      </w:tr>
      <w:tr>
        <w:trPr>
          <w:trHeight w:val="243"/>
        </w:trPr>
        <w:tc>
          <w:tcPr>
            <w:tcW w:w="5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60" w:type="dxa"/>
            <w:vAlign w:val="bottom"/>
          </w:tcPr>
          <w:p>
            <w:pPr>
              <w:ind w:left="80"/>
              <w:spacing w:after="0" w:line="243" w:lineRule="exact"/>
              <w:rPr>
                <w:sz w:val="20"/>
                <w:szCs w:val="20"/>
                <w:color w:val="auto"/>
              </w:rPr>
            </w:pPr>
            <w:r>
              <w:rPr>
                <w:rFonts w:ascii="Arial" w:cs="Arial" w:eastAsia="Arial" w:hAnsi="Arial"/>
                <w:sz w:val="22"/>
                <w:szCs w:val="22"/>
                <w:i w:val="1"/>
                <w:iCs w:val="1"/>
                <w:color w:val="auto"/>
              </w:rPr>
              <w:t>Executive Vice President and</w:t>
            </w:r>
          </w:p>
        </w:tc>
      </w:tr>
      <w:tr>
        <w:trPr>
          <w:trHeight w:val="274"/>
        </w:trPr>
        <w:tc>
          <w:tcPr>
            <w:tcW w:w="5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60" w:type="dxa"/>
            <w:vAlign w:val="bottom"/>
          </w:tcPr>
          <w:p>
            <w:pPr>
              <w:ind w:left="140"/>
              <w:spacing w:after="0"/>
              <w:rPr>
                <w:sz w:val="20"/>
                <w:szCs w:val="20"/>
                <w:color w:val="auto"/>
              </w:rPr>
            </w:pPr>
            <w:r>
              <w:rPr>
                <w:rFonts w:ascii="Arial" w:cs="Arial" w:eastAsia="Arial" w:hAnsi="Arial"/>
                <w:sz w:val="22"/>
                <w:szCs w:val="22"/>
                <w:i w:val="1"/>
                <w:iCs w:val="1"/>
                <w:color w:val="auto"/>
              </w:rPr>
              <w:t>Chief Financial Officer</w:t>
            </w:r>
          </w:p>
        </w:tc>
      </w:tr>
    </w:tbl>
    <w:p>
      <w:pPr>
        <w:sectPr>
          <w:pgSz w:w="11900" w:h="16838" w:orient="portrait"/>
          <w:cols w:equalWidth="0" w:num="1">
            <w:col w:w="11240"/>
          </w:cols>
          <w:pgMar w:left="320" w:top="59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243205</wp:posOffset>
            </wp:positionV>
            <wp:extent cx="2280285" cy="1002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8028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460" w:space="720"/>
            <w:col w:w="406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6460" w:space="720"/>
            <w:col w:w="4060"/>
          </w:cols>
          <w:pgMar w:left="320" w:top="1440" w:right="3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SECOND QUARTER 2022 RESULTS</w:t>
      </w:r>
    </w:p>
    <w:p>
      <w:pPr>
        <w:spacing w:after="0" w:line="11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DALLAS, TEXAS … August 2, 2022 … CompX International Inc. (NYSE American: CIX) announced today sales of $41.6 million for the second quarter of 2022 compared to $36.3 million in the same period of 2021. Operating income was $7.7 million in the second quarter of 2022 compared to $5.8 million in the same period of 2021. Net income was $6.2 million, or $.50 per basic and diluted common share, for the second quarter of 2022 compared to $4.6 million, or $.37 per basic and diluted common share, in the same period of 2021.</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six months ended June 30, 2022, sales were $83.7 million compared to $72.2 million in the previous year. Operating income was $14.0 million for the first six months of 2022 compared to $11.6 million for the same period in 2021. Net income for the six months ended June 20, 2022, was $11.2 million or $.90 per diluted share, compared to $9.3 million, or $.75 per diluted share, for the same period in 2021.</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Second quarter and year-to-date 2022 net sales increased over the comparable 2021 periods primarily due to higher Marine Component sales primarily to the towboat market and, to a lesser extent, higher Security Products sales across a variety of markets. Operating income increased for both comparative periods primarily due to the favorable effect of higher sales partially offset by increased production costs including increased raw material costs, higher shipping costs, and increased labor costs.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600 people.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0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statements in this press release relating to matters that are not historical facts are forward-looking statements that represent management’s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The factors that could cause our actual future results to differ materially include, but are not limited to, the following:</w:t>
      </w:r>
    </w:p>
    <w:p>
      <w:pPr>
        <w:spacing w:after="0" w:line="166" w:lineRule="exact"/>
        <w:rPr>
          <w:sz w:val="20"/>
          <w:szCs w:val="20"/>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Future demand for our products,</w:t>
      </w:r>
    </w:p>
    <w:p>
      <w:pPr>
        <w:spacing w:after="0" w:line="98" w:lineRule="exact"/>
        <w:rPr>
          <w:rFonts w:ascii="Arial" w:cs="Arial" w:eastAsia="Arial" w:hAnsi="Arial"/>
          <w:sz w:val="18"/>
          <w:szCs w:val="18"/>
          <w:color w:val="auto"/>
        </w:rPr>
      </w:pPr>
    </w:p>
    <w:p>
      <w:pPr>
        <w:ind w:left="880" w:hanging="440"/>
        <w:spacing w:after="0" w:line="274" w:lineRule="auto"/>
        <w:tabs>
          <w:tab w:leader="none" w:pos="880" w:val="left"/>
        </w:tabs>
        <w:numPr>
          <w:ilvl w:val="0"/>
          <w:numId w:val="1"/>
        </w:numPr>
        <w:rPr>
          <w:rFonts w:ascii="Arial" w:cs="Arial" w:eastAsia="Arial" w:hAnsi="Arial"/>
          <w:sz w:val="17"/>
          <w:szCs w:val="17"/>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42" w:lineRule="exact"/>
        <w:rPr>
          <w:rFonts w:ascii="Arial" w:cs="Arial" w:eastAsia="Arial" w:hAnsi="Arial"/>
          <w:sz w:val="17"/>
          <w:szCs w:val="17"/>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Price and product competition from low-cost manufacturing sources (such as China),</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impact of pricing and production decisions,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Customer and competitor strategies including substitute products,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Uncertainties associated with the development of new products and product features,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Future litigation,</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Our ability to protect or defend our intellectual property rights,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Potential difficulties in integrating future acquisitions,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Decisions to sell operating assets other than in the ordinary course of business,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9"/>
          <w:szCs w:val="19"/>
          <w:color w:val="auto"/>
        </w:rPr>
        <w:t>Environmental matters (such as those requiring emission and discharge standards for existing and new facilities),</w:t>
      </w:r>
    </w:p>
    <w:p>
      <w:pPr>
        <w:spacing w:after="0" w:line="132" w:lineRule="exact"/>
        <w:rPr>
          <w:rFonts w:ascii="Arial" w:cs="Arial" w:eastAsia="Arial" w:hAnsi="Arial"/>
          <w:sz w:val="16"/>
          <w:szCs w:val="16"/>
          <w:color w:val="auto"/>
        </w:rPr>
      </w:pPr>
    </w:p>
    <w:p>
      <w:pPr>
        <w:ind w:left="880" w:hanging="440"/>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132" w:lineRule="exact"/>
        <w:rPr>
          <w:rFonts w:ascii="Arial" w:cs="Arial" w:eastAsia="Arial" w:hAnsi="Arial"/>
          <w:sz w:val="16"/>
          <w:szCs w:val="16"/>
          <w:color w:val="auto"/>
        </w:rPr>
      </w:pPr>
    </w:p>
    <w:p>
      <w:pPr>
        <w:ind w:left="880" w:hanging="440"/>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132" w:lineRule="exact"/>
        <w:rPr>
          <w:rFonts w:ascii="Arial" w:cs="Arial" w:eastAsia="Arial" w:hAnsi="Arial"/>
          <w:sz w:val="16"/>
          <w:szCs w:val="16"/>
          <w:color w:val="auto"/>
        </w:rPr>
      </w:pPr>
    </w:p>
    <w:p>
      <w:pPr>
        <w:jc w:val="both"/>
        <w:ind w:left="880" w:hanging="440"/>
        <w:spacing w:after="0" w:line="238"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General global economic and political conditions that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76" w:lineRule="exact"/>
        <w:rPr>
          <w:rFonts w:ascii="Arial" w:cs="Arial" w:eastAsia="Arial" w:hAnsi="Arial"/>
          <w:sz w:val="18"/>
          <w:szCs w:val="18"/>
          <w:color w:val="auto"/>
        </w:rPr>
      </w:pPr>
    </w:p>
    <w:p>
      <w:pPr>
        <w:jc w:val="both"/>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78" w:lineRule="exact"/>
        <w:rPr>
          <w:rFonts w:ascii="Arial" w:cs="Arial" w:eastAsia="Arial" w:hAnsi="Arial"/>
          <w:sz w:val="18"/>
          <w:szCs w:val="18"/>
          <w:color w:val="auto"/>
        </w:rPr>
      </w:pPr>
    </w:p>
    <w:p>
      <w:pPr>
        <w:ind w:left="88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150" w:lineRule="exact"/>
        <w:rPr>
          <w:rFonts w:ascii="Arial" w:cs="Arial" w:eastAsia="Arial" w:hAnsi="Arial"/>
          <w:sz w:val="18"/>
          <w:szCs w:val="18"/>
          <w:color w:val="auto"/>
        </w:rPr>
      </w:pPr>
    </w:p>
    <w:p>
      <w:pPr>
        <w:ind w:left="5580" w:hanging="76"/>
        <w:spacing w:after="0"/>
        <w:tabs>
          <w:tab w:leader="none" w:pos="5580" w:val="left"/>
        </w:tabs>
        <w:numPr>
          <w:ilvl w:val="1"/>
          <w:numId w:val="1"/>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9"/>
          <w:szCs w:val="19"/>
          <w:color w:val="auto"/>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CONSOLIDATED OPERATIONS</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4"/>
          </w:tcPr>
          <w:p>
            <w:pPr>
              <w:jc w:val="right"/>
              <w:ind w:right="332"/>
              <w:spacing w:after="0"/>
              <w:rPr>
                <w:sz w:val="20"/>
                <w:szCs w:val="20"/>
                <w:color w:val="auto"/>
              </w:rPr>
            </w:pPr>
            <w:r>
              <w:rPr>
                <w:rFonts w:ascii="Arial" w:cs="Arial" w:eastAsia="Arial" w:hAnsi="Arial"/>
                <w:sz w:val="22"/>
                <w:szCs w:val="22"/>
                <w:b w:val="1"/>
                <w:bCs w:val="1"/>
                <w:color w:val="auto"/>
                <w:w w:val="95"/>
              </w:rPr>
              <w:t>Three months ended</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4"/>
          </w:tcPr>
          <w:p>
            <w:pPr>
              <w:jc w:val="right"/>
              <w:ind w:right="432"/>
              <w:spacing w:after="0"/>
              <w:rPr>
                <w:sz w:val="20"/>
                <w:szCs w:val="20"/>
                <w:color w:val="auto"/>
              </w:rPr>
            </w:pPr>
            <w:r>
              <w:rPr>
                <w:rFonts w:ascii="Arial" w:cs="Arial" w:eastAsia="Arial" w:hAnsi="Arial"/>
                <w:sz w:val="22"/>
                <w:szCs w:val="22"/>
                <w:b w:val="1"/>
                <w:bCs w:val="1"/>
                <w:color w:val="auto"/>
              </w:rPr>
              <w:t>Six months ended</w:t>
            </w:r>
          </w:p>
        </w:tc>
      </w:tr>
      <w:tr>
        <w:trPr>
          <w:trHeight w:val="277"/>
        </w:trPr>
        <w:tc>
          <w:tcPr>
            <w:tcW w:w="5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50"/>
        </w:trPr>
        <w:tc>
          <w:tcPr>
            <w:tcW w:w="5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2"/>
              <w:spacing w:after="0" w:line="243" w:lineRule="exact"/>
              <w:rPr>
                <w:sz w:val="20"/>
                <w:szCs w:val="20"/>
                <w:color w:val="auto"/>
              </w:rPr>
            </w:pPr>
            <w:r>
              <w:rPr>
                <w:rFonts w:ascii="Arial" w:cs="Arial" w:eastAsia="Arial" w:hAnsi="Arial"/>
                <w:sz w:val="22"/>
                <w:szCs w:val="22"/>
                <w:b w:val="1"/>
                <w:bCs w:val="1"/>
                <w:color w:val="auto"/>
              </w:rPr>
              <w:t>2021</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line="243" w:lineRule="exact"/>
              <w:rPr>
                <w:sz w:val="20"/>
                <w:szCs w:val="20"/>
                <w:color w:val="auto"/>
              </w:rPr>
            </w:pPr>
            <w:r>
              <w:rPr>
                <w:rFonts w:ascii="Arial" w:cs="Arial" w:eastAsia="Arial" w:hAnsi="Arial"/>
                <w:sz w:val="22"/>
                <w:szCs w:val="22"/>
                <w:b w:val="1"/>
                <w:bCs w:val="1"/>
                <w:color w:val="auto"/>
              </w:rPr>
              <w:t>2022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line="243" w:lineRule="exact"/>
              <w:rPr>
                <w:sz w:val="20"/>
                <w:szCs w:val="20"/>
                <w:color w:val="auto"/>
              </w:rPr>
            </w:pPr>
            <w:r>
              <w:rPr>
                <w:rFonts w:ascii="Arial" w:cs="Arial" w:eastAsia="Arial" w:hAnsi="Arial"/>
                <w:sz w:val="22"/>
                <w:szCs w:val="22"/>
                <w:b w:val="1"/>
                <w:bCs w:val="1"/>
                <w:color w:val="auto"/>
              </w:rPr>
              <w:t>2021</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line="243" w:lineRule="exact"/>
              <w:rPr>
                <w:sz w:val="20"/>
                <w:szCs w:val="20"/>
                <w:color w:val="auto"/>
              </w:rPr>
            </w:pPr>
            <w:r>
              <w:rPr>
                <w:rFonts w:ascii="Arial" w:cs="Arial" w:eastAsia="Arial" w:hAnsi="Arial"/>
                <w:sz w:val="22"/>
                <w:szCs w:val="22"/>
                <w:b w:val="1"/>
                <w:bCs w:val="1"/>
                <w:color w:val="auto"/>
                <w:w w:val="98"/>
              </w:rPr>
              <w:t>2022</w:t>
            </w:r>
          </w:p>
        </w:tc>
      </w:tr>
      <w:tr>
        <w:trPr>
          <w:trHeight w:val="243"/>
        </w:trPr>
        <w:tc>
          <w:tcPr>
            <w:tcW w:w="5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4"/>
          </w:tcPr>
          <w:p>
            <w:pPr>
              <w:jc w:val="right"/>
              <w:ind w:right="712"/>
              <w:spacing w:after="0" w:line="243" w:lineRule="exact"/>
              <w:rPr>
                <w:sz w:val="20"/>
                <w:szCs w:val="20"/>
                <w:color w:val="auto"/>
              </w:rPr>
            </w:pPr>
            <w:r>
              <w:rPr>
                <w:rFonts w:ascii="Arial" w:cs="Arial" w:eastAsia="Arial" w:hAnsi="Arial"/>
                <w:sz w:val="22"/>
                <w:szCs w:val="22"/>
                <w:b w:val="1"/>
                <w:bCs w:val="1"/>
                <w:color w:val="auto"/>
              </w:rPr>
              <w:t>(unaudited)</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51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680" w:type="dxa"/>
            <w:vAlign w:val="bottom"/>
            <w:gridSpan w:val="2"/>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36.3</w:t>
            </w:r>
          </w:p>
        </w:tc>
        <w:tc>
          <w:tcPr>
            <w:tcW w:w="600" w:type="dxa"/>
            <w:vAlign w:val="bottom"/>
            <w:gridSpan w:val="2"/>
            <w:shd w:val="clear" w:color="auto" w:fill="CCEEFF"/>
          </w:tcPr>
          <w:p>
            <w:pPr>
              <w:jc w:val="right"/>
              <w:ind w:right="92"/>
              <w:spacing w:after="0" w:line="243" w:lineRule="exact"/>
              <w:rPr>
                <w:sz w:val="20"/>
                <w:szCs w:val="20"/>
                <w:color w:val="auto"/>
              </w:rPr>
            </w:pPr>
            <w:r>
              <w:rPr>
                <w:rFonts w:ascii="Arial" w:cs="Arial" w:eastAsia="Arial" w:hAnsi="Arial"/>
                <w:sz w:val="22"/>
                <w:szCs w:val="22"/>
                <w:b w:val="1"/>
                <w:bCs w:val="1"/>
                <w:color w:val="auto"/>
              </w:rPr>
              <w:t>$</w:t>
            </w: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41.6</w:t>
            </w:r>
          </w:p>
        </w:tc>
        <w:tc>
          <w:tcPr>
            <w:tcW w:w="480" w:type="dxa"/>
            <w:vAlign w:val="bottom"/>
            <w:gridSpan w:val="2"/>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72.2</w:t>
            </w:r>
          </w:p>
        </w:tc>
        <w:tc>
          <w:tcPr>
            <w:tcW w:w="600" w:type="dxa"/>
            <w:vAlign w:val="bottom"/>
            <w:gridSpan w:val="2"/>
            <w:shd w:val="clear" w:color="auto" w:fill="CCEEFF"/>
          </w:tcPr>
          <w:p>
            <w:pPr>
              <w:jc w:val="right"/>
              <w:ind w:right="92"/>
              <w:spacing w:after="0" w:line="243" w:lineRule="exact"/>
              <w:rPr>
                <w:sz w:val="20"/>
                <w:szCs w:val="20"/>
                <w:color w:val="auto"/>
              </w:rPr>
            </w:pPr>
            <w:r>
              <w:rPr>
                <w:rFonts w:ascii="Arial" w:cs="Arial" w:eastAsia="Arial" w:hAnsi="Arial"/>
                <w:sz w:val="22"/>
                <w:szCs w:val="22"/>
                <w:b w:val="1"/>
                <w:bCs w:val="1"/>
                <w:color w:val="auto"/>
              </w:rPr>
              <w:t>$</w:t>
            </w: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83.7</w:t>
            </w:r>
          </w:p>
        </w:tc>
      </w:tr>
      <w:tr>
        <w:trPr>
          <w:trHeight w:val="250"/>
        </w:trPr>
        <w:tc>
          <w:tcPr>
            <w:tcW w:w="5100" w:type="dxa"/>
            <w:vAlign w:val="bottom"/>
          </w:tcPr>
          <w:p>
            <w:pPr>
              <w:spacing w:after="0" w:line="243" w:lineRule="exact"/>
              <w:rPr>
                <w:sz w:val="20"/>
                <w:szCs w:val="20"/>
                <w:color w:val="auto"/>
              </w:rPr>
            </w:pPr>
            <w:r>
              <w:rPr>
                <w:rFonts w:ascii="Arial" w:cs="Arial" w:eastAsia="Arial" w:hAnsi="Arial"/>
                <w:sz w:val="22"/>
                <w:szCs w:val="22"/>
                <w:color w:val="auto"/>
              </w:rPr>
              <w:t>Cost of sales</w:t>
            </w:r>
          </w:p>
        </w:tc>
        <w:tc>
          <w:tcPr>
            <w:tcW w:w="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24.9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28.0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49.8</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58.0</w:t>
            </w:r>
          </w:p>
        </w:tc>
      </w:tr>
      <w:tr>
        <w:trPr>
          <w:trHeight w:val="243"/>
        </w:trPr>
        <w:tc>
          <w:tcPr>
            <w:tcW w:w="51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11.4</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13.6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22.4</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25.7</w:t>
            </w:r>
          </w:p>
        </w:tc>
      </w:tr>
      <w:tr>
        <w:trPr>
          <w:trHeight w:val="250"/>
        </w:trPr>
        <w:tc>
          <w:tcPr>
            <w:tcW w:w="510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5.6</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5.9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10.8</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11.7</w:t>
            </w:r>
          </w:p>
        </w:tc>
      </w:tr>
      <w:tr>
        <w:trPr>
          <w:trHeight w:val="243"/>
        </w:trPr>
        <w:tc>
          <w:tcPr>
            <w:tcW w:w="51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5.8</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7.7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11.6</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14.0</w:t>
            </w:r>
          </w:p>
        </w:tc>
      </w:tr>
      <w:tr>
        <w:trPr>
          <w:trHeight w:val="250"/>
        </w:trPr>
        <w:tc>
          <w:tcPr>
            <w:tcW w:w="510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.6</w:t>
            </w:r>
          </w:p>
        </w:tc>
      </w:tr>
      <w:tr>
        <w:trPr>
          <w:trHeight w:val="243"/>
        </w:trPr>
        <w:tc>
          <w:tcPr>
            <w:tcW w:w="51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6.1</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8.1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12.2</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14.6</w:t>
            </w:r>
          </w:p>
        </w:tc>
      </w:tr>
      <w:tr>
        <w:trPr>
          <w:trHeight w:val="250"/>
        </w:trPr>
        <w:tc>
          <w:tcPr>
            <w:tcW w:w="510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1.9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3.4</w:t>
            </w:r>
          </w:p>
        </w:tc>
      </w:tr>
      <w:tr>
        <w:trPr>
          <w:trHeight w:val="283"/>
        </w:trPr>
        <w:tc>
          <w:tcPr>
            <w:tcW w:w="51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Net income</w:t>
            </w:r>
          </w:p>
        </w:tc>
        <w:tc>
          <w:tcPr>
            <w:tcW w:w="4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32"/>
              <w:spacing w:after="0" w:line="223" w:lineRule="exact"/>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4.6</w:t>
            </w:r>
          </w:p>
        </w:tc>
        <w:tc>
          <w:tcPr>
            <w:tcW w:w="2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92"/>
              <w:spacing w:after="0" w:line="223" w:lineRule="exact"/>
              <w:rPr>
                <w:sz w:val="20"/>
                <w:szCs w:val="20"/>
                <w:color w:val="auto"/>
              </w:rPr>
            </w:pPr>
            <w:r>
              <w:rPr>
                <w:rFonts w:ascii="Arial" w:cs="Arial" w:eastAsia="Arial" w:hAnsi="Arial"/>
                <w:sz w:val="22"/>
                <w:szCs w:val="22"/>
                <w:b w:val="1"/>
                <w:bCs w:val="1"/>
                <w:color w:val="auto"/>
                <w:w w:val="81"/>
              </w:rPr>
              <w:t>$</w:t>
            </w:r>
          </w:p>
        </w:tc>
        <w:tc>
          <w:tcPr>
            <w:tcW w:w="9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b w:val="1"/>
                <w:bCs w:val="1"/>
                <w:color w:val="auto"/>
              </w:rPr>
              <w:t>6.2</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32"/>
              <w:spacing w:after="0" w:line="223" w:lineRule="exact"/>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9.3</w:t>
            </w:r>
          </w:p>
        </w:tc>
        <w:tc>
          <w:tcPr>
            <w:tcW w:w="2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92"/>
              <w:spacing w:after="0" w:line="223" w:lineRule="exact"/>
              <w:rPr>
                <w:sz w:val="20"/>
                <w:szCs w:val="20"/>
                <w:color w:val="auto"/>
              </w:rPr>
            </w:pPr>
            <w:r>
              <w:rPr>
                <w:rFonts w:ascii="Arial" w:cs="Arial" w:eastAsia="Arial" w:hAnsi="Arial"/>
                <w:sz w:val="22"/>
                <w:szCs w:val="22"/>
                <w:b w:val="1"/>
                <w:bCs w:val="1"/>
                <w:color w:val="auto"/>
                <w:w w:val="81"/>
              </w:rPr>
              <w:t>$</w:t>
            </w:r>
          </w:p>
        </w:tc>
        <w:tc>
          <w:tcPr>
            <w:tcW w:w="9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b w:val="1"/>
                <w:bCs w:val="1"/>
                <w:color w:val="auto"/>
              </w:rPr>
              <w:t>11.2</w:t>
            </w:r>
          </w:p>
        </w:tc>
      </w:tr>
      <w:tr>
        <w:trPr>
          <w:trHeight w:val="210"/>
        </w:trPr>
        <w:tc>
          <w:tcPr>
            <w:tcW w:w="5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283"/>
        </w:trPr>
        <w:tc>
          <w:tcPr>
            <w:tcW w:w="51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Basic and diluted net income per common share</w:t>
            </w:r>
          </w:p>
        </w:tc>
        <w:tc>
          <w:tcPr>
            <w:tcW w:w="680" w:type="dxa"/>
            <w:vAlign w:val="bottom"/>
            <w:gridSpan w:val="2"/>
            <w:shd w:val="clear" w:color="auto" w:fill="CCEEFF"/>
          </w:tcPr>
          <w:p>
            <w:pPr>
              <w:jc w:val="right"/>
              <w:ind w:right="32"/>
              <w:spacing w:after="0" w:line="22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.37</w:t>
            </w:r>
          </w:p>
        </w:tc>
        <w:tc>
          <w:tcPr>
            <w:tcW w:w="600" w:type="dxa"/>
            <w:vAlign w:val="bottom"/>
            <w:gridSpan w:val="2"/>
            <w:shd w:val="clear" w:color="auto" w:fill="CCEEFF"/>
          </w:tcPr>
          <w:p>
            <w:pPr>
              <w:jc w:val="right"/>
              <w:ind w:right="92"/>
              <w:spacing w:after="0" w:line="223" w:lineRule="exact"/>
              <w:rPr>
                <w:sz w:val="20"/>
                <w:szCs w:val="20"/>
                <w:color w:val="auto"/>
              </w:rPr>
            </w:pPr>
            <w:r>
              <w:rPr>
                <w:rFonts w:ascii="Arial" w:cs="Arial" w:eastAsia="Arial" w:hAnsi="Arial"/>
                <w:sz w:val="22"/>
                <w:szCs w:val="22"/>
                <w:b w:val="1"/>
                <w:bCs w:val="1"/>
                <w:color w:val="auto"/>
              </w:rPr>
              <w:t>$</w:t>
            </w:r>
          </w:p>
        </w:tc>
        <w:tc>
          <w:tcPr>
            <w:tcW w:w="9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b w:val="1"/>
                <w:bCs w:val="1"/>
                <w:color w:val="auto"/>
              </w:rPr>
              <w:t>.50</w:t>
            </w:r>
          </w:p>
        </w:tc>
        <w:tc>
          <w:tcPr>
            <w:tcW w:w="480" w:type="dxa"/>
            <w:vAlign w:val="bottom"/>
            <w:gridSpan w:val="2"/>
            <w:shd w:val="clear" w:color="auto" w:fill="CCEEFF"/>
          </w:tcPr>
          <w:p>
            <w:pPr>
              <w:jc w:val="right"/>
              <w:ind w:right="32"/>
              <w:spacing w:after="0" w:line="223" w:lineRule="exact"/>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.75</w:t>
            </w:r>
          </w:p>
        </w:tc>
        <w:tc>
          <w:tcPr>
            <w:tcW w:w="600" w:type="dxa"/>
            <w:vAlign w:val="bottom"/>
            <w:gridSpan w:val="2"/>
            <w:shd w:val="clear" w:color="auto" w:fill="CCEEFF"/>
          </w:tcPr>
          <w:p>
            <w:pPr>
              <w:jc w:val="right"/>
              <w:ind w:right="92"/>
              <w:spacing w:after="0" w:line="223" w:lineRule="exact"/>
              <w:rPr>
                <w:sz w:val="20"/>
                <w:szCs w:val="20"/>
                <w:color w:val="auto"/>
              </w:rPr>
            </w:pPr>
            <w:r>
              <w:rPr>
                <w:rFonts w:ascii="Arial" w:cs="Arial" w:eastAsia="Arial" w:hAnsi="Arial"/>
                <w:sz w:val="22"/>
                <w:szCs w:val="22"/>
                <w:b w:val="1"/>
                <w:bCs w:val="1"/>
                <w:color w:val="auto"/>
              </w:rPr>
              <w:t>$</w:t>
            </w:r>
          </w:p>
        </w:tc>
        <w:tc>
          <w:tcPr>
            <w:tcW w:w="9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b w:val="1"/>
                <w:bCs w:val="1"/>
                <w:color w:val="auto"/>
              </w:rPr>
              <w:t>.90</w:t>
            </w:r>
          </w:p>
        </w:tc>
      </w:tr>
      <w:tr>
        <w:trPr>
          <w:trHeight w:val="237"/>
        </w:trPr>
        <w:tc>
          <w:tcPr>
            <w:tcW w:w="5100" w:type="dxa"/>
            <w:vAlign w:val="bottom"/>
            <w:tcBorders>
              <w:top w:val="single" w:sz="8" w:color="CCEEFF"/>
            </w:tcBorders>
          </w:tcPr>
          <w:p>
            <w:pPr>
              <w:spacing w:after="0" w:line="223" w:lineRule="exact"/>
              <w:rPr>
                <w:sz w:val="20"/>
                <w:szCs w:val="20"/>
                <w:color w:val="auto"/>
              </w:rPr>
            </w:pPr>
            <w:r>
              <w:rPr>
                <w:rFonts w:ascii="Arial" w:cs="Arial" w:eastAsia="Arial" w:hAnsi="Arial"/>
                <w:sz w:val="22"/>
                <w:szCs w:val="22"/>
                <w:color w:val="auto"/>
                <w:w w:val="95"/>
              </w:rPr>
              <w:t>Weighted average diluted common shares outstanding</w:t>
            </w:r>
          </w:p>
        </w:tc>
        <w:tc>
          <w:tcPr>
            <w:tcW w:w="42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12.4</w:t>
            </w:r>
          </w:p>
        </w:tc>
        <w:tc>
          <w:tcPr>
            <w:tcW w:w="28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b w:val="1"/>
                <w:bCs w:val="1"/>
                <w:color w:val="auto"/>
              </w:rPr>
              <w:t>12.4</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12.4</w:t>
            </w:r>
          </w:p>
        </w:tc>
        <w:tc>
          <w:tcPr>
            <w:tcW w:w="28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b w:val="1"/>
                <w:bCs w:val="1"/>
                <w:color w:val="auto"/>
              </w:rPr>
              <w:t>12.4</w:t>
            </w:r>
          </w:p>
        </w:tc>
      </w:tr>
      <w:tr>
        <w:trPr>
          <w:trHeight w:val="20"/>
        </w:trPr>
        <w:tc>
          <w:tcPr>
            <w:tcW w:w="5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3045460</wp:posOffset>
            </wp:positionH>
            <wp:positionV relativeFrom="page">
              <wp:posOffset>88900</wp:posOffset>
            </wp:positionV>
            <wp:extent cx="145732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1480"/>
                    </a:xfrm>
                    <a:prstGeom prst="rect">
                      <a:avLst/>
                    </a:prstGeom>
                    <a:noFill/>
                  </pic:spPr>
                </pic:pic>
              </a:graphicData>
            </a:graphic>
          </wp:anchor>
        </w:drawing>
        <w:t>PRESS RELEASE</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COMPX DECLARES REGULAR QUARTERLY DIVIDEND</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DALLAS, TEXAS . . . August 2, 2022 . . . CompX International Inc. (NYSE American: CIX) announced today that its board of directors has declared CompX’s regular quarterly dividend of twenty-five cents ($0.25) per share on its class A common stock, payable on September 13, 2022 to stockholders of record at the close of business on September 1, 2022.</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sectPr>
      <w:pgSz w:w="11900" w:h="16838" w:orient="portrait"/>
      <w:cols w:equalWidth="0" w:num="1">
        <w:col w:w="11240"/>
      </w:cols>
      <w:pgMar w:left="320" w:top="12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2022-08-02T15:38:55Z</dcterms:created>
  <dcterms:modified xsi:type="dcterms:W3CDTF">2022-08-02T15:38:55Z</dcterms:modified>
</cp:coreProperties>
</file>