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cix-20260630x10q.htm"/>
        <w:bookmarkStart w:id="1" w:name="kscix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lineRule="atLeast" w:line="142"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bookmarkStart w:id="2" w:name="_f4df59ff_9755_450d_bc45_7c17274b5f24"/>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Washington, D.C. 20549</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before="0" w:after="0"/>
        <w:ind w:left="0" w:right="0" w:hanging="0"/>
        <w:jc w:val="left"/>
        <w:rPr/>
      </w:pPr>
      <w:r>
        <w:rPr>
          <w:caps w:val="false"/>
          <w:smallCaps w:val="false"/>
        </w:rPr>
        <w:t>☒</w:t>
      </w:r>
      <w:r>
        <w:rPr>
          <w:rFonts w:ascii="Times New Roman;Times;serif" w:hAnsi="Times New Roman;Times;serif"/>
          <w:b/>
          <w:sz w:val="24"/>
        </w:rPr>
        <w:t>QUARTERLY REPORT PURSUANT TO SECTION 13 OR 15(d) OF</w:t>
      </w:r>
    </w:p>
    <w:p>
      <w:pPr>
        <w:pStyle w:val="TextBody"/>
        <w:bidi w:val="0"/>
        <w:spacing w:before="0" w:after="80"/>
        <w:ind w:left="0" w:right="0" w:hanging="0"/>
        <w:jc w:val="center"/>
        <w:rPr>
          <w:rFonts w:ascii="Times New Roman;Times;serif" w:hAnsi="Times New Roman;Times;serif"/>
          <w:b/>
          <w:sz w:val="24"/>
        </w:rPr>
      </w:pPr>
      <w:r>
        <w:rPr>
          <w:rFonts w:ascii="Times New Roman;Times;serif" w:hAnsi="Times New Roman;Times;serif"/>
          <w:b/>
          <w:sz w:val="24"/>
        </w:rPr>
        <w:t>THE SECURITIES EXCHANGE ACT OF 1934</w:t>
      </w:r>
    </w:p>
    <w:p>
      <w:pPr>
        <w:pStyle w:val="TextBody"/>
        <w:bidi w:val="0"/>
        <w:spacing w:before="0" w:after="80"/>
        <w:ind w:left="0" w:right="0" w:hanging="0"/>
        <w:jc w:val="center"/>
        <w:rPr>
          <w:rFonts w:ascii="Times New Roman;Times;serif" w:hAnsi="Times New Roman;Times;serif"/>
          <w:b/>
          <w:sz w:val="20"/>
        </w:rPr>
      </w:pPr>
      <w:r>
        <w:rPr>
          <w:rFonts w:ascii="Times New Roman;Times;serif" w:hAnsi="Times New Roman;Times;serif"/>
          <w:b/>
          <w:sz w:val="20"/>
        </w:rPr>
        <w:t>For the quarter ended June 30, 2026</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before="0" w:after="0"/>
        <w:ind w:left="0" w:right="0" w:hanging="0"/>
        <w:jc w:val="left"/>
        <w:rPr/>
      </w:pPr>
      <w:r>
        <w:rPr>
          <w:caps w:val="false"/>
          <w:smallCaps w:val="false"/>
        </w:rPr>
        <w:t>☐</w:t>
      </w:r>
      <w:r>
        <w:rPr>
          <w:rFonts w:ascii="Times New Roman;Times;serif" w:hAnsi="Times New Roman;Times;serif"/>
          <w:b/>
          <w:sz w:val="24"/>
        </w:rPr>
        <w:t xml:space="preserve">TRANSITION REPORT PURSUANT TO SECTION 13 OR 15(d) OF </w:t>
      </w:r>
    </w:p>
    <w:p>
      <w:pPr>
        <w:pStyle w:val="TextBody"/>
        <w:bidi w:val="0"/>
        <w:spacing w:before="0" w:after="80"/>
        <w:ind w:left="0" w:right="0" w:hanging="0"/>
        <w:jc w:val="center"/>
        <w:rPr>
          <w:rFonts w:ascii="Times New Roman;Times;serif" w:hAnsi="Times New Roman;Times;serif"/>
          <w:b/>
          <w:sz w:val="24"/>
        </w:rPr>
      </w:pPr>
      <w:r>
        <w:rPr>
          <w:rFonts w:ascii="Times New Roman;Times;serif" w:hAnsi="Times New Roman;Times;serif"/>
          <w:b/>
          <w:sz w:val="24"/>
        </w:rPr>
        <w:t>THE SECURITIES EXCHANGE ACT OF 1934</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For the transition period from _________ to _________</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Commission file number 1-13905</w:t>
      </w:r>
    </w:p>
    <w:p>
      <w:pPr>
        <w:pStyle w:val="TextBody"/>
        <w:bidi w:val="0"/>
        <w:spacing w:before="0" w:after="80"/>
        <w:ind w:left="0" w:right="0" w:hanging="0"/>
        <w:jc w:val="center"/>
        <w:rPr>
          <w:rFonts w:ascii="Times New Roman;Times;serif" w:hAnsi="Times New Roman;Times;serif"/>
          <w:sz w:val="40"/>
        </w:rPr>
      </w:pPr>
      <w:r>
        <w:rPr>
          <w:rFonts w:ascii="Times New Roman;Times;serif" w:hAnsi="Times New Roman;Times;serif"/>
          <w:b/>
          <w:sz w:val="40"/>
        </w:rPr>
        <w:t>COMPX INTERNATIONAL INC.</w:t>
      </w:r>
      <w:r>
        <w:rPr>
          <w:rFonts w:ascii="Times New Roman;Times;serif" w:hAnsi="Times New Roman;Times;serif"/>
          <w:sz w:val="40"/>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aoddmpaxbUCvxSIX6RibIg_2_2"/>
      <w:bookmarkStart w:id="4" w:name="Tc_Ink1NPoIUUmsUwgbSr4gwQ_2_0"/>
      <w:bookmarkStart w:id="5" w:name="_a40d4d57_0eb2_4f36_a2f1_bba16ad752a1"/>
      <w:bookmarkStart w:id="6" w:name="Tc_aoddmpaxbUCvxSIX6RibIg_2_2"/>
      <w:bookmarkStart w:id="7" w:name="Tc_Ink1NPoIUUmsUwgbSr4gwQ_2_0"/>
      <w:bookmarkStart w:id="8" w:name="_a40d4d57_0eb2_4f36_a2f1_bba16ad752a1"/>
      <w:bookmarkEnd w:id="6"/>
      <w:bookmarkEnd w:id="7"/>
      <w:bookmarkEnd w:id="8"/>
    </w:p>
    <w:tbl>
      <w:tblPr>
        <w:tblW w:w="4773" w:type="dxa"/>
        <w:jc w:val="left"/>
        <w:tblInd w:w="0" w:type="dxa"/>
        <w:tblLayout w:type="fixed"/>
        <w:tblCellMar>
          <w:top w:w="0" w:type="dxa"/>
          <w:left w:w="0" w:type="dxa"/>
          <w:bottom w:w="0" w:type="dxa"/>
          <w:right w:w="0" w:type="dxa"/>
        </w:tblCellMar>
      </w:tblPr>
      <w:tblGrid>
        <w:gridCol w:w="2746"/>
        <w:gridCol w:w="346"/>
        <w:gridCol w:w="1681"/>
      </w:tblGrid>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left"/>
              <w:rPr/>
            </w:pPr>
            <w:r>
              <w:rPr/>
              <w:t>​</w:t>
            </w:r>
          </w:p>
        </w:tc>
      </w:tr>
      <w:tr>
        <w:trPr/>
        <w:tc>
          <w:tcPr>
            <w:tcW w:w="2746"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346" w:type="dxa"/>
            <w:tcBorders/>
            <w:vAlign w:val="center"/>
          </w:tcPr>
          <w:p>
            <w:pPr>
              <w:pStyle w:val="TableContents"/>
              <w:bidi w:val="0"/>
              <w:spacing w:before="0" w:after="0"/>
              <w:ind w:left="0" w:right="0" w:hanging="0"/>
              <w:jc w:val="left"/>
              <w:rPr/>
            </w:pPr>
            <w:r>
              <w:rPr/>
              <w:t>  ​ ​ ​</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57-0981653</w:t>
            </w:r>
          </w:p>
        </w:tc>
      </w:tr>
      <w:tr>
        <w:trPr/>
        <w:tc>
          <w:tcPr>
            <w:tcW w:w="27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 or other jurisdiction of</w:t>
              <w:br/>
              <w:t>incorporation or organization)</w:t>
            </w:r>
          </w:p>
        </w:tc>
        <w:tc>
          <w:tcPr>
            <w:tcW w:w="346" w:type="dxa"/>
            <w:tcBorders/>
            <w:vAlign w:val="center"/>
          </w:tcPr>
          <w:p>
            <w:pPr>
              <w:pStyle w:val="TableContents"/>
              <w:bidi w:val="0"/>
              <w:spacing w:before="0" w:after="240"/>
              <w:ind w:left="0" w:right="0" w:hanging="0"/>
              <w:jc w:val="left"/>
              <w:rPr/>
            </w:pPr>
            <w:r>
              <w:rPr/>
              <w:t>​</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100" w:after="0"/>
        <w:ind w:left="0" w:right="0" w:hanging="0"/>
        <w:jc w:val="center"/>
        <w:rPr>
          <w:rFonts w:ascii="Times New Roman;Times;serif" w:hAnsi="Times New Roman;Times;serif"/>
          <w:b/>
          <w:sz w:val="20"/>
        </w:rPr>
      </w:pPr>
      <w:r>
        <w:rPr>
          <w:rFonts w:ascii="Times New Roman;Times;serif" w:hAnsi="Times New Roman;Times;serif"/>
          <w:b/>
          <w:sz w:val="20"/>
        </w:rPr>
        <w:t>5430 LBJ Freeway, Suite 1700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Dallas, Texas</w:t>
      </w:r>
      <w:r>
        <w:rPr>
          <w:rFonts w:ascii="Times New Roman;Times;serif" w:hAnsi="Times New Roman;Times;serif"/>
          <w:sz w:val="20"/>
        </w:rPr>
        <w:t xml:space="preserve"> </w:t>
      </w:r>
      <w:r>
        <w:rPr>
          <w:rFonts w:ascii="Times New Roman;Times;serif" w:hAnsi="Times New Roman;Times;serif"/>
          <w:b/>
          <w:sz w:val="20"/>
        </w:rPr>
        <w:t>75240-2620</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 (972) 448-1400</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 w:name="Tc_cCEuy2E8mUyCSVixOxgBDA_1_4"/>
      <w:bookmarkStart w:id="10" w:name="Tc_ormztnuQrEWcWdixsDK-jQ_1_2"/>
      <w:bookmarkStart w:id="11" w:name="Tc_nejp5aJMxE2NJnEos-NQTQ_1_0"/>
      <w:bookmarkStart w:id="12" w:name="_ddacf02a_c048_46db_91e7_8b7b902951e5"/>
      <w:bookmarkStart w:id="13" w:name="Tc_cCEuy2E8mUyCSVixOxgBDA_1_4"/>
      <w:bookmarkStart w:id="14" w:name="Tc_ormztnuQrEWcWdixsDK-jQ_1_2"/>
      <w:bookmarkStart w:id="15" w:name="Tc_nejp5aJMxE2NJnEos-NQTQ_1_0"/>
      <w:bookmarkStart w:id="16" w:name="_ddacf02a_c048_46db_91e7_8b7b902951e5"/>
      <w:bookmarkEnd w:id="13"/>
      <w:bookmarkEnd w:id="14"/>
      <w:bookmarkEnd w:id="15"/>
      <w:bookmarkEnd w:id="16"/>
    </w:p>
    <w:tbl>
      <w:tblPr>
        <w:tblW w:w="7505" w:type="dxa"/>
        <w:jc w:val="left"/>
        <w:tblInd w:w="0" w:type="dxa"/>
        <w:tblLayout w:type="fixed"/>
        <w:tblCellMar>
          <w:top w:w="0" w:type="dxa"/>
          <w:left w:w="0" w:type="dxa"/>
          <w:bottom w:w="0" w:type="dxa"/>
          <w:right w:w="0" w:type="dxa"/>
        </w:tblCellMar>
      </w:tblPr>
      <w:tblGrid>
        <w:gridCol w:w="1771"/>
        <w:gridCol w:w="346"/>
        <w:gridCol w:w="1561"/>
        <w:gridCol w:w="346"/>
        <w:gridCol w:w="3481"/>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3481" w:type="dxa"/>
            <w:tcBorders/>
            <w:vAlign w:val="center"/>
          </w:tcPr>
          <w:p>
            <w:pPr>
              <w:pStyle w:val="TableContents"/>
              <w:bidi w:val="0"/>
              <w:spacing w:before="0" w:after="283"/>
              <w:ind w:left="0" w:right="0" w:hanging="0"/>
              <w:jc w:val="left"/>
              <w:rPr>
                <w:sz w:val="4"/>
                <w:szCs w:val="4"/>
              </w:rPr>
            </w:pPr>
            <w:r>
              <w:rPr>
                <w:sz w:val="4"/>
                <w:szCs w:val="4"/>
              </w:rPr>
            </w:r>
          </w:p>
        </w:tc>
      </w:tr>
      <w:tr>
        <w:trPr/>
        <w:tc>
          <w:tcPr>
            <w:tcW w:w="17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3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17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Class A common stock</w:t>
            </w:r>
          </w:p>
        </w:tc>
        <w:tc>
          <w:tcPr>
            <w:tcW w:w="346" w:type="dxa"/>
            <w:tcBorders/>
            <w:vAlign w:val="center"/>
          </w:tcPr>
          <w:p>
            <w:pPr>
              <w:pStyle w:val="TableContents"/>
              <w:bidi w:val="0"/>
              <w:spacing w:before="0" w:after="240"/>
              <w:ind w:left="0" w:right="0" w:hanging="0"/>
              <w:jc w:val="left"/>
              <w:rPr/>
            </w:pPr>
            <w:r>
              <w:rPr/>
              <w:t>​</w:t>
            </w:r>
          </w:p>
        </w:tc>
        <w:tc>
          <w:tcPr>
            <w:tcW w:w="15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CIX</w:t>
            </w:r>
          </w:p>
        </w:tc>
        <w:tc>
          <w:tcPr>
            <w:tcW w:w="346" w:type="dxa"/>
            <w:tcBorders/>
            <w:vAlign w:val="center"/>
          </w:tcPr>
          <w:p>
            <w:pPr>
              <w:pStyle w:val="TableContents"/>
              <w:bidi w:val="0"/>
              <w:spacing w:before="0" w:after="240"/>
              <w:ind w:left="0" w:right="0" w:hanging="0"/>
              <w:jc w:val="left"/>
              <w:rPr/>
            </w:pPr>
            <w:r>
              <w:rPr/>
              <w:t>​</w:t>
            </w:r>
          </w:p>
        </w:tc>
        <w:tc>
          <w:tcPr>
            <w:tcW w:w="34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NYSE American</w:t>
            </w:r>
          </w:p>
        </w:tc>
      </w:tr>
    </w:tbl>
    <w:p>
      <w:pPr>
        <w:pStyle w:val="TextBody"/>
        <w:bidi w:val="0"/>
        <w:spacing w:before="0" w:after="0"/>
        <w:ind w:left="0" w:right="0" w:hanging="0"/>
        <w:jc w:val="left"/>
        <w:rPr/>
      </w:pPr>
      <w:r>
        <w:rPr/>
        <w:t>​</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b/>
          <w:sz w:val="20"/>
        </w:rPr>
        <w:t>Indicate by check mark whether the registrant (1) has filed all reports required to be filed by Section 13 or 15(d) of the Securities Exchange Act of 1934 during the preceding 12 months and (2) has been subject to such filing requirements for the past 90 days.   Yes</w:t>
      </w:r>
      <w:r>
        <w:rPr>
          <w:rFonts w:ascii="Times New Roman;Times;serif" w:hAnsi="Times New Roman;Times;serif"/>
          <w:sz w:val="20"/>
        </w:rPr>
        <w:t>  ☒    </w:t>
      </w:r>
      <w:r>
        <w:rPr>
          <w:rFonts w:ascii="Times New Roman;Times;serif" w:hAnsi="Times New Roman;Times;serif"/>
          <w:b/>
          <w:sz w:val="20"/>
        </w:rPr>
        <w:t>No  </w:t>
      </w:r>
      <w:r>
        <w:rPr>
          <w:rFonts w:ascii="Times New Roman;Times;serif" w:hAnsi="Times New Roman;Times;serif"/>
          <w:sz w:val="20"/>
        </w:rPr>
        <w:t>☐</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b/>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b/>
          <w:sz w:val="20"/>
        </w:rPr>
        <w:t>No  </w:t>
      </w:r>
      <w:r>
        <w:rPr>
          <w:rFonts w:ascii="Times New Roman;Times;serif" w:hAnsi="Times New Roman;Times;serif"/>
          <w:sz w:val="20"/>
        </w:rPr>
        <w:t>☐</w:t>
      </w:r>
    </w:p>
    <w:p>
      <w:pPr>
        <w:pStyle w:val="TextBody"/>
        <w:bidi w:val="0"/>
        <w:spacing w:before="0" w:after="80"/>
        <w:ind w:left="0" w:right="0" w:hanging="0"/>
        <w:jc w:val="both"/>
        <w:rPr>
          <w:rFonts w:ascii="Times New Roman;Times;serif" w:hAnsi="Times New Roman;Times;serif"/>
          <w:b/>
          <w:sz w:val="20"/>
        </w:rPr>
      </w:pPr>
      <w:r>
        <w:rPr>
          <w:rFonts w:ascii="Times New Roman;Times;serif" w:hAnsi="Times New Roman;Times;serif"/>
          <w:b/>
          <w:sz w:val="20"/>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pStyle w:val="Normal"/>
        <w:bidi w:val="0"/>
        <w:spacing w:before="0" w:after="0"/>
        <w:jc w:val="left"/>
        <w:rPr>
          <w:sz w:val="4"/>
          <w:szCs w:val="4"/>
        </w:rPr>
      </w:pPr>
      <w:r>
        <w:rPr>
          <w:sz w:val="4"/>
          <w:szCs w:val="4"/>
        </w:rPr>
      </w:r>
      <w:bookmarkStart w:id="17" w:name="Tc_z2cfF7rXCk6YmSr19m1MmQ_3_0"/>
      <w:bookmarkStart w:id="18" w:name="Tc_NL4iGsQQ0kWRHoYK6O7hnw_2_2"/>
      <w:bookmarkStart w:id="19" w:name="Tc_GGAcLubgykmRkkBzMv6Oig_2_1"/>
      <w:bookmarkStart w:id="20" w:name="Tc_m-R6D5b7nUSW0TuO01tj_Q_2_0"/>
      <w:bookmarkStart w:id="21" w:name="Tc_G7fcWNalbEaZ4oSPo9xBMA_1_3"/>
      <w:bookmarkStart w:id="22" w:name="Tc_HfqVutEaI0WqNJ8tdayA-w_1_2"/>
      <w:bookmarkStart w:id="23" w:name="Tc_zaBkVJ4--ky8iOjmvJOfDg_1_1"/>
      <w:bookmarkStart w:id="24" w:name="Tc_uGVA1ALjhECIjudGqte0zQ_1_0"/>
      <w:bookmarkStart w:id="25" w:name="_7b004ce5_21ad_4ec9_aae1_43d24f130c2c"/>
      <w:bookmarkStart w:id="26" w:name="Tc_z2cfF7rXCk6YmSr19m1MmQ_3_0"/>
      <w:bookmarkStart w:id="27" w:name="Tc_NL4iGsQQ0kWRHoYK6O7hnw_2_2"/>
      <w:bookmarkStart w:id="28" w:name="Tc_GGAcLubgykmRkkBzMv6Oig_2_1"/>
      <w:bookmarkStart w:id="29" w:name="Tc_m-R6D5b7nUSW0TuO01tj_Q_2_0"/>
      <w:bookmarkStart w:id="30" w:name="Tc_G7fcWNalbEaZ4oSPo9xBMA_1_3"/>
      <w:bookmarkStart w:id="31" w:name="Tc_HfqVutEaI0WqNJ8tdayA-w_1_2"/>
      <w:bookmarkStart w:id="32" w:name="Tc_zaBkVJ4--ky8iOjmvJOfDg_1_1"/>
      <w:bookmarkStart w:id="33" w:name="Tc_uGVA1ALjhECIjudGqte0zQ_1_0"/>
      <w:bookmarkStart w:id="34" w:name="_7b004ce5_21ad_4ec9_aae1_43d24f130c2c"/>
      <w:bookmarkEnd w:id="26"/>
      <w:bookmarkEnd w:id="27"/>
      <w:bookmarkEnd w:id="28"/>
      <w:bookmarkEnd w:id="29"/>
      <w:bookmarkEnd w:id="30"/>
      <w:bookmarkEnd w:id="31"/>
      <w:bookmarkEnd w:id="32"/>
      <w:bookmarkEnd w:id="33"/>
      <w:bookmarkEnd w:id="34"/>
    </w:p>
    <w:tbl>
      <w:tblPr>
        <w:tblW w:w="5839" w:type="dxa"/>
        <w:jc w:val="left"/>
        <w:tblInd w:w="0" w:type="dxa"/>
        <w:tblLayout w:type="fixed"/>
        <w:tblCellMar>
          <w:top w:w="0" w:type="dxa"/>
          <w:left w:w="0" w:type="dxa"/>
          <w:bottom w:w="0" w:type="dxa"/>
          <w:right w:w="0" w:type="dxa"/>
        </w:tblCellMar>
      </w:tblPr>
      <w:tblGrid>
        <w:gridCol w:w="2536"/>
        <w:gridCol w:w="316"/>
        <w:gridCol w:w="2626"/>
        <w:gridCol w:w="361"/>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610360" cy="175260"/>
                      <wp:effectExtent l="0" t="0" r="0" b="0"/>
                      <wp:wrapNone/>
                      <wp:docPr id="1" name="Frame1"/>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0660" cy="175260"/>
                      <wp:effectExtent l="0" t="0" r="0" b="0"/>
                      <wp:wrapNone/>
                      <wp:docPr id="2" name="Frame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667510" cy="175260"/>
                      <wp:effectExtent l="0" t="0" r="0" b="0"/>
                      <wp:wrapNone/>
                      <wp:docPr id="3" name="Frame3"/>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29235" cy="175260"/>
                      <wp:effectExtent l="0" t="0" r="0" b="0"/>
                      <wp:wrapNone/>
                      <wp:docPr id="4" name="Frame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Large accelerated filer </w:t>
            </w:r>
          </w:p>
        </w:tc>
        <w:tc>
          <w:tcPr>
            <w:tcW w:w="316" w:type="dxa"/>
            <w:tcBorders/>
            <w:vAlign w:val="center"/>
          </w:tcPr>
          <w:p>
            <w:pPr>
              <w:pStyle w:val="TableContents"/>
              <w:bidi w:val="0"/>
              <w:spacing w:before="0" w:after="0"/>
              <w:ind w:left="0" w:right="0" w:hanging="0"/>
              <w:jc w:val="both"/>
              <w:rPr/>
            </w:pPr>
            <w:r>
              <w:rPr/>
              <w:t>☐</w:t>
            </w:r>
          </w:p>
        </w:tc>
        <w:tc>
          <w:tcPr>
            <w:tcW w:w="26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Accelerated filer</w:t>
            </w:r>
          </w:p>
        </w:tc>
        <w:tc>
          <w:tcPr>
            <w:tcW w:w="361" w:type="dxa"/>
            <w:tcBorders/>
            <w:vAlign w:val="center"/>
          </w:tcPr>
          <w:p>
            <w:pPr>
              <w:pStyle w:val="TableContents"/>
              <w:bidi w:val="0"/>
              <w:spacing w:before="0" w:after="0"/>
              <w:ind w:left="0" w:right="0" w:hanging="0"/>
              <w:jc w:val="right"/>
              <w:rPr/>
            </w:pPr>
            <w:r>
              <w:rPr/>
              <w:t>☐</w:t>
            </w:r>
          </w:p>
        </w:tc>
      </w:tr>
      <w:tr>
        <w:trPr/>
        <w:tc>
          <w:tcPr>
            <w:tcW w:w="253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Non-accelerated filer</w:t>
            </w:r>
            <w:r>
              <w:rPr>
                <w:rFonts w:ascii="Times New Roman;Times;serif" w:hAnsi="Times New Roman;Times;serif"/>
                <w:sz w:val="20"/>
              </w:rPr>
              <w:t xml:space="preserve"> </w:t>
            </w:r>
          </w:p>
        </w:tc>
        <w:tc>
          <w:tcPr>
            <w:tcW w:w="316" w:type="dxa"/>
            <w:tcBorders/>
            <w:vAlign w:val="center"/>
          </w:tcPr>
          <w:p>
            <w:pPr>
              <w:pStyle w:val="TableContents"/>
              <w:bidi w:val="0"/>
              <w:spacing w:before="0" w:after="0"/>
              <w:ind w:left="0" w:right="0" w:hanging="0"/>
              <w:jc w:val="both"/>
              <w:rPr/>
            </w:pPr>
            <w:r>
              <w:rPr/>
              <w:t>☒</w:t>
            </w:r>
          </w:p>
        </w:tc>
        <w:tc>
          <w:tcPr>
            <w:tcW w:w="2626" w:type="dxa"/>
            <w:tcBorders/>
            <w:vAlign w:val="center"/>
          </w:tcPr>
          <w:p>
            <w:pPr>
              <w:pStyle w:val="TableContents"/>
              <w:bidi w:val="0"/>
              <w:spacing w:before="0" w:after="0"/>
              <w:ind w:left="0" w:right="0" w:hanging="0"/>
              <w:jc w:val="right"/>
              <w:rPr/>
            </w:pPr>
            <w:r>
              <w:rPr/>
              <w:t>  ​</w:t>
            </w:r>
            <w:r>
              <w:rPr>
                <w:rFonts w:ascii="Times New Roman;Times;serif" w:hAnsi="Times New Roman;Times;serif"/>
                <w:b/>
                <w:sz w:val="20"/>
              </w:rPr>
              <w:t xml:space="preserve">Smaller reporting company </w:t>
            </w:r>
          </w:p>
        </w:tc>
        <w:tc>
          <w:tcPr>
            <w:tcW w:w="361" w:type="dxa"/>
            <w:tcBorders/>
            <w:vAlign w:val="center"/>
          </w:tcPr>
          <w:p>
            <w:pPr>
              <w:pStyle w:val="TableContents"/>
              <w:bidi w:val="0"/>
              <w:spacing w:before="0" w:after="0"/>
              <w:ind w:left="0" w:right="0" w:hanging="0"/>
              <w:jc w:val="right"/>
              <w:rPr/>
            </w:pPr>
            <w:r>
              <w:rPr/>
              <w:t>☐</w:t>
            </w:r>
          </w:p>
        </w:tc>
      </w:tr>
      <w:tr>
        <w:trPr/>
        <w:tc>
          <w:tcPr>
            <w:tcW w:w="253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Emerging growth company  </w:t>
            </w:r>
          </w:p>
        </w:tc>
        <w:tc>
          <w:tcPr>
            <w:tcW w:w="316" w:type="dxa"/>
            <w:tcBorders/>
            <w:vAlign w:val="center"/>
          </w:tcPr>
          <w:p>
            <w:pPr>
              <w:pStyle w:val="TableContents"/>
              <w:bidi w:val="0"/>
              <w:spacing w:before="0" w:after="0"/>
              <w:ind w:left="0" w:right="0" w:hanging="0"/>
              <w:jc w:val="both"/>
              <w:rPr/>
            </w:pPr>
            <w:r>
              <w:rPr/>
              <w:t>☐</w:t>
            </w:r>
          </w:p>
        </w:tc>
        <w:tc>
          <w:tcPr>
            <w:tcW w:w="2626" w:type="dxa"/>
            <w:tcBorders/>
            <w:vAlign w:val="center"/>
          </w:tcPr>
          <w:p>
            <w:pPr>
              <w:pStyle w:val="TableContents"/>
              <w:bidi w:val="0"/>
              <w:spacing w:before="0" w:after="240"/>
              <w:ind w:left="0" w:right="0" w:hanging="0"/>
              <w:jc w:val="right"/>
              <w:rPr/>
            </w:pPr>
            <w:r>
              <w:rPr/>
              <w:t>​</w:t>
            </w:r>
          </w:p>
        </w:tc>
        <w:tc>
          <w:tcPr>
            <w:tcW w:w="361" w:type="dxa"/>
            <w:tcBorders/>
            <w:vAlign w:val="center"/>
          </w:tcPr>
          <w:p>
            <w:pPr>
              <w:pStyle w:val="TableContents"/>
              <w:bidi w:val="0"/>
              <w:spacing w:before="0" w:after="240"/>
              <w:ind w:left="0" w:right="0" w:hanging="0"/>
              <w:jc w:val="right"/>
              <w:rPr/>
            </w:pPr>
            <w:r>
              <w:rPr/>
              <w:t>​</w:t>
            </w:r>
          </w:p>
        </w:tc>
      </w:tr>
    </w:tbl>
    <w:p>
      <w:pPr>
        <w:pStyle w:val="TextBody"/>
        <w:bidi w:val="0"/>
        <w:spacing w:before="0" w:after="240"/>
        <w:ind w:left="0" w:right="0" w:hanging="0"/>
        <w:jc w:val="both"/>
        <w:rPr/>
      </w:pPr>
      <w:r>
        <w:rPr/>
        <w:t>​</w:t>
      </w:r>
    </w:p>
    <w:p>
      <w:pPr>
        <w:pStyle w:val="TextBody"/>
        <w:bidi w:val="0"/>
        <w:spacing w:before="0" w:after="140"/>
        <w:ind w:left="0" w:right="0" w:hanging="0"/>
        <w:jc w:val="both"/>
        <w:rPr>
          <w:rFonts w:ascii="Times New Roman;Times;serif" w:hAnsi="Times New Roman;Times;serif"/>
          <w:sz w:val="18"/>
        </w:rPr>
      </w:pPr>
      <w:r>
        <w:rPr>
          <w:rFonts w:ascii="Times New Roman;Times;serif" w:hAnsi="Times New Roman;Times;serif"/>
          <w:b/>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18"/>
        </w:rPr>
        <w:t>☐</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b/>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b/>
          <w:sz w:val="18"/>
        </w:rPr>
        <w:t>No  </w:t>
      </w:r>
      <w:r>
        <w:rPr>
          <w:rFonts w:ascii="Times New Roman;Times;serif" w:hAnsi="Times New Roman;Times;serif"/>
          <w:sz w:val="20"/>
        </w:rPr>
        <w:t>☒</w:t>
      </w:r>
      <w:r>
        <w:rPr>
          <w:rFonts w:ascii="Times New Roman;Times;serif" w:hAnsi="Times New Roman;Times;serif"/>
          <w:b/>
          <w:sz w:val="18"/>
        </w:rPr>
        <w:t>.</w:t>
      </w:r>
    </w:p>
    <w:p>
      <w:pPr>
        <w:pStyle w:val="TextBody"/>
        <w:bidi w:val="0"/>
        <w:spacing w:before="0" w:after="140"/>
        <w:ind w:left="0" w:right="0" w:hanging="0"/>
        <w:jc w:val="both"/>
        <w:rPr>
          <w:rFonts w:ascii="Times New Roman;Times;serif" w:hAnsi="Times New Roman;Times;serif"/>
          <w:sz w:val="18"/>
        </w:rPr>
      </w:pPr>
      <w:r>
        <w:rPr>
          <w:rFonts w:ascii="Times New Roman;Times;serif" w:hAnsi="Times New Roman;Times;serif"/>
          <w:b/>
          <w:sz w:val="18"/>
        </w:rPr>
        <w:t>As of July 30, 2026, the registrant had 12,336,657</w:t>
      </w:r>
      <w:r>
        <w:rPr>
          <w:rFonts w:ascii="Times New Roman;Times;serif" w:hAnsi="Times New Roman;Times;serif"/>
          <w:sz w:val="18"/>
        </w:rPr>
        <w:t xml:space="preserve"> </w:t>
      </w:r>
      <w:r>
        <w:rPr>
          <w:rFonts w:ascii="Times New Roman;Times;serif" w:hAnsi="Times New Roman;Times;serif"/>
          <w:b/>
          <w:sz w:val="18"/>
        </w:rPr>
        <w:t>shares of Class A common stock, $.01 par value per share, outstanding.</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lineRule="atLeast" w:line="142"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5" w:name="TOC"/>
      <w:bookmarkStart w:id="36" w:name="_9ae362f4_a56b_45cf_a759_2cad1b09e9be"/>
      <w:bookmarkEnd w:id="35"/>
      <w:bookmarkEnd w:id="36"/>
      <w:r>
        <w:rPr>
          <w:rFonts w:ascii="Times New Roman;Times;serif" w:hAnsi="Times New Roman;Times;serif"/>
          <w:b/>
          <w:sz w:val="20"/>
        </w:rPr>
        <w:t>COMPX INTERNATIONAL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Index</w:t>
      </w:r>
    </w:p>
    <w:p>
      <w:pPr>
        <w:pStyle w:val="TextBody"/>
        <w:bidi w:val="0"/>
        <w:spacing w:before="0" w:after="24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811"/>
        <w:gridCol w:w="346"/>
        <w:gridCol w:w="8490"/>
        <w:gridCol w:w="558"/>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514985" cy="175260"/>
                      <wp:effectExtent l="0" t="0" r="0" b="0"/>
                      <wp:wrapNone/>
                      <wp:docPr id="5" name="Frame5"/>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175260"/>
                      <wp:effectExtent l="0" t="0" r="0" b="0"/>
                      <wp:wrapNone/>
                      <wp:docPr id="6" name="Frame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391150" cy="175260"/>
                      <wp:effectExtent l="0" t="0" r="0" b="0"/>
                      <wp:wrapNone/>
                      <wp:docPr id="7" name="Frame7"/>
                      <a:graphic xmlns:a="http://schemas.openxmlformats.org/drawingml/2006/main">
                        <a:graphicData uri="http://schemas.microsoft.com/office/word/2010/wordprocessingShape">
                          <wps:wsp>
                            <wps:cNvSpPr txBox="1"/>
                            <wps:spPr>
                              <a:xfrm>
                                <a:off x="0" y="0"/>
                                <a:ext cx="5391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354330" cy="175260"/>
                      <wp:effectExtent l="0" t="0" r="0" b="0"/>
                      <wp:wrapNone/>
                      <wp:docPr id="8" name="Frame8"/>
                      <a:graphic xmlns:a="http://schemas.openxmlformats.org/drawingml/2006/main">
                        <a:graphicData uri="http://schemas.microsoft.com/office/word/2010/wordprocessingShape">
                          <wps:wsp>
                            <wps:cNvSpPr txBox="1"/>
                            <wps:spPr>
                              <a:xfrm>
                                <a:off x="0" y="0"/>
                                <a:ext cx="354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490" w:type="dxa"/>
            <w:tcBorders/>
            <w:vAlign w:val="center"/>
          </w:tcPr>
          <w:p>
            <w:pPr>
              <w:pStyle w:val="TableContents"/>
              <w:bidi w:val="0"/>
              <w:spacing w:before="0" w:after="0"/>
              <w:ind w:left="0" w:right="0" w:hanging="0"/>
              <w:jc w:val="left"/>
              <w:rPr/>
            </w:pPr>
            <w:r>
              <w:rPr/>
              <w:t>​</w:t>
            </w:r>
          </w:p>
        </w:tc>
        <w:tc>
          <w:tcPr>
            <w:tcW w:w="55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811" w:type="dxa"/>
            <w:tcBorders/>
            <w:vAlign w:val="center"/>
          </w:tcPr>
          <w:p>
            <w:pPr>
              <w:pStyle w:val="TableContents"/>
              <w:bidi w:val="0"/>
              <w:spacing w:before="0" w:after="20"/>
              <w:ind w:left="0" w:right="0" w:hanging="0"/>
              <w:jc w:val="left"/>
              <w:rPr>
                <w:rFonts w:ascii="Times New Roman;Times;serif" w:hAnsi="Times New Roman;Times;serif"/>
                <w:b/>
                <w:sz w:val="20"/>
              </w:rPr>
            </w:pPr>
            <w:r>
              <w:rPr>
                <w:rFonts w:ascii="Times New Roman;Times;serif" w:hAnsi="Times New Roman;Times;serif"/>
                <w:b/>
                <w:sz w:val="20"/>
              </w:rPr>
              <w:t>Part I.</w:t>
            </w:r>
          </w:p>
        </w:tc>
        <w:tc>
          <w:tcPr>
            <w:tcW w:w="346" w:type="dxa"/>
            <w:tcBorders/>
            <w:vAlign w:val="center"/>
          </w:tcPr>
          <w:p>
            <w:pPr>
              <w:pStyle w:val="TableContents"/>
              <w:bidi w:val="0"/>
              <w:spacing w:before="0" w:after="0"/>
              <w:ind w:left="0" w:right="0" w:hanging="0"/>
              <w:jc w:val="left"/>
              <w:rPr/>
            </w:pPr>
            <w:r>
              <w:rPr/>
              <w:t>​</w:t>
            </w:r>
          </w:p>
        </w:tc>
        <w:tc>
          <w:tcPr>
            <w:tcW w:w="849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INFORMATION</w:t>
            </w:r>
          </w:p>
        </w:tc>
        <w:tc>
          <w:tcPr>
            <w:tcW w:w="558"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90" w:type="dxa"/>
            <w:tcBorders/>
            <w:vAlign w:val="center"/>
          </w:tcPr>
          <w:p>
            <w:pPr>
              <w:pStyle w:val="TableContents"/>
              <w:pBdr/>
              <w:bidi w:val="0"/>
              <w:spacing w:before="0" w:after="0"/>
              <w:ind w:left="0" w:right="0" w:hanging="0"/>
              <w:jc w:val="left"/>
              <w:rPr/>
            </w:pPr>
            <w:r>
              <w:rPr/>
              <w:t>​</w:t>
            </w:r>
          </w:p>
        </w:tc>
        <w:tc>
          <w:tcPr>
            <w:tcW w:w="558"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346" w:type="dxa"/>
            <w:tcBorders/>
            <w:vAlign w:val="center"/>
          </w:tcPr>
          <w:p>
            <w:pPr>
              <w:pStyle w:val="TableContents"/>
              <w:bidi w:val="0"/>
              <w:spacing w:before="0" w:after="0"/>
              <w:ind w:left="0" w:right="0" w:hanging="0"/>
              <w:jc w:val="left"/>
              <w:rPr/>
            </w:pPr>
            <w:r>
              <w:rPr/>
              <w:t>​</w:t>
            </w:r>
          </w:p>
        </w:tc>
        <w:tc>
          <w:tcPr>
            <w:tcW w:w="849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Statements</w:t>
            </w:r>
          </w:p>
        </w:tc>
        <w:tc>
          <w:tcPr>
            <w:tcW w:w="558"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90" w:type="dxa"/>
            <w:tcBorders/>
            <w:vAlign w:val="center"/>
          </w:tcPr>
          <w:p>
            <w:pPr>
              <w:pStyle w:val="TableContents"/>
              <w:pBdr/>
              <w:bidi w:val="0"/>
              <w:spacing w:before="0" w:after="0"/>
              <w:ind w:left="0" w:right="0" w:hanging="0"/>
              <w:jc w:val="left"/>
              <w:rPr/>
            </w:pPr>
            <w:r>
              <w:rPr/>
              <w:t>​</w:t>
            </w:r>
          </w:p>
        </w:tc>
        <w:tc>
          <w:tcPr>
            <w:tcW w:w="558"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90" w:type="dxa"/>
            <w:tcBorders/>
            <w:vAlign w:val="center"/>
          </w:tcPr>
          <w:p>
            <w:pPr>
              <w:pStyle w:val="TableContents"/>
              <w:pBdr/>
              <w:bidi w:val="0"/>
              <w:spacing w:before="0" w:after="0"/>
              <w:ind w:left="0" w:right="0" w:hanging="0"/>
              <w:jc w:val="left"/>
              <w:rPr/>
            </w:pPr>
            <w:hyperlink w:anchor="CONDENSEDCONSOLIDATEDBALANCESHEETS_68281">
              <w:r>
                <w:rPr>
                  <w:rStyle w:val="InternetLink"/>
                  <w:rFonts w:ascii="Times New Roman;Times;serif" w:hAnsi="Times New Roman;Times;serif"/>
                  <w:b w:val="false"/>
                  <w:i w:val="false"/>
                  <w:caps w:val="false"/>
                  <w:smallCaps w:val="false"/>
                  <w:sz w:val="20"/>
                </w:rPr>
                <w:t>Condensed Consolidated Balance Sheets (unaudited) – December 31, 2025 and June 30, 2026</w:t>
              </w:r>
            </w:hyperlink>
          </w:p>
        </w:tc>
        <w:tc>
          <w:tcPr>
            <w:tcW w:w="55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- 3 -</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90" w:type="dxa"/>
            <w:tcBorders/>
            <w:vAlign w:val="center"/>
          </w:tcPr>
          <w:p>
            <w:pPr>
              <w:pStyle w:val="TableContents"/>
              <w:pBdr/>
              <w:bidi w:val="0"/>
              <w:spacing w:before="0" w:after="0"/>
              <w:ind w:left="0" w:right="0" w:hanging="0"/>
              <w:jc w:val="left"/>
              <w:rPr/>
            </w:pPr>
            <w:r>
              <w:rPr/>
              <w:t>​</w:t>
            </w:r>
          </w:p>
        </w:tc>
        <w:tc>
          <w:tcPr>
            <w:tcW w:w="558"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90" w:type="dxa"/>
            <w:tcBorders/>
            <w:vAlign w:val="center"/>
          </w:tcPr>
          <w:p>
            <w:pPr>
              <w:pStyle w:val="TableContents"/>
              <w:pBdr/>
              <w:bidi w:val="0"/>
              <w:spacing w:before="0" w:after="0"/>
              <w:ind w:left="0" w:right="0" w:hanging="0"/>
              <w:jc w:val="left"/>
              <w:rPr/>
            </w:pPr>
            <w:hyperlink w:anchor="CONDENSEDCONSOLIDATEDSTATEMENTSOFINCOME_">
              <w:r>
                <w:rPr>
                  <w:rStyle w:val="InternetLink"/>
                  <w:rFonts w:ascii="Times New Roman;Times;serif" w:hAnsi="Times New Roman;Times;serif"/>
                  <w:b w:val="false"/>
                  <w:i w:val="false"/>
                  <w:caps w:val="false"/>
                  <w:smallCaps w:val="false"/>
                  <w:sz w:val="20"/>
                </w:rPr>
                <w:t>Condensed Consolidated Statements of Income (unaudited) – Three and six months ended June 30, 2025 and 2026</w:t>
              </w:r>
            </w:hyperlink>
          </w:p>
        </w:tc>
        <w:tc>
          <w:tcPr>
            <w:tcW w:w="55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- 4 -</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90" w:type="dxa"/>
            <w:tcBorders/>
            <w:vAlign w:val="center"/>
          </w:tcPr>
          <w:p>
            <w:pPr>
              <w:pStyle w:val="TableContents"/>
              <w:pBdr/>
              <w:bidi w:val="0"/>
              <w:spacing w:before="0" w:after="0"/>
              <w:ind w:left="0" w:right="0" w:hanging="0"/>
              <w:jc w:val="left"/>
              <w:rPr/>
            </w:pPr>
            <w:r>
              <w:rPr/>
              <w:t>​</w:t>
            </w:r>
          </w:p>
        </w:tc>
        <w:tc>
          <w:tcPr>
            <w:tcW w:w="558"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90" w:type="dxa"/>
            <w:tcBorders/>
            <w:vAlign w:val="center"/>
          </w:tcPr>
          <w:p>
            <w:pPr>
              <w:pStyle w:val="TableContents"/>
              <w:pBdr/>
              <w:bidi w:val="0"/>
              <w:spacing w:before="0" w:after="0"/>
              <w:ind w:left="0" w:right="0" w:hanging="0"/>
              <w:jc w:val="left"/>
              <w:rPr/>
            </w:pPr>
            <w:hyperlink w:anchor="CONDENSEDCONSOLIDATEDSTATEMENTOFEQUITY">
              <w:r>
                <w:rPr>
                  <w:rStyle w:val="InternetLink"/>
                  <w:rFonts w:ascii="Times New Roman;Times;serif" w:hAnsi="Times New Roman;Times;serif"/>
                  <w:b w:val="false"/>
                  <w:i w:val="false"/>
                  <w:caps w:val="false"/>
                  <w:smallCaps w:val="false"/>
                  <w:sz w:val="20"/>
                </w:rPr>
                <w:t>Condensed Consolidated Statements of Stockholders’ Equity (unaudited) – Three and six months ended June 30, 2025 and 2026</w:t>
              </w:r>
            </w:hyperlink>
          </w:p>
        </w:tc>
        <w:tc>
          <w:tcPr>
            <w:tcW w:w="55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- 5 -</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90" w:type="dxa"/>
            <w:tcBorders/>
            <w:vAlign w:val="center"/>
          </w:tcPr>
          <w:p>
            <w:pPr>
              <w:pStyle w:val="TableContents"/>
              <w:pBdr/>
              <w:bidi w:val="0"/>
              <w:spacing w:before="0" w:after="0"/>
              <w:ind w:left="0" w:right="0" w:hanging="0"/>
              <w:jc w:val="left"/>
              <w:rPr/>
            </w:pPr>
            <w:r>
              <w:rPr/>
              <w:t>​</w:t>
            </w:r>
          </w:p>
        </w:tc>
        <w:tc>
          <w:tcPr>
            <w:tcW w:w="558"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90" w:type="dxa"/>
            <w:tcBorders/>
            <w:vAlign w:val="center"/>
          </w:tcPr>
          <w:p>
            <w:pPr>
              <w:pStyle w:val="TableContents"/>
              <w:pBdr/>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(unaudited) – Six months ended June 30, 2025 and 2026</w:t>
              </w:r>
            </w:hyperlink>
          </w:p>
        </w:tc>
        <w:tc>
          <w:tcPr>
            <w:tcW w:w="55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- 6 -</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90" w:type="dxa"/>
            <w:tcBorders/>
            <w:vAlign w:val="center"/>
          </w:tcPr>
          <w:p>
            <w:pPr>
              <w:pStyle w:val="TableContents"/>
              <w:pBdr/>
              <w:bidi w:val="0"/>
              <w:spacing w:before="0" w:after="0"/>
              <w:ind w:left="0" w:right="0" w:hanging="0"/>
              <w:jc w:val="left"/>
              <w:rPr/>
            </w:pPr>
            <w:r>
              <w:rPr/>
              <w:t>​</w:t>
            </w:r>
          </w:p>
        </w:tc>
        <w:tc>
          <w:tcPr>
            <w:tcW w:w="558"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90" w:type="dxa"/>
            <w:tcBorders/>
            <w:vAlign w:val="center"/>
          </w:tcPr>
          <w:p>
            <w:pPr>
              <w:pStyle w:val="TableContents"/>
              <w:pBdr/>
              <w:bidi w:val="0"/>
              <w:spacing w:before="0" w:after="0"/>
              <w:ind w:left="0" w:right="0" w:hanging="0"/>
              <w:jc w:val="left"/>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55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- 7 -</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90" w:type="dxa"/>
            <w:tcBorders/>
            <w:vAlign w:val="center"/>
          </w:tcPr>
          <w:p>
            <w:pPr>
              <w:pStyle w:val="TableContents"/>
              <w:pBdr/>
              <w:bidi w:val="0"/>
              <w:spacing w:before="0" w:after="0"/>
              <w:ind w:left="0" w:right="0" w:hanging="0"/>
              <w:jc w:val="left"/>
              <w:rPr/>
            </w:pPr>
            <w:r>
              <w:rPr/>
              <w:t>​</w:t>
            </w:r>
          </w:p>
        </w:tc>
        <w:tc>
          <w:tcPr>
            <w:tcW w:w="558"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2MANAGEMENTSDISCUSSIONANDANALYSIS_62">
              <w:r>
                <w:rPr>
                  <w:rStyle w:val="InternetLink"/>
                  <w:rFonts w:ascii="Times New Roman;Times;serif" w:hAnsi="Times New Roman;Times;serif"/>
                  <w:b w:val="false"/>
                  <w:i w:val="false"/>
                  <w:caps w:val="false"/>
                  <w:smallCaps w:val="false"/>
                  <w:sz w:val="20"/>
                </w:rPr>
                <w:t>Item 2.</w:t>
              </w:r>
            </w:hyperlink>
          </w:p>
        </w:tc>
        <w:tc>
          <w:tcPr>
            <w:tcW w:w="346" w:type="dxa"/>
            <w:tcBorders/>
            <w:vAlign w:val="center"/>
          </w:tcPr>
          <w:p>
            <w:pPr>
              <w:pStyle w:val="TableContents"/>
              <w:bidi w:val="0"/>
              <w:spacing w:before="0" w:after="0"/>
              <w:ind w:left="0" w:right="0" w:hanging="0"/>
              <w:jc w:val="left"/>
              <w:rPr/>
            </w:pPr>
            <w:r>
              <w:rPr/>
              <w:t>​</w:t>
            </w:r>
          </w:p>
        </w:tc>
        <w:tc>
          <w:tcPr>
            <w:tcW w:w="8490" w:type="dxa"/>
            <w:tcBorders/>
            <w:vAlign w:val="center"/>
          </w:tcPr>
          <w:p>
            <w:pPr>
              <w:pStyle w:val="TableContents"/>
              <w:pBdr/>
              <w:bidi w:val="0"/>
              <w:spacing w:before="0" w:after="0"/>
              <w:ind w:left="0" w:right="0" w:hanging="0"/>
              <w:jc w:val="left"/>
              <w:rPr/>
            </w:pPr>
            <w:hyperlink w:anchor="ITEM2MANAGEMENTSDISCUSSIONANDANALYSIS_62">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5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- 11 -</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90" w:type="dxa"/>
            <w:tcBorders/>
            <w:vAlign w:val="center"/>
          </w:tcPr>
          <w:p>
            <w:pPr>
              <w:pStyle w:val="TableContents"/>
              <w:pBdr/>
              <w:bidi w:val="0"/>
              <w:spacing w:before="0" w:after="0"/>
              <w:ind w:left="0" w:right="0" w:hanging="0"/>
              <w:jc w:val="left"/>
              <w:rPr/>
            </w:pPr>
            <w:r>
              <w:rPr/>
              <w:t>​</w:t>
            </w:r>
          </w:p>
        </w:tc>
        <w:tc>
          <w:tcPr>
            <w:tcW w:w="558"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3QUANTITATIVEANDQUALITATIVE_461712">
              <w:r>
                <w:rPr>
                  <w:rStyle w:val="InternetLink"/>
                  <w:rFonts w:ascii="Times New Roman;Times;serif" w:hAnsi="Times New Roman;Times;serif"/>
                  <w:b w:val="false"/>
                  <w:i w:val="false"/>
                  <w:caps w:val="false"/>
                  <w:smallCaps w:val="false"/>
                  <w:sz w:val="20"/>
                </w:rPr>
                <w:t>Item 3.</w:t>
              </w:r>
            </w:hyperlink>
          </w:p>
        </w:tc>
        <w:tc>
          <w:tcPr>
            <w:tcW w:w="346" w:type="dxa"/>
            <w:tcBorders/>
            <w:vAlign w:val="center"/>
          </w:tcPr>
          <w:p>
            <w:pPr>
              <w:pStyle w:val="TableContents"/>
              <w:bidi w:val="0"/>
              <w:spacing w:before="0" w:after="0"/>
              <w:ind w:left="0" w:right="0" w:hanging="0"/>
              <w:jc w:val="left"/>
              <w:rPr/>
            </w:pPr>
            <w:r>
              <w:rPr/>
              <w:t>​</w:t>
            </w:r>
          </w:p>
        </w:tc>
        <w:tc>
          <w:tcPr>
            <w:tcW w:w="8490" w:type="dxa"/>
            <w:tcBorders/>
            <w:vAlign w:val="center"/>
          </w:tcPr>
          <w:p>
            <w:pPr>
              <w:pStyle w:val="TableContents"/>
              <w:pBdr/>
              <w:bidi w:val="0"/>
              <w:spacing w:before="0" w:after="0"/>
              <w:ind w:left="0" w:right="0" w:hanging="0"/>
              <w:jc w:val="left"/>
              <w:rPr/>
            </w:pPr>
            <w:hyperlink w:anchor="ITEM3QUANTITATIVEANDQUALITATIVE_461712">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5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- 17 -</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90" w:type="dxa"/>
            <w:tcBorders/>
            <w:vAlign w:val="center"/>
          </w:tcPr>
          <w:p>
            <w:pPr>
              <w:pStyle w:val="TableContents"/>
              <w:pBdr/>
              <w:bidi w:val="0"/>
              <w:spacing w:before="0" w:after="0"/>
              <w:ind w:left="0" w:right="0" w:hanging="0"/>
              <w:jc w:val="left"/>
              <w:rPr/>
            </w:pPr>
            <w:r>
              <w:rPr/>
              <w:t>​</w:t>
            </w:r>
          </w:p>
        </w:tc>
        <w:tc>
          <w:tcPr>
            <w:tcW w:w="558"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4CONTROLSANDPROCEDURES_115866">
              <w:r>
                <w:rPr>
                  <w:rStyle w:val="InternetLink"/>
                  <w:rFonts w:ascii="Times New Roman;Times;serif" w:hAnsi="Times New Roman;Times;serif"/>
                  <w:b w:val="false"/>
                  <w:i w:val="false"/>
                  <w:caps w:val="false"/>
                  <w:smallCaps w:val="false"/>
                  <w:sz w:val="20"/>
                </w:rPr>
                <w:t>Item 4.</w:t>
              </w:r>
            </w:hyperlink>
          </w:p>
        </w:tc>
        <w:tc>
          <w:tcPr>
            <w:tcW w:w="346" w:type="dxa"/>
            <w:tcBorders/>
            <w:vAlign w:val="center"/>
          </w:tcPr>
          <w:p>
            <w:pPr>
              <w:pStyle w:val="TableContents"/>
              <w:bidi w:val="0"/>
              <w:spacing w:before="0" w:after="0"/>
              <w:ind w:left="0" w:right="0" w:hanging="0"/>
              <w:jc w:val="left"/>
              <w:rPr/>
            </w:pPr>
            <w:r>
              <w:rPr/>
              <w:t>​</w:t>
            </w:r>
          </w:p>
        </w:tc>
        <w:tc>
          <w:tcPr>
            <w:tcW w:w="8490" w:type="dxa"/>
            <w:tcBorders/>
            <w:vAlign w:val="center"/>
          </w:tcPr>
          <w:p>
            <w:pPr>
              <w:pStyle w:val="TableContents"/>
              <w:pBdr/>
              <w:bidi w:val="0"/>
              <w:spacing w:before="0" w:after="0"/>
              <w:ind w:left="0" w:right="0" w:hanging="0"/>
              <w:jc w:val="left"/>
              <w:rPr/>
            </w:pPr>
            <w:hyperlink w:anchor="ITEM4CONTROLSANDPROCEDURES_115866">
              <w:r>
                <w:rPr>
                  <w:rStyle w:val="InternetLink"/>
                  <w:rFonts w:ascii="Times New Roman;Times;serif" w:hAnsi="Times New Roman;Times;serif"/>
                  <w:b w:val="false"/>
                  <w:i w:val="false"/>
                  <w:caps w:val="false"/>
                  <w:smallCaps w:val="false"/>
                  <w:sz w:val="20"/>
                </w:rPr>
                <w:t>Controls and Procedures</w:t>
              </w:r>
            </w:hyperlink>
          </w:p>
        </w:tc>
        <w:tc>
          <w:tcPr>
            <w:tcW w:w="55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- 17 -</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90" w:type="dxa"/>
            <w:tcBorders/>
            <w:vAlign w:val="center"/>
          </w:tcPr>
          <w:p>
            <w:pPr>
              <w:pStyle w:val="TableContents"/>
              <w:pBdr/>
              <w:bidi w:val="0"/>
              <w:spacing w:before="0" w:after="0"/>
              <w:ind w:left="0" w:right="0" w:hanging="0"/>
              <w:jc w:val="left"/>
              <w:rPr/>
            </w:pPr>
            <w:r>
              <w:rPr/>
              <w:t>​</w:t>
            </w:r>
          </w:p>
        </w:tc>
        <w:tc>
          <w:tcPr>
            <w:tcW w:w="558"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PartIIOTHERINFORMATION_828529">
              <w:r>
                <w:rPr>
                  <w:rStyle w:val="InternetLink"/>
                  <w:rFonts w:ascii="Times New Roman;Times;serif" w:hAnsi="Times New Roman;Times;serif"/>
                  <w:b/>
                  <w:i w:val="false"/>
                  <w:caps w:val="false"/>
                  <w:smallCaps w:val="false"/>
                  <w:sz w:val="20"/>
                </w:rPr>
                <w:t>Part II.</w:t>
              </w:r>
            </w:hyperlink>
          </w:p>
        </w:tc>
        <w:tc>
          <w:tcPr>
            <w:tcW w:w="346" w:type="dxa"/>
            <w:tcBorders/>
            <w:vAlign w:val="center"/>
          </w:tcPr>
          <w:p>
            <w:pPr>
              <w:pStyle w:val="TableContents"/>
              <w:bidi w:val="0"/>
              <w:spacing w:before="0" w:after="0"/>
              <w:ind w:left="0" w:right="0" w:hanging="0"/>
              <w:jc w:val="left"/>
              <w:rPr/>
            </w:pPr>
            <w:r>
              <w:rPr/>
              <w:t>​</w:t>
            </w:r>
          </w:p>
        </w:tc>
        <w:tc>
          <w:tcPr>
            <w:tcW w:w="8490" w:type="dxa"/>
            <w:tcBorders/>
            <w:vAlign w:val="center"/>
          </w:tcPr>
          <w:p>
            <w:pPr>
              <w:pStyle w:val="TableContents"/>
              <w:pBdr/>
              <w:bidi w:val="0"/>
              <w:spacing w:before="0" w:after="0"/>
              <w:ind w:left="0" w:right="0" w:hanging="0"/>
              <w:jc w:val="left"/>
              <w:rPr/>
            </w:pPr>
            <w:hyperlink w:anchor="PartIIOTHERINFORMATION_828529">
              <w:r>
                <w:rPr>
                  <w:rStyle w:val="InternetLink"/>
                  <w:rFonts w:ascii="Times New Roman;Times;serif" w:hAnsi="Times New Roman;Times;serif"/>
                  <w:b/>
                  <w:i w:val="false"/>
                  <w:caps w:val="false"/>
                  <w:smallCaps w:val="false"/>
                  <w:sz w:val="20"/>
                </w:rPr>
                <w:t>OTHER INFORMATION</w:t>
              </w:r>
            </w:hyperlink>
          </w:p>
        </w:tc>
        <w:tc>
          <w:tcPr>
            <w:tcW w:w="558"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90" w:type="dxa"/>
            <w:tcBorders/>
            <w:vAlign w:val="center"/>
          </w:tcPr>
          <w:p>
            <w:pPr>
              <w:pStyle w:val="TableContents"/>
              <w:pBdr/>
              <w:bidi w:val="0"/>
              <w:spacing w:before="0" w:after="0"/>
              <w:ind w:left="0" w:right="0" w:hanging="0"/>
              <w:jc w:val="left"/>
              <w:rPr/>
            </w:pPr>
            <w:r>
              <w:rPr/>
              <w:t>​</w:t>
            </w:r>
          </w:p>
        </w:tc>
        <w:tc>
          <w:tcPr>
            <w:tcW w:w="558"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1LEGALPROCEEDINGS">
              <w:r>
                <w:rPr>
                  <w:rStyle w:val="InternetLink"/>
                  <w:rFonts w:ascii="Times New Roman;Times;serif" w:hAnsi="Times New Roman;Times;serif"/>
                  <w:b w:val="false"/>
                  <w:i w:val="false"/>
                  <w:caps w:val="false"/>
                  <w:smallCaps w:val="false"/>
                  <w:sz w:val="20"/>
                </w:rPr>
                <w:t>Item 1.</w:t>
              </w:r>
            </w:hyperlink>
          </w:p>
        </w:tc>
        <w:tc>
          <w:tcPr>
            <w:tcW w:w="346" w:type="dxa"/>
            <w:tcBorders/>
            <w:vAlign w:val="center"/>
          </w:tcPr>
          <w:p>
            <w:pPr>
              <w:pStyle w:val="TableContents"/>
              <w:bidi w:val="0"/>
              <w:spacing w:before="0" w:after="0"/>
              <w:ind w:left="0" w:right="0" w:hanging="0"/>
              <w:jc w:val="left"/>
              <w:rPr/>
            </w:pPr>
            <w:r>
              <w:rPr/>
              <w:t>​</w:t>
            </w:r>
          </w:p>
        </w:tc>
        <w:tc>
          <w:tcPr>
            <w:tcW w:w="8490" w:type="dxa"/>
            <w:tcBorders/>
            <w:vAlign w:val="center"/>
          </w:tcPr>
          <w:p>
            <w:pPr>
              <w:pStyle w:val="TableContents"/>
              <w:pBdr/>
              <w:bidi w:val="0"/>
              <w:spacing w:before="0" w:after="0"/>
              <w:ind w:left="0" w:right="0" w:hanging="0"/>
              <w:jc w:val="left"/>
              <w:rPr/>
            </w:pPr>
            <w:hyperlink w:anchor="ITEM1LEGALPROCEEDINGS">
              <w:r>
                <w:rPr>
                  <w:rStyle w:val="InternetLink"/>
                  <w:rFonts w:ascii="Times New Roman;Times;serif" w:hAnsi="Times New Roman;Times;serif"/>
                  <w:b w:val="false"/>
                  <w:i w:val="false"/>
                  <w:caps w:val="false"/>
                  <w:smallCaps w:val="false"/>
                  <w:sz w:val="20"/>
                </w:rPr>
                <w:t>Legal Proceedings</w:t>
              </w:r>
            </w:hyperlink>
          </w:p>
        </w:tc>
        <w:tc>
          <w:tcPr>
            <w:tcW w:w="55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- 18 -</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90" w:type="dxa"/>
            <w:tcBorders/>
            <w:vAlign w:val="center"/>
          </w:tcPr>
          <w:p>
            <w:pPr>
              <w:pStyle w:val="TableContents"/>
              <w:pBdr/>
              <w:bidi w:val="0"/>
              <w:spacing w:before="0" w:after="0"/>
              <w:ind w:left="0" w:right="0" w:hanging="0"/>
              <w:jc w:val="left"/>
              <w:rPr/>
            </w:pPr>
            <w:r>
              <w:rPr/>
              <w:t>​</w:t>
            </w:r>
          </w:p>
        </w:tc>
        <w:tc>
          <w:tcPr>
            <w:tcW w:w="558"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1ARiskFactors_841388">
              <w:r>
                <w:rPr>
                  <w:rStyle w:val="InternetLink"/>
                  <w:rFonts w:ascii="Times New Roman;Times;serif" w:hAnsi="Times New Roman;Times;serif"/>
                  <w:b w:val="false"/>
                  <w:i w:val="false"/>
                  <w:caps w:val="false"/>
                  <w:smallCaps w:val="false"/>
                  <w:sz w:val="20"/>
                </w:rPr>
                <w:t>Item 1A.</w:t>
              </w:r>
            </w:hyperlink>
          </w:p>
        </w:tc>
        <w:tc>
          <w:tcPr>
            <w:tcW w:w="346" w:type="dxa"/>
            <w:tcBorders/>
            <w:vAlign w:val="center"/>
          </w:tcPr>
          <w:p>
            <w:pPr>
              <w:pStyle w:val="TableContents"/>
              <w:bidi w:val="0"/>
              <w:spacing w:before="0" w:after="0"/>
              <w:ind w:left="0" w:right="0" w:hanging="0"/>
              <w:jc w:val="left"/>
              <w:rPr/>
            </w:pPr>
            <w:r>
              <w:rPr/>
              <w:t>​</w:t>
            </w:r>
          </w:p>
        </w:tc>
        <w:tc>
          <w:tcPr>
            <w:tcW w:w="8490" w:type="dxa"/>
            <w:tcBorders/>
            <w:vAlign w:val="center"/>
          </w:tcPr>
          <w:p>
            <w:pPr>
              <w:pStyle w:val="TableContents"/>
              <w:pBdr/>
              <w:bidi w:val="0"/>
              <w:spacing w:before="0" w:after="0"/>
              <w:ind w:left="0" w:right="0" w:hanging="0"/>
              <w:jc w:val="left"/>
              <w:rPr/>
            </w:pPr>
            <w:hyperlink w:anchor="ITEM1ARiskFactors_841388">
              <w:r>
                <w:rPr>
                  <w:rStyle w:val="InternetLink"/>
                  <w:rFonts w:ascii="Times New Roman;Times;serif" w:hAnsi="Times New Roman;Times;serif"/>
                  <w:b w:val="false"/>
                  <w:i w:val="false"/>
                  <w:caps w:val="false"/>
                  <w:smallCaps w:val="false"/>
                  <w:sz w:val="20"/>
                </w:rPr>
                <w:t>Risk Factors</w:t>
              </w:r>
            </w:hyperlink>
          </w:p>
        </w:tc>
        <w:tc>
          <w:tcPr>
            <w:tcW w:w="55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- 18 -</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90" w:type="dxa"/>
            <w:tcBorders/>
            <w:vAlign w:val="center"/>
          </w:tcPr>
          <w:p>
            <w:pPr>
              <w:pStyle w:val="TableContents"/>
              <w:pBdr/>
              <w:bidi w:val="0"/>
              <w:spacing w:before="0" w:after="0"/>
              <w:ind w:left="0" w:right="0" w:hanging="0"/>
              <w:jc w:val="left"/>
              <w:rPr/>
            </w:pPr>
            <w:r>
              <w:rPr/>
              <w:t>​</w:t>
            </w:r>
          </w:p>
        </w:tc>
        <w:tc>
          <w:tcPr>
            <w:tcW w:w="558"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6Exhibits_812943">
              <w:r>
                <w:rPr>
                  <w:rStyle w:val="InternetLink"/>
                  <w:rFonts w:ascii="Times New Roman;Times;serif" w:hAnsi="Times New Roman;Times;serif"/>
                  <w:b w:val="false"/>
                  <w:i w:val="false"/>
                  <w:caps w:val="false"/>
                  <w:smallCaps w:val="false"/>
                  <w:sz w:val="20"/>
                </w:rPr>
                <w:t>Item 6.</w:t>
              </w:r>
            </w:hyperlink>
          </w:p>
        </w:tc>
        <w:tc>
          <w:tcPr>
            <w:tcW w:w="346" w:type="dxa"/>
            <w:tcBorders/>
            <w:vAlign w:val="center"/>
          </w:tcPr>
          <w:p>
            <w:pPr>
              <w:pStyle w:val="TableContents"/>
              <w:bidi w:val="0"/>
              <w:spacing w:before="0" w:after="0"/>
              <w:ind w:left="0" w:right="0" w:hanging="0"/>
              <w:jc w:val="left"/>
              <w:rPr/>
            </w:pPr>
            <w:r>
              <w:rPr/>
              <w:t>​</w:t>
            </w:r>
          </w:p>
        </w:tc>
        <w:tc>
          <w:tcPr>
            <w:tcW w:w="8490" w:type="dxa"/>
            <w:tcBorders/>
            <w:vAlign w:val="center"/>
          </w:tcPr>
          <w:p>
            <w:pPr>
              <w:pStyle w:val="TableContents"/>
              <w:pBdr/>
              <w:bidi w:val="0"/>
              <w:spacing w:before="0" w:after="0"/>
              <w:ind w:left="0" w:right="0" w:hanging="0"/>
              <w:jc w:val="left"/>
              <w:rPr/>
            </w:pPr>
            <w:hyperlink w:anchor="ITEM6Exhibits_812943">
              <w:r>
                <w:rPr>
                  <w:rStyle w:val="InternetLink"/>
                  <w:rFonts w:ascii="Times New Roman;Times;serif" w:hAnsi="Times New Roman;Times;serif"/>
                  <w:b w:val="false"/>
                  <w:i w:val="false"/>
                  <w:caps w:val="false"/>
                  <w:smallCaps w:val="false"/>
                  <w:sz w:val="20"/>
                </w:rPr>
                <w:t>Exhibits</w:t>
              </w:r>
            </w:hyperlink>
          </w:p>
        </w:tc>
        <w:tc>
          <w:tcPr>
            <w:tcW w:w="55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- 18 -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Items 2, 3, 4 and 5 of Part II are omitted because there is no information to report.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- 2 -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bookmarkStart w:id="37" w:name="_39a3728b_6ff4_48b2_a7e9_3a9533f89144"/>
      <w:bookmarkEnd w:id="37"/>
      <w:r>
        <w:rPr>
          <w:rFonts w:ascii="Times New Roman;Times;serif" w:hAnsi="Times New Roman;Times;serif"/>
          <w:b/>
          <w:sz w:val="20"/>
        </w:rPr>
        <w:t>COMPX INTERNATIONAL INC.</w:t>
      </w:r>
    </w:p>
    <w:p>
      <w:pPr>
        <w:pStyle w:val="TextBody"/>
        <w:bidi w:val="0"/>
        <w:spacing w:before="0" w:after="60"/>
        <w:ind w:left="0" w:right="0" w:hanging="0"/>
        <w:jc w:val="center"/>
        <w:rPr>
          <w:rFonts w:ascii="Times New Roman;Times;serif" w:hAnsi="Times New Roman;Times;serif"/>
          <w:b/>
          <w:sz w:val="20"/>
        </w:rPr>
      </w:pPr>
      <w:bookmarkStart w:id="38" w:name="CONDENSEDCONSOLIDATEDBALANCESHEETS_68281"/>
      <w:bookmarkEnd w:id="38"/>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39" w:name="Tc_Wr4gAwejXEyaabrNCYF0IA_45_5"/>
      <w:bookmarkStart w:id="40" w:name="Tc_UrIPQ5XXjUaVBSeuZWhkNA_45_2"/>
      <w:bookmarkStart w:id="41" w:name="Tc_uhPAYwQsdUG4Aee9IWGlTA_45_0"/>
      <w:bookmarkStart w:id="42" w:name="Tc_QoLkNaisnkOK4C9OEozctg_44_0"/>
      <w:bookmarkStart w:id="43" w:name="Tc_FJOjIivzNky8qFHLW8o5tw_43_0"/>
      <w:bookmarkStart w:id="44" w:name="Tc_DnU8iqHz1kyKhKW9pjjWiA_42_0"/>
      <w:bookmarkStart w:id="45" w:name="Tc_cJnAz0L6_kWY4pCiqVLo2g_41_0"/>
      <w:bookmarkStart w:id="46" w:name="Tc_ul74C3iWH0aev115_7TGEw_40_0"/>
      <w:bookmarkStart w:id="47" w:name="Tc_kUr3fiBSRkibXF-1VPfbkw_39_0"/>
      <w:bookmarkStart w:id="48" w:name="Tc_HM-j8aFLeUKoTzH3vsaibw_37_0"/>
      <w:bookmarkStart w:id="49" w:name="Tc_TZyncgpdXEiComlW660aBA_36_0"/>
      <w:bookmarkStart w:id="50" w:name="Tc_2EwFCtf3skOxU0EEGFwzYw_35_3"/>
      <w:bookmarkStart w:id="51" w:name="Tc_7jfr5G8wRki016G4HL3NFg_35_0"/>
      <w:bookmarkStart w:id="52" w:name="Tc_gnEn6eZTjE-mg-8U9CdWOQ_34_0"/>
      <w:bookmarkStart w:id="53" w:name="Tc_AM-TRyqFpUyLpFkk-bdAEA_33_0"/>
      <w:bookmarkStart w:id="54" w:name="Tc_5pZLhfZ0mkuexMzRQig7Ag_31_0"/>
      <w:bookmarkStart w:id="55" w:name="Tc_9kJWnrFygkGfU9w6QJloVw_30_0"/>
      <w:bookmarkStart w:id="56" w:name="Tc_kwwSZgFdr0S0UMWL3Kwqmg_29_5"/>
      <w:bookmarkStart w:id="57" w:name="Tc_l_dJJqm3BUanLWO_c4-WZw_29_2"/>
      <w:bookmarkStart w:id="58" w:name="Tc_JGEtV1BpGkGJz4i3kLtmvQ_29_0"/>
      <w:bookmarkStart w:id="59" w:name="Tc_wSqkGElAxUCmcJCIRNYe_A_28_0"/>
      <w:bookmarkStart w:id="60" w:name="Tc_PBYxpAg5m0Omb2C1chn_Hg_27_0"/>
      <w:bookmarkStart w:id="61" w:name="Tc_hpyj2KajMEerWDGKPXcA7A_25_5"/>
      <w:bookmarkStart w:id="62" w:name="Tc_or7mT5MArkyg6nfw8Occ2g_25_2"/>
      <w:bookmarkStart w:id="63" w:name="Tc_7PtpFz89M0CqRDxfwCT4Yw_25_0"/>
      <w:bookmarkStart w:id="64" w:name="Tc_gY0wGtaOjkClBCHoMx77bA_24_0"/>
      <w:bookmarkStart w:id="65" w:name="Tc_41HhPXvJekyUP1YCqJ7kCw_23_0"/>
      <w:bookmarkStart w:id="66" w:name="Tc_OeRvDjlhQUmPxPbRhi2l3w_21_0"/>
      <w:bookmarkStart w:id="67" w:name="Tc_Gl6Nd7hiPUqHSZv_DLmhWA_20_0"/>
      <w:bookmarkStart w:id="68" w:name="Tc_wodCTHJceEmEVG1RaY4A-A_19_0"/>
      <w:bookmarkStart w:id="69" w:name="Tc_RPjflv68W0yMzax-PnMDRQ_18_0"/>
      <w:bookmarkStart w:id="70" w:name="Tc_9eVy9bgMH0yCpjY_1m_Tsg_17_0"/>
      <w:bookmarkStart w:id="71" w:name="Tc_q2ZCGE0TlESS3VZATyGYBw_15_0"/>
      <w:bookmarkStart w:id="72" w:name="Tc_a7xnunsO-Ee27WoU20eUBw_14_0"/>
      <w:bookmarkStart w:id="73" w:name="Tc_JtRhbEKKO0ONyfh65xI92A_13_3"/>
      <w:bookmarkStart w:id="74" w:name="Tc_Zju5SEtrlkmX7Zuf2FTxcg_13_0"/>
      <w:bookmarkStart w:id="75" w:name="Tc_yxrLPHUiMUqPurviVbzvlg_12_0"/>
      <w:bookmarkStart w:id="76" w:name="Tc_JRVbYcTOzEWSz2qGYD9Z5A_11_0"/>
      <w:bookmarkStart w:id="77" w:name="Tc_myDc2gXEQESVtmtI7H1rgA_10_0"/>
      <w:bookmarkStart w:id="78" w:name="Tc_2B4LAZW_P0mbeOSpzgL0Bg_8_0"/>
      <w:bookmarkStart w:id="79" w:name="Tc_dOu9iYcmEkmG_AnmPQDkNw_7_0"/>
      <w:bookmarkStart w:id="80" w:name="Tc_ZaIfDhGs3kukOSjojf1xFA_6_0"/>
      <w:bookmarkStart w:id="81" w:name="Tc_XMbL2gTnpUCOPCSACPpa5Q_5_0"/>
      <w:bookmarkStart w:id="82" w:name="Tc_sxNvhK230E-7SI_osSa01g_4_5"/>
      <w:bookmarkStart w:id="83" w:name="Tc_fJMZdjoFqUiVZAw_0LTWgw_4_2"/>
      <w:bookmarkStart w:id="84" w:name="Tc_I_WUglhDlk6nEqC3vzPyyA_4_0"/>
      <w:bookmarkStart w:id="85" w:name="Tc_I4VEbbU2d0y7-mgqdvtL9g_3_0"/>
      <w:bookmarkStart w:id="86" w:name="Tc_R1YnqQv0Zkum_2ULQzK0GQ_2_5"/>
      <w:bookmarkStart w:id="87" w:name="Tc_PsnWMBw4dU2F5GR_YyaTCg_2_2"/>
      <w:bookmarkStart w:id="88" w:name="Tc_9Zs3KtOH_0iZYVi3CXtfhg_2_0"/>
      <w:bookmarkStart w:id="89" w:name="Tc_2GeVeJ9A3EagbaRoK9JKiQ_1_5"/>
      <w:bookmarkStart w:id="90" w:name="Tc_GAGdLYAt_ECEoZ8rS0xfmw_1_2"/>
      <w:bookmarkStart w:id="91" w:name="_2c34fea5_ee40_4591_9eee_afce93baf5f9"/>
      <w:bookmarkStart w:id="92" w:name="Tc_Wr4gAwejXEyaabrNCYF0IA_45_5"/>
      <w:bookmarkStart w:id="93" w:name="Tc_UrIPQ5XXjUaVBSeuZWhkNA_45_2"/>
      <w:bookmarkStart w:id="94" w:name="Tc_uhPAYwQsdUG4Aee9IWGlTA_45_0"/>
      <w:bookmarkStart w:id="95" w:name="Tc_QoLkNaisnkOK4C9OEozctg_44_0"/>
      <w:bookmarkStart w:id="96" w:name="Tc_FJOjIivzNky8qFHLW8o5tw_43_0"/>
      <w:bookmarkStart w:id="97" w:name="Tc_DnU8iqHz1kyKhKW9pjjWiA_42_0"/>
      <w:bookmarkStart w:id="98" w:name="Tc_cJnAz0L6_kWY4pCiqVLo2g_41_0"/>
      <w:bookmarkStart w:id="99" w:name="Tc_ul74C3iWH0aev115_7TGEw_40_0"/>
      <w:bookmarkStart w:id="100" w:name="Tc_kUr3fiBSRkibXF-1VPfbkw_39_0"/>
      <w:bookmarkStart w:id="101" w:name="Tc_HM-j8aFLeUKoTzH3vsaibw_37_0"/>
      <w:bookmarkStart w:id="102" w:name="Tc_TZyncgpdXEiComlW660aBA_36_0"/>
      <w:bookmarkStart w:id="103" w:name="Tc_2EwFCtf3skOxU0EEGFwzYw_35_3"/>
      <w:bookmarkStart w:id="104" w:name="Tc_7jfr5G8wRki016G4HL3NFg_35_0"/>
      <w:bookmarkStart w:id="105" w:name="Tc_gnEn6eZTjE-mg-8U9CdWOQ_34_0"/>
      <w:bookmarkStart w:id="106" w:name="Tc_AM-TRyqFpUyLpFkk-bdAEA_33_0"/>
      <w:bookmarkStart w:id="107" w:name="Tc_5pZLhfZ0mkuexMzRQig7Ag_31_0"/>
      <w:bookmarkStart w:id="108" w:name="Tc_9kJWnrFygkGfU9w6QJloVw_30_0"/>
      <w:bookmarkStart w:id="109" w:name="Tc_kwwSZgFdr0S0UMWL3Kwqmg_29_5"/>
      <w:bookmarkStart w:id="110" w:name="Tc_l_dJJqm3BUanLWO_c4-WZw_29_2"/>
      <w:bookmarkStart w:id="111" w:name="Tc_JGEtV1BpGkGJz4i3kLtmvQ_29_0"/>
      <w:bookmarkStart w:id="112" w:name="Tc_wSqkGElAxUCmcJCIRNYe_A_28_0"/>
      <w:bookmarkStart w:id="113" w:name="Tc_PBYxpAg5m0Omb2C1chn_Hg_27_0"/>
      <w:bookmarkStart w:id="114" w:name="Tc_hpyj2KajMEerWDGKPXcA7A_25_5"/>
      <w:bookmarkStart w:id="115" w:name="Tc_or7mT5MArkyg6nfw8Occ2g_25_2"/>
      <w:bookmarkStart w:id="116" w:name="Tc_7PtpFz89M0CqRDxfwCT4Yw_25_0"/>
      <w:bookmarkStart w:id="117" w:name="Tc_gY0wGtaOjkClBCHoMx77bA_24_0"/>
      <w:bookmarkStart w:id="118" w:name="Tc_41HhPXvJekyUP1YCqJ7kCw_23_0"/>
      <w:bookmarkStart w:id="119" w:name="Tc_OeRvDjlhQUmPxPbRhi2l3w_21_0"/>
      <w:bookmarkStart w:id="120" w:name="Tc_Gl6Nd7hiPUqHSZv_DLmhWA_20_0"/>
      <w:bookmarkStart w:id="121" w:name="Tc_wodCTHJceEmEVG1RaY4A-A_19_0"/>
      <w:bookmarkStart w:id="122" w:name="Tc_RPjflv68W0yMzax-PnMDRQ_18_0"/>
      <w:bookmarkStart w:id="123" w:name="Tc_9eVy9bgMH0yCpjY_1m_Tsg_17_0"/>
      <w:bookmarkStart w:id="124" w:name="Tc_q2ZCGE0TlESS3VZATyGYBw_15_0"/>
      <w:bookmarkStart w:id="125" w:name="Tc_a7xnunsO-Ee27WoU20eUBw_14_0"/>
      <w:bookmarkStart w:id="126" w:name="Tc_JtRhbEKKO0ONyfh65xI92A_13_3"/>
      <w:bookmarkStart w:id="127" w:name="Tc_Zju5SEtrlkmX7Zuf2FTxcg_13_0"/>
      <w:bookmarkStart w:id="128" w:name="Tc_yxrLPHUiMUqPurviVbzvlg_12_0"/>
      <w:bookmarkStart w:id="129" w:name="Tc_JRVbYcTOzEWSz2qGYD9Z5A_11_0"/>
      <w:bookmarkStart w:id="130" w:name="Tc_myDc2gXEQESVtmtI7H1rgA_10_0"/>
      <w:bookmarkStart w:id="131" w:name="Tc_2B4LAZW_P0mbeOSpzgL0Bg_8_0"/>
      <w:bookmarkStart w:id="132" w:name="Tc_dOu9iYcmEkmG_AnmPQDkNw_7_0"/>
      <w:bookmarkStart w:id="133" w:name="Tc_ZaIfDhGs3kukOSjojf1xFA_6_0"/>
      <w:bookmarkStart w:id="134" w:name="Tc_XMbL2gTnpUCOPCSACPpa5Q_5_0"/>
      <w:bookmarkStart w:id="135" w:name="Tc_sxNvhK230E-7SI_osSa01g_4_5"/>
      <w:bookmarkStart w:id="136" w:name="Tc_fJMZdjoFqUiVZAw_0LTWgw_4_2"/>
      <w:bookmarkStart w:id="137" w:name="Tc_I_WUglhDlk6nEqC3vzPyyA_4_0"/>
      <w:bookmarkStart w:id="138" w:name="Tc_I4VEbbU2d0y7-mgqdvtL9g_3_0"/>
      <w:bookmarkStart w:id="139" w:name="Tc_R1YnqQv0Zkum_2ULQzK0GQ_2_5"/>
      <w:bookmarkStart w:id="140" w:name="Tc_PsnWMBw4dU2F5GR_YyaTCg_2_2"/>
      <w:bookmarkStart w:id="141" w:name="Tc_9Zs3KtOH_0iZYVi3CXtfhg_2_0"/>
      <w:bookmarkStart w:id="142" w:name="Tc_2GeVeJ9A3EagbaRoK9JKiQ_1_5"/>
      <w:bookmarkStart w:id="143" w:name="Tc_GAGdLYAt_ECEoZ8rS0xfmw_1_2"/>
      <w:bookmarkStart w:id="144" w:name="_2c34fea5_ee40_4591_9eee_afce93baf5f9"/>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p>
    <w:tbl>
      <w:tblPr>
        <w:tblW w:w="6978" w:type="dxa"/>
        <w:jc w:val="left"/>
        <w:tblInd w:w="0" w:type="dxa"/>
        <w:tblLayout w:type="fixed"/>
        <w:tblCellMar>
          <w:top w:w="0" w:type="dxa"/>
          <w:left w:w="0" w:type="dxa"/>
          <w:bottom w:w="0" w:type="dxa"/>
          <w:right w:w="0" w:type="dxa"/>
        </w:tblCellMar>
      </w:tblPr>
      <w:tblGrid>
        <w:gridCol w:w="4321"/>
        <w:gridCol w:w="146"/>
        <w:gridCol w:w="277"/>
        <w:gridCol w:w="1028"/>
        <w:gridCol w:w="109"/>
        <w:gridCol w:w="211"/>
        <w:gridCol w:w="886"/>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743835" cy="175260"/>
                      <wp:effectExtent l="0" t="0" r="0" b="0"/>
                      <wp:wrapNone/>
                      <wp:docPr id="9" name="Frame9"/>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92710" cy="175260"/>
                      <wp:effectExtent l="0" t="0" r="0" b="0"/>
                      <wp:wrapNone/>
                      <wp:docPr id="10" name="Frame1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75895" cy="175260"/>
                      <wp:effectExtent l="0" t="0" r="0" b="0"/>
                      <wp:wrapNone/>
                      <wp:docPr id="11" name="Frame11"/>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52780" cy="175260"/>
                      <wp:effectExtent l="0" t="0" r="0" b="0"/>
                      <wp:wrapNone/>
                      <wp:docPr id="12" name="Frame12"/>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9215" cy="175260"/>
                      <wp:effectExtent l="0" t="0" r="0" b="0"/>
                      <wp:wrapNone/>
                      <wp:docPr id="13" name="Frame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62610" cy="175260"/>
                      <wp:effectExtent l="0" t="0" r="0" b="0"/>
                      <wp:wrapNone/>
                      <wp:docPr id="15" name="Frame1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130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109" w:type="dxa"/>
            <w:tcBorders/>
            <w:vAlign w:val="center"/>
          </w:tcPr>
          <w:p>
            <w:pPr>
              <w:pStyle w:val="TableContents"/>
              <w:bidi w:val="0"/>
              <w:spacing w:before="0" w:after="1"/>
              <w:ind w:left="0" w:right="0" w:hanging="0"/>
              <w:jc w:val="center"/>
              <w:rPr/>
            </w:pPr>
            <w:r>
              <w:rPr/>
              <w:t>​</w:t>
            </w:r>
          </w:p>
        </w:tc>
        <w:tc>
          <w:tcPr>
            <w:tcW w:w="1097"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432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146" w:type="dxa"/>
            <w:tcBorders/>
            <w:vAlign w:val="center"/>
          </w:tcPr>
          <w:p>
            <w:pPr>
              <w:pStyle w:val="TableContents"/>
              <w:bidi w:val="0"/>
              <w:spacing w:before="0" w:after="1"/>
              <w:ind w:left="0" w:right="0" w:hanging="0"/>
              <w:jc w:val="center"/>
              <w:rPr/>
            </w:pPr>
            <w:r>
              <w:rPr/>
              <w:t>​</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09" w:type="dxa"/>
            <w:tcBorders/>
            <w:vAlign w:val="center"/>
          </w:tcPr>
          <w:p>
            <w:pPr>
              <w:pStyle w:val="TableContents"/>
              <w:bidi w:val="0"/>
              <w:spacing w:before="0" w:after="1"/>
              <w:ind w:left="0" w:right="0" w:hanging="0"/>
              <w:jc w:val="center"/>
              <w:rPr/>
            </w:pPr>
            <w:r>
              <w:rPr/>
              <w:t>​</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146" w:type="dxa"/>
            <w:tcBorders/>
            <w:shd w:fill="CCEEFF" w:val="clear"/>
            <w:vAlign w:val="center"/>
          </w:tcPr>
          <w:p>
            <w:pPr>
              <w:pStyle w:val="TableContents"/>
              <w:bidi w:val="0"/>
              <w:spacing w:before="0" w:after="1"/>
              <w:ind w:left="0" w:right="0" w:hanging="0"/>
              <w:jc w:val="left"/>
              <w:rPr/>
            </w:pPr>
            <w:r>
              <w:rPr/>
              <w:t> </w:t>
            </w:r>
          </w:p>
        </w:tc>
        <w:tc>
          <w:tcPr>
            <w:tcW w:w="277"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  ​</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54,096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52,421</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13,766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19,564</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1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30,410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31,756</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2,060</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14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100,098</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105,801</w:t>
            </w:r>
          </w:p>
        </w:tc>
      </w:tr>
      <w:tr>
        <w:trPr/>
        <w:tc>
          <w:tcPr>
            <w:tcW w:w="4321"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  ​</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Note receivable from affiliate</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6,800</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1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23,742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23,742</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right-of-use asset</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993</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14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645</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707</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assets</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32,387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32,242</w:t>
            </w:r>
          </w:p>
        </w:tc>
      </w:tr>
      <w:tr>
        <w:trPr/>
        <w:tc>
          <w:tcPr>
            <w:tcW w:w="432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102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  ​</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w:t>
            </w:r>
          </w:p>
        </w:tc>
        <w:tc>
          <w:tcPr>
            <w:tcW w:w="1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5,390</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23,634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23,634</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Equipment</w:t>
            </w:r>
          </w:p>
        </w:tc>
        <w:tc>
          <w:tcPr>
            <w:tcW w:w="1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78,021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78,948</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818</w:t>
            </w:r>
          </w:p>
        </w:tc>
      </w:tr>
      <w:tr>
        <w:trPr/>
        <w:tc>
          <w:tcPr>
            <w:tcW w:w="432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107,522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108,790</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83,813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85,309</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property and equipment</w:t>
            </w:r>
          </w:p>
        </w:tc>
        <w:tc>
          <w:tcPr>
            <w:tcW w:w="14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23,709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23,481</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156,194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161,524</w:t>
            </w:r>
          </w:p>
        </w:tc>
      </w:tr>
      <w:tr>
        <w:trPr/>
        <w:tc>
          <w:tcPr>
            <w:tcW w:w="432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102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4321"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146" w:type="dxa"/>
            <w:tcBorders/>
            <w:shd w:fill="CCEEFF" w:val="clear"/>
            <w:vAlign w:val="center"/>
          </w:tcPr>
          <w:p>
            <w:pPr>
              <w:pStyle w:val="TableContents"/>
              <w:bidi w:val="0"/>
              <w:spacing w:before="0" w:after="1"/>
              <w:ind w:left="0" w:right="0" w:hanging="0"/>
              <w:jc w:val="center"/>
              <w:rPr/>
            </w:pPr>
            <w:r>
              <w:rPr/>
              <w:t>​</w:t>
            </w:r>
          </w:p>
        </w:tc>
        <w:tc>
          <w:tcPr>
            <w:tcW w:w="277" w:type="dxa"/>
            <w:tcBorders/>
            <w:shd w:fill="CCEEFF" w:val="clear"/>
            <w:vAlign w:val="center"/>
          </w:tcPr>
          <w:p>
            <w:pPr>
              <w:pStyle w:val="TableContents"/>
              <w:bidi w:val="0"/>
              <w:spacing w:before="0" w:after="1"/>
              <w:ind w:left="0" w:right="0" w:hanging="0"/>
              <w:jc w:val="center"/>
              <w:rPr/>
            </w:pPr>
            <w:r>
              <w:rPr/>
              <w:t>​</w:t>
            </w:r>
          </w:p>
        </w:tc>
        <w:tc>
          <w:tcPr>
            <w:tcW w:w="1028"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886" w:type="dxa"/>
            <w:tcBorders/>
            <w:shd w:fill="CCEEFF" w:val="clear"/>
            <w:vAlign w:val="center"/>
          </w:tcPr>
          <w:p>
            <w:pPr>
              <w:pStyle w:val="TableContents"/>
              <w:bidi w:val="0"/>
              <w:spacing w:before="0" w:after="1"/>
              <w:ind w:left="0" w:right="0" w:hanging="0"/>
              <w:jc w:val="center"/>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146" w:type="dxa"/>
            <w:tcBorders/>
            <w:vAlign w:val="center"/>
          </w:tcPr>
          <w:p>
            <w:pPr>
              <w:pStyle w:val="TableContents"/>
              <w:bidi w:val="0"/>
              <w:spacing w:before="0" w:after="1"/>
              <w:ind w:left="0" w:right="0" w:hanging="0"/>
              <w:jc w:val="left"/>
              <w:rPr/>
            </w:pPr>
            <w:r>
              <w:rPr/>
              <w:t> </w:t>
            </w:r>
          </w:p>
        </w:tc>
        <w:tc>
          <w:tcPr>
            <w:tcW w:w="277" w:type="dxa"/>
            <w:tcBorders/>
            <w:vAlign w:val="center"/>
          </w:tcPr>
          <w:p>
            <w:pPr>
              <w:pStyle w:val="TableContents"/>
              <w:bidi w:val="0"/>
              <w:spacing w:before="0" w:after="1"/>
              <w:ind w:left="0" w:right="0" w:hanging="0"/>
              <w:jc w:val="left"/>
              <w:rPr/>
            </w:pPr>
            <w:r>
              <w:rPr/>
              <w:t>​</w:t>
            </w:r>
          </w:p>
        </w:tc>
        <w:tc>
          <w:tcPr>
            <w:tcW w:w="1028"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15,320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14,131</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taxes payable to affiliate</w:t>
            </w:r>
          </w:p>
        </w:tc>
        <w:tc>
          <w:tcPr>
            <w:tcW w:w="14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1,691</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17,046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15,822</w:t>
            </w:r>
          </w:p>
        </w:tc>
      </w:tr>
      <w:tr>
        <w:trPr/>
        <w:tc>
          <w:tcPr>
            <w:tcW w:w="432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102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Noncurrent liabilities: </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1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61</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liability</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908</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14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68</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noncurrent liabilities</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1,037</w:t>
            </w:r>
          </w:p>
        </w:tc>
      </w:tr>
      <w:tr>
        <w:trPr/>
        <w:tc>
          <w:tcPr>
            <w:tcW w:w="432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102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  ​</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Preferred stock</w:t>
            </w:r>
          </w:p>
        </w:tc>
        <w:tc>
          <w:tcPr>
            <w:tcW w:w="1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Class A common stock</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123</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1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53,513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53,832</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84,994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90,710</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14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138,630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144,665</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156,194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161,524</w:t>
            </w:r>
          </w:p>
        </w:tc>
      </w:tr>
    </w:tbl>
    <w:p>
      <w:pPr>
        <w:pStyle w:val="TextBody"/>
        <w:bidi w:val="0"/>
        <w:spacing w:before="160" w:after="0"/>
        <w:ind w:left="0" w:right="0" w:hanging="0"/>
        <w:jc w:val="both"/>
        <w:rPr>
          <w:rFonts w:ascii="Times New Roman;Times;serif" w:hAnsi="Times New Roman;Times;serif"/>
          <w:sz w:val="20"/>
        </w:rPr>
      </w:pPr>
      <w:r>
        <w:rPr>
          <w:rFonts w:ascii="Times New Roman;Times;serif" w:hAnsi="Times New Roman;Times;serif"/>
          <w:sz w:val="20"/>
        </w:rPr>
        <w:t>Commitments and contingencies (Note 8)</w:t>
      </w:r>
    </w:p>
    <w:p>
      <w:pPr>
        <w:pStyle w:val="TextBody"/>
        <w:bidi w:val="0"/>
        <w:spacing w:before="0" w:after="240"/>
        <w:ind w:left="0" w:right="0" w:hanging="0"/>
        <w:jc w:val="both"/>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- 3 -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145" w:name="_126df94e_c8ee_4821_acbf_aca07b71fda0"/>
      <w:bookmarkEnd w:id="145"/>
      <w:r>
        <w:rPr>
          <w:rFonts w:ascii="Times New Roman;Times;serif" w:hAnsi="Times New Roman;Times;serif"/>
          <w:b/>
          <w:sz w:val="20"/>
        </w:rPr>
        <w:t>COMPX INTERNATIONAL INC.</w:t>
      </w:r>
    </w:p>
    <w:p>
      <w:pPr>
        <w:pStyle w:val="TextBody"/>
        <w:bidi w:val="0"/>
        <w:spacing w:before="0" w:after="120"/>
        <w:ind w:left="0" w:right="0" w:hanging="0"/>
        <w:jc w:val="center"/>
        <w:rPr>
          <w:rFonts w:ascii="Times New Roman;Times;serif" w:hAnsi="Times New Roman;Times;serif"/>
          <w:b/>
          <w:sz w:val="20"/>
        </w:rPr>
      </w:pPr>
      <w:bookmarkStart w:id="146" w:name="CONDENSEDCONSOLIDATEDSTATEMENTSOFINCOME_"/>
      <w:bookmarkEnd w:id="146"/>
      <w:r>
        <w:rPr>
          <w:rFonts w:ascii="Times New Roman;Times;serif" w:hAnsi="Times New Roman;Times;serif"/>
          <w:b/>
          <w:sz w:val="20"/>
        </w:rPr>
        <w:t>CONDENSED CONSOLIDATED STATEMENTS OF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47" w:name="Tc_FXl2YrQCuE-OnIDu_NNb-Q_16_0"/>
      <w:bookmarkStart w:id="148" w:name="Tc_fdfCsBPCZ0KI_vytIeyaeQ_14_11"/>
      <w:bookmarkStart w:id="149" w:name="Tc_gl_QVfU55E-9LJQX5Or3DQ_14_8"/>
      <w:bookmarkStart w:id="150" w:name="Tc_jPyT-c0b3UWOAT0ccjKpEQ_14_5"/>
      <w:bookmarkStart w:id="151" w:name="Tc_xs_mSPQJAEaNztDSIv1hlQ_14_2"/>
      <w:bookmarkStart w:id="152" w:name="Tc_UAsyOckJLUuLawE1yrKYmw_14_0"/>
      <w:bookmarkStart w:id="153" w:name="Tc_M2U2gTLnGEuBPOv3ldBeRw_12_11"/>
      <w:bookmarkStart w:id="154" w:name="Tc_66dCdjdE6EKHkhA4j9DW4g_12_8"/>
      <w:bookmarkStart w:id="155" w:name="Tc_FWwgVkG3h0KOl1K2zvfMxg_12_5"/>
      <w:bookmarkStart w:id="156" w:name="Tc_PZT5i2sn10KOrSIEpTN3hg_12_2"/>
      <w:bookmarkStart w:id="157" w:name="Tc_Ukmzpejy50mQ4R6W26ohBQ_12_0"/>
      <w:bookmarkStart w:id="158" w:name="Tc_2v5pGvREJUu-UGZepx45ew_11_0"/>
      <w:bookmarkStart w:id="159" w:name="Tc_kRuRCf7rCUmFDgaW_5BPng_10_0"/>
      <w:bookmarkStart w:id="160" w:name="Tc_eG70h0LPmU2fzaG29M35JQ_9_0"/>
      <w:bookmarkStart w:id="161" w:name="Tc_BCvC2FXwxUaKNpm5RDu2bQ_8_0"/>
      <w:bookmarkStart w:id="162" w:name="Tc_6UDw_1yje0irXkv4exgkVA_7_0"/>
      <w:bookmarkStart w:id="163" w:name="Tc_MWM9R5QzAUKduRzwhyTExg_6_0"/>
      <w:bookmarkStart w:id="164" w:name="Tc_tSQp0L3zm0O3Az4uvblLVw_5_0"/>
      <w:bookmarkStart w:id="165" w:name="Tc_y25Gw-0Fg0O0EZ9asAz5fQ_4_11"/>
      <w:bookmarkStart w:id="166" w:name="Tc_pdXRpy9bXUmz8iIiYO1ryA_4_8"/>
      <w:bookmarkStart w:id="167" w:name="Tc_TDEpG-mPHUqD69Q1IWbaAA_4_5"/>
      <w:bookmarkStart w:id="168" w:name="Tc_8BNQIhGvPke1-kqZcFwz_A_4_2"/>
      <w:bookmarkStart w:id="169" w:name="Tc_UVdFvhs4r0mzPA00ep5BFw_4_0"/>
      <w:bookmarkStart w:id="170" w:name="Tc_WlfOT6ATK0esUNDugEBgcA_3_11"/>
      <w:bookmarkStart w:id="171" w:name="Tc_mfh9DIC4jEuYO1wunC3Lbg_3_8"/>
      <w:bookmarkStart w:id="172" w:name="Tc_M4NSUkFoQUek57Ihv_7MNQ_3_5"/>
      <w:bookmarkStart w:id="173" w:name="Tc_rJK1KnfEVUqgQ4V62zYj9A_3_2"/>
      <w:bookmarkStart w:id="174" w:name="Tc_LYGKC-igJE6ZyxRker4Bcw_2_8"/>
      <w:bookmarkStart w:id="175" w:name="Tc_Jjah6Hu6rEaxubhrrHgvdQ_2_2"/>
      <w:bookmarkStart w:id="176" w:name="Tc_y9fFVa4XFkaPVAzAge17lg_1_8"/>
      <w:bookmarkStart w:id="177" w:name="Tc_3bFADdQQrUGzhkr8YRomwg_1_2"/>
      <w:bookmarkStart w:id="178" w:name="_5a3ea3be_6404_4b7b_be81_19c4c6dd76a7"/>
      <w:bookmarkStart w:id="179" w:name="_40f68a94_f727_44f9_8301_95325437fe8e"/>
      <w:bookmarkStart w:id="180" w:name="Tc_FXl2YrQCuE-OnIDu_NNb-Q_16_0"/>
      <w:bookmarkStart w:id="181" w:name="Tc_fdfCsBPCZ0KI_vytIeyaeQ_14_11"/>
      <w:bookmarkStart w:id="182" w:name="Tc_gl_QVfU55E-9LJQX5Or3DQ_14_8"/>
      <w:bookmarkStart w:id="183" w:name="Tc_jPyT-c0b3UWOAT0ccjKpEQ_14_5"/>
      <w:bookmarkStart w:id="184" w:name="Tc_xs_mSPQJAEaNztDSIv1hlQ_14_2"/>
      <w:bookmarkStart w:id="185" w:name="Tc_UAsyOckJLUuLawE1yrKYmw_14_0"/>
      <w:bookmarkStart w:id="186" w:name="Tc_M2U2gTLnGEuBPOv3ldBeRw_12_11"/>
      <w:bookmarkStart w:id="187" w:name="Tc_66dCdjdE6EKHkhA4j9DW4g_12_8"/>
      <w:bookmarkStart w:id="188" w:name="Tc_FWwgVkG3h0KOl1K2zvfMxg_12_5"/>
      <w:bookmarkStart w:id="189" w:name="Tc_PZT5i2sn10KOrSIEpTN3hg_12_2"/>
      <w:bookmarkStart w:id="190" w:name="Tc_Ukmzpejy50mQ4R6W26ohBQ_12_0"/>
      <w:bookmarkStart w:id="191" w:name="Tc_2v5pGvREJUu-UGZepx45ew_11_0"/>
      <w:bookmarkStart w:id="192" w:name="Tc_kRuRCf7rCUmFDgaW_5BPng_10_0"/>
      <w:bookmarkStart w:id="193" w:name="Tc_eG70h0LPmU2fzaG29M35JQ_9_0"/>
      <w:bookmarkStart w:id="194" w:name="Tc_BCvC2FXwxUaKNpm5RDu2bQ_8_0"/>
      <w:bookmarkStart w:id="195" w:name="Tc_6UDw_1yje0irXkv4exgkVA_7_0"/>
      <w:bookmarkStart w:id="196" w:name="Tc_MWM9R5QzAUKduRzwhyTExg_6_0"/>
      <w:bookmarkStart w:id="197" w:name="Tc_tSQp0L3zm0O3Az4uvblLVw_5_0"/>
      <w:bookmarkStart w:id="198" w:name="Tc_y25Gw-0Fg0O0EZ9asAz5fQ_4_11"/>
      <w:bookmarkStart w:id="199" w:name="Tc_pdXRpy9bXUmz8iIiYO1ryA_4_8"/>
      <w:bookmarkStart w:id="200" w:name="Tc_TDEpG-mPHUqD69Q1IWbaAA_4_5"/>
      <w:bookmarkStart w:id="201" w:name="Tc_8BNQIhGvPke1-kqZcFwz_A_4_2"/>
      <w:bookmarkStart w:id="202" w:name="Tc_UVdFvhs4r0mzPA00ep5BFw_4_0"/>
      <w:bookmarkStart w:id="203" w:name="Tc_WlfOT6ATK0esUNDugEBgcA_3_11"/>
      <w:bookmarkStart w:id="204" w:name="Tc_mfh9DIC4jEuYO1wunC3Lbg_3_8"/>
      <w:bookmarkStart w:id="205" w:name="Tc_M4NSUkFoQUek57Ihv_7MNQ_3_5"/>
      <w:bookmarkStart w:id="206" w:name="Tc_rJK1KnfEVUqgQ4V62zYj9A_3_2"/>
      <w:bookmarkStart w:id="207" w:name="Tc_LYGKC-igJE6ZyxRker4Bcw_2_8"/>
      <w:bookmarkStart w:id="208" w:name="Tc_Jjah6Hu6rEaxubhrrHgvdQ_2_2"/>
      <w:bookmarkStart w:id="209" w:name="Tc_y9fFVa4XFkaPVAzAge17lg_1_8"/>
      <w:bookmarkStart w:id="210" w:name="Tc_3bFADdQQrUGzhkr8YRomwg_1_2"/>
      <w:bookmarkStart w:id="211" w:name="_5a3ea3be_6404_4b7b_be81_19c4c6dd76a7"/>
      <w:bookmarkStart w:id="212" w:name="_40f68a94_f727_44f9_8301_95325437fe8e"/>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tbl>
      <w:tblPr>
        <w:tblW w:w="9613" w:type="dxa"/>
        <w:jc w:val="left"/>
        <w:tblInd w:w="0" w:type="dxa"/>
        <w:tblLayout w:type="fixed"/>
        <w:tblCellMar>
          <w:top w:w="0" w:type="dxa"/>
          <w:left w:w="0" w:type="dxa"/>
          <w:bottom w:w="0" w:type="dxa"/>
          <w:right w:w="0" w:type="dxa"/>
        </w:tblCellMar>
      </w:tblPr>
      <w:tblGrid>
        <w:gridCol w:w="4576"/>
        <w:gridCol w:w="346"/>
        <w:gridCol w:w="211"/>
        <w:gridCol w:w="676"/>
        <w:gridCol w:w="346"/>
        <w:gridCol w:w="211"/>
        <w:gridCol w:w="676"/>
        <w:gridCol w:w="346"/>
        <w:gridCol w:w="211"/>
        <w:gridCol w:w="676"/>
        <w:gridCol w:w="346"/>
        <w:gridCol w:w="211"/>
        <w:gridCol w:w="781"/>
      </w:tblGrid>
      <w:tr>
        <w:trPr/>
        <w:tc>
          <w:tcPr>
            <w:tcW w:w="4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905760" cy="175260"/>
                      <wp:effectExtent l="0" t="0" r="0" b="0"/>
                      <wp:wrapNone/>
                      <wp:docPr id="16" name="Frame16"/>
                      <a:graphic xmlns:a="http://schemas.openxmlformats.org/drawingml/2006/main">
                        <a:graphicData uri="http://schemas.microsoft.com/office/word/2010/wordprocessingShape">
                          <wps:wsp>
                            <wps:cNvSpPr txBox="1"/>
                            <wps:spPr>
                              <a:xfrm>
                                <a:off x="0" y="0"/>
                                <a:ext cx="2905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7"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8"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429260" cy="175260"/>
                      <wp:effectExtent l="0" t="0" r="0" b="0"/>
                      <wp:wrapNone/>
                      <wp:docPr id="19" name="Frame1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20"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21" name="Frame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29260" cy="175260"/>
                      <wp:effectExtent l="0" t="0" r="0" b="0"/>
                      <wp:wrapNone/>
                      <wp:docPr id="22" name="Frame2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3985" cy="175260"/>
                      <wp:effectExtent l="0" t="0" r="0" b="0"/>
                      <wp:wrapNone/>
                      <wp:docPr id="24" name="Frame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429260" cy="175260"/>
                      <wp:effectExtent l="0" t="0" r="0" b="0"/>
                      <wp:wrapNone/>
                      <wp:docPr id="25" name="Frame2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3985" cy="175260"/>
                      <wp:effectExtent l="0" t="0" r="0" b="0"/>
                      <wp:wrapNone/>
                      <wp:docPr id="27" name="Frame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95935" cy="175260"/>
                      <wp:effectExtent l="0" t="0" r="0" b="0"/>
                      <wp:wrapNone/>
                      <wp:docPr id="28" name="Frame2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2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46" w:type="dxa"/>
            <w:tcBorders/>
            <w:vAlign w:val="center"/>
          </w:tcPr>
          <w:p>
            <w:pPr>
              <w:pStyle w:val="TableContents"/>
              <w:bidi w:val="0"/>
              <w:spacing w:before="0" w:after="1"/>
              <w:ind w:left="0" w:right="0" w:hanging="0"/>
              <w:jc w:val="center"/>
              <w:rPr/>
            </w:pPr>
            <w:r>
              <w:rPr/>
              <w:t>​</w:t>
            </w:r>
          </w:p>
        </w:tc>
        <w:tc>
          <w:tcPr>
            <w:tcW w:w="222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r>
      <w:tr>
        <w:trPr/>
        <w:tc>
          <w:tcPr>
            <w:tcW w:w="4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1"/>
              <w:ind w:left="0" w:right="0" w:hanging="0"/>
              <w:jc w:val="center"/>
              <w:rPr/>
            </w:pPr>
            <w:r>
              <w:rPr/>
              <w:t>​</w:t>
            </w:r>
          </w:p>
        </w:tc>
        <w:tc>
          <w:tcPr>
            <w:tcW w:w="22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4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43,614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80,638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84,183</w:t>
            </w:r>
          </w:p>
        </w:tc>
      </w:tr>
      <w:tr>
        <w:trPr/>
        <w:tc>
          <w:tcPr>
            <w:tcW w:w="45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27,476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28,078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55,585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55,395</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12,890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15,536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25,053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28,788</w:t>
            </w:r>
          </w:p>
        </w:tc>
      </w:tr>
      <w:tr>
        <w:trPr/>
        <w:tc>
          <w:tcPr>
            <w:tcW w:w="45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6,570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6,615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12,864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12,817</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8,921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12,189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15,971</w:t>
            </w:r>
          </w:p>
        </w:tc>
      </w:tr>
      <w:tr>
        <w:trPr/>
        <w:tc>
          <w:tcPr>
            <w:tcW w:w="45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662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1,339</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9,583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13,908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17,310</w:t>
            </w:r>
          </w:p>
        </w:tc>
      </w:tr>
      <w:tr>
        <w:trPr/>
        <w:tc>
          <w:tcPr>
            <w:tcW w:w="45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2,321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4,196</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5,453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7,262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10,584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13,114</w:t>
            </w:r>
          </w:p>
        </w:tc>
      </w:tr>
      <w:tr>
        <w:trPr/>
        <w:tc>
          <w:tcPr>
            <w:tcW w:w="4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net income per common share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1.06</w:t>
            </w:r>
          </w:p>
        </w:tc>
      </w:tr>
      <w:tr>
        <w:trPr/>
        <w:tc>
          <w:tcPr>
            <w:tcW w:w="4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weighted average shares outstanding</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12,329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12,326</w:t>
            </w:r>
          </w:p>
        </w:tc>
      </w:tr>
    </w:tbl>
    <w:p>
      <w:pPr>
        <w:pStyle w:val="TextBody"/>
        <w:bidi w:val="0"/>
        <w:spacing w:before="0" w:after="240"/>
        <w:ind w:left="0" w:right="0" w:hanging="0"/>
        <w:jc w:val="center"/>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- 4 -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213" w:name="_70bc5cb5_aabf_4d84_a4fd_8092044a681a"/>
      <w:bookmarkEnd w:id="213"/>
      <w:r>
        <w:rPr>
          <w:rFonts w:ascii="Times New Roman;Times;serif" w:hAnsi="Times New Roman;Times;serif"/>
          <w:b/>
          <w:sz w:val="20"/>
        </w:rPr>
        <w:t>COMPX INTERNATIONAL INC.</w:t>
      </w:r>
    </w:p>
    <w:p>
      <w:pPr>
        <w:pStyle w:val="TextBody"/>
        <w:bidi w:val="0"/>
        <w:spacing w:before="0" w:after="120"/>
        <w:ind w:left="0" w:right="0" w:hanging="0"/>
        <w:jc w:val="center"/>
        <w:rPr>
          <w:rFonts w:ascii="Times New Roman;Times;serif" w:hAnsi="Times New Roman;Times;serif"/>
          <w:b/>
          <w:sz w:val="20"/>
        </w:rPr>
      </w:pPr>
      <w:bookmarkStart w:id="214" w:name="CONDENSEDCONSOLIDATEDSTATEMENTSOFSTOCKHO"/>
      <w:bookmarkStart w:id="215" w:name="CONDENSEDCONSOLIDATEDSTATEMENTOFEQUITY"/>
      <w:bookmarkEnd w:id="214"/>
      <w:bookmarkEnd w:id="215"/>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16" w:name="Tc_VhVedTTgTUyJpTlRHQwnLg_15_11"/>
      <w:bookmarkStart w:id="217" w:name="Tc_e07biPBeO0aIzmTMdvADJA_15_8"/>
      <w:bookmarkStart w:id="218" w:name="Tc_5tR9-Z1O5Emjdj1HzoKAAw_15_5"/>
      <w:bookmarkStart w:id="219" w:name="Tc_HK-sU3XXHkigdJXJeTt2NQ_15_2"/>
      <w:bookmarkStart w:id="220" w:name="Tc_ubQpEauMxE-Dy-NGlkAw1A_15_0"/>
      <w:bookmarkStart w:id="221" w:name="Tc_BcALGSIrZEG9PSf4HRwJoA_14_6"/>
      <w:bookmarkStart w:id="222" w:name="Tc_JBQ9S_TpZkKm7t7MGua3yg_14_3"/>
      <w:bookmarkStart w:id="223" w:name="Tc_963enZyzj0SADfuOKWbkOQ_14_0"/>
      <w:bookmarkStart w:id="224" w:name="Tc_e52okXtqQ0-jCYh289RM7g_13_9"/>
      <w:bookmarkStart w:id="225" w:name="Tc_mnh_F4U7Bk-JpMKoact0-w_13_3"/>
      <w:bookmarkStart w:id="226" w:name="Tc_TrvwEfevkE6uyhttJq7WIQ_13_0"/>
      <w:bookmarkStart w:id="227" w:name="Tc_EUwrL5g9j0eNriR_lqedoQ_12_6"/>
      <w:bookmarkStart w:id="228" w:name="Tc_CABowEXq0kSHrBxbx7XuEQ_12_3"/>
      <w:bookmarkStart w:id="229" w:name="Tc__zLt6P0l0Eu1UxeB6k0IUQ_12_0"/>
      <w:bookmarkStart w:id="230" w:name="Tc_5aq26bl2B0Sr4XIyQP3pxg_11_11"/>
      <w:bookmarkStart w:id="231" w:name="Tc_bbnufwG6-k-jT6R5Pn_d1A_11_8"/>
      <w:bookmarkStart w:id="232" w:name="Tc_l0t9PGZEskOt8Xyf_OCB1Q_11_5"/>
      <w:bookmarkStart w:id="233" w:name="Tc_lCQqe5QSmEeN5gO2O1Ko1Q_11_2"/>
      <w:bookmarkStart w:id="234" w:name="Tc_-5nqsB-x0Ui2eu3y_5LNzw_11_0"/>
      <w:bookmarkStart w:id="235" w:name="Tc_AmpdVtl4S0aWKDZm_-xVFg_9_11"/>
      <w:bookmarkStart w:id="236" w:name="Tc_rMFVTNlBXE6kTBmjwU4ztA_9_8"/>
      <w:bookmarkStart w:id="237" w:name="Tc_Pf_BVoLQ1k6tvkiPYvfQDw_9_5"/>
      <w:bookmarkStart w:id="238" w:name="Tc_MqJWU2hRyUqjYC9LMb9HZA_9_2"/>
      <w:bookmarkStart w:id="239" w:name="Tc_4uL1LcFglEy91LCgpLtdQQ_9_0"/>
      <w:bookmarkStart w:id="240" w:name="Tc_goDcuTDiXk-nE-ggUTtxDA_8_6"/>
      <w:bookmarkStart w:id="241" w:name="Tc_duJdgVo4cUW2Muv7qYdnZA_8_3"/>
      <w:bookmarkStart w:id="242" w:name="Tc_ss_4wNVf30mpvG7EvMqNqA_8_0"/>
      <w:bookmarkStart w:id="243" w:name="Tc_BNKgYGIZhk6n-PeOzJvxgA_7_9"/>
      <w:bookmarkStart w:id="244" w:name="Tc_zBaGYaRl0EeoyRTRA4oycQ_7_3"/>
      <w:bookmarkStart w:id="245" w:name="Tc_q6C43Nh4sEm2mXLE9C8Wqw_7_0"/>
      <w:bookmarkStart w:id="246" w:name="Tc_Q3DhN8pPV0qNDuEXAFJT7w_6_6"/>
      <w:bookmarkStart w:id="247" w:name="Tc_3BWpaPYs80G9aeKqiR8MwQ_6_3"/>
      <w:bookmarkStart w:id="248" w:name="Tc_Mgh6vuoFrUazsq0ZZhrxAA_6_0"/>
      <w:bookmarkStart w:id="249" w:name="Tc_UPgyxYahZkyY75QMn5yQuQ_5_11"/>
      <w:bookmarkStart w:id="250" w:name="Tc_BcK06dxJC0KDb3TXJTszZw_5_8"/>
      <w:bookmarkStart w:id="251" w:name="Tc_oZe1A8rpSkO4F7vCutQ6Vw_5_5"/>
      <w:bookmarkStart w:id="252" w:name="Tc_FRoTt9DBvE6n0tlKgJ-Bpg_5_2"/>
      <w:bookmarkStart w:id="253" w:name="Tc_mqKsS2H7rUGW8933Msis8A_5_0"/>
      <w:bookmarkStart w:id="254" w:name="Tc_JHXTCDftDkSddFMK7pv5pQ_4_11"/>
      <w:bookmarkStart w:id="255" w:name="Tc_7Srbx3PBAU-iGBKCQCc38w_4_8"/>
      <w:bookmarkStart w:id="256" w:name="Tc_qN0Gpl-Tc0inXk_at7tJPA_4_5"/>
      <w:bookmarkStart w:id="257" w:name="Tc_WfK7bn16REyOuUdQhCFw1g_4_2"/>
      <w:bookmarkStart w:id="258" w:name="Tc_ftPXEclpoEqf1683QuV31g_3_11"/>
      <w:bookmarkStart w:id="259" w:name="Tc_JSE4-wyy-E6JL27MBqfGIg_3_8"/>
      <w:bookmarkStart w:id="260" w:name="Tc_h70DYZCYck2-u6AXr8kAaw_3_5"/>
      <w:bookmarkStart w:id="261" w:name="Tc_27l04enD7E6p6z2lKrP_KA_3_2"/>
      <w:bookmarkStart w:id="262" w:name="Tc_89fo_CE500Olhc3eyGRHOA_2_11"/>
      <w:bookmarkStart w:id="263" w:name="Tc_iu7u837sVEWfq7FePBwJ7w_2_5"/>
      <w:bookmarkStart w:id="264" w:name="Tc_GGqIy2EvwUOQhwGBpnNthA_2_2"/>
      <w:bookmarkStart w:id="265" w:name="Tc_cYQuxBgu-EmSzruH6kjuKA_1_2"/>
      <w:bookmarkStart w:id="266" w:name="_32cc6987_7d18_47b2_bc2a_e24eabd5e118"/>
      <w:bookmarkStart w:id="267" w:name="Tc_VhVedTTgTUyJpTlRHQwnLg_15_11"/>
      <w:bookmarkStart w:id="268" w:name="Tc_e07biPBeO0aIzmTMdvADJA_15_8"/>
      <w:bookmarkStart w:id="269" w:name="Tc_5tR9-Z1O5Emjdj1HzoKAAw_15_5"/>
      <w:bookmarkStart w:id="270" w:name="Tc_HK-sU3XXHkigdJXJeTt2NQ_15_2"/>
      <w:bookmarkStart w:id="271" w:name="Tc_ubQpEauMxE-Dy-NGlkAw1A_15_0"/>
      <w:bookmarkStart w:id="272" w:name="Tc_BcALGSIrZEG9PSf4HRwJoA_14_6"/>
      <w:bookmarkStart w:id="273" w:name="Tc_JBQ9S_TpZkKm7t7MGua3yg_14_3"/>
      <w:bookmarkStart w:id="274" w:name="Tc_963enZyzj0SADfuOKWbkOQ_14_0"/>
      <w:bookmarkStart w:id="275" w:name="Tc_e52okXtqQ0-jCYh289RM7g_13_9"/>
      <w:bookmarkStart w:id="276" w:name="Tc_mnh_F4U7Bk-JpMKoact0-w_13_3"/>
      <w:bookmarkStart w:id="277" w:name="Tc_TrvwEfevkE6uyhttJq7WIQ_13_0"/>
      <w:bookmarkStart w:id="278" w:name="Tc_EUwrL5g9j0eNriR_lqedoQ_12_6"/>
      <w:bookmarkStart w:id="279" w:name="Tc_CABowEXq0kSHrBxbx7XuEQ_12_3"/>
      <w:bookmarkStart w:id="280" w:name="Tc__zLt6P0l0Eu1UxeB6k0IUQ_12_0"/>
      <w:bookmarkStart w:id="281" w:name="Tc_5aq26bl2B0Sr4XIyQP3pxg_11_11"/>
      <w:bookmarkStart w:id="282" w:name="Tc_bbnufwG6-k-jT6R5Pn_d1A_11_8"/>
      <w:bookmarkStart w:id="283" w:name="Tc_l0t9PGZEskOt8Xyf_OCB1Q_11_5"/>
      <w:bookmarkStart w:id="284" w:name="Tc_lCQqe5QSmEeN5gO2O1Ko1Q_11_2"/>
      <w:bookmarkStart w:id="285" w:name="Tc_-5nqsB-x0Ui2eu3y_5LNzw_11_0"/>
      <w:bookmarkStart w:id="286" w:name="Tc_AmpdVtl4S0aWKDZm_-xVFg_9_11"/>
      <w:bookmarkStart w:id="287" w:name="Tc_rMFVTNlBXE6kTBmjwU4ztA_9_8"/>
      <w:bookmarkStart w:id="288" w:name="Tc_Pf_BVoLQ1k6tvkiPYvfQDw_9_5"/>
      <w:bookmarkStart w:id="289" w:name="Tc_MqJWU2hRyUqjYC9LMb9HZA_9_2"/>
      <w:bookmarkStart w:id="290" w:name="Tc_4uL1LcFglEy91LCgpLtdQQ_9_0"/>
      <w:bookmarkStart w:id="291" w:name="Tc_goDcuTDiXk-nE-ggUTtxDA_8_6"/>
      <w:bookmarkStart w:id="292" w:name="Tc_duJdgVo4cUW2Muv7qYdnZA_8_3"/>
      <w:bookmarkStart w:id="293" w:name="Tc_ss_4wNVf30mpvG7EvMqNqA_8_0"/>
      <w:bookmarkStart w:id="294" w:name="Tc_BNKgYGIZhk6n-PeOzJvxgA_7_9"/>
      <w:bookmarkStart w:id="295" w:name="Tc_zBaGYaRl0EeoyRTRA4oycQ_7_3"/>
      <w:bookmarkStart w:id="296" w:name="Tc_q6C43Nh4sEm2mXLE9C8Wqw_7_0"/>
      <w:bookmarkStart w:id="297" w:name="Tc_Q3DhN8pPV0qNDuEXAFJT7w_6_6"/>
      <w:bookmarkStart w:id="298" w:name="Tc_3BWpaPYs80G9aeKqiR8MwQ_6_3"/>
      <w:bookmarkStart w:id="299" w:name="Tc_Mgh6vuoFrUazsq0ZZhrxAA_6_0"/>
      <w:bookmarkStart w:id="300" w:name="Tc_UPgyxYahZkyY75QMn5yQuQ_5_11"/>
      <w:bookmarkStart w:id="301" w:name="Tc_BcK06dxJC0KDb3TXJTszZw_5_8"/>
      <w:bookmarkStart w:id="302" w:name="Tc_oZe1A8rpSkO4F7vCutQ6Vw_5_5"/>
      <w:bookmarkStart w:id="303" w:name="Tc_FRoTt9DBvE6n0tlKgJ-Bpg_5_2"/>
      <w:bookmarkStart w:id="304" w:name="Tc_mqKsS2H7rUGW8933Msis8A_5_0"/>
      <w:bookmarkStart w:id="305" w:name="Tc_JHXTCDftDkSddFMK7pv5pQ_4_11"/>
      <w:bookmarkStart w:id="306" w:name="Tc_7Srbx3PBAU-iGBKCQCc38w_4_8"/>
      <w:bookmarkStart w:id="307" w:name="Tc_qN0Gpl-Tc0inXk_at7tJPA_4_5"/>
      <w:bookmarkStart w:id="308" w:name="Tc_WfK7bn16REyOuUdQhCFw1g_4_2"/>
      <w:bookmarkStart w:id="309" w:name="Tc_ftPXEclpoEqf1683QuV31g_3_11"/>
      <w:bookmarkStart w:id="310" w:name="Tc_JSE4-wyy-E6JL27MBqfGIg_3_8"/>
      <w:bookmarkStart w:id="311" w:name="Tc_h70DYZCYck2-u6AXr8kAaw_3_5"/>
      <w:bookmarkStart w:id="312" w:name="Tc_27l04enD7E6p6z2lKrP_KA_3_2"/>
      <w:bookmarkStart w:id="313" w:name="Tc_89fo_CE500Olhc3eyGRHOA_2_11"/>
      <w:bookmarkStart w:id="314" w:name="Tc_iu7u837sVEWfq7FePBwJ7w_2_5"/>
      <w:bookmarkStart w:id="315" w:name="Tc_GGqIy2EvwUOQhwGBpnNthA_2_2"/>
      <w:bookmarkStart w:id="316" w:name="Tc_cYQuxBgu-EmSzruH6kjuKA_1_2"/>
      <w:bookmarkStart w:id="317" w:name="_32cc6987_7d18_47b2_bc2a_e24eabd5e118"/>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tbl>
      <w:tblPr>
        <w:tblW w:w="8079" w:type="dxa"/>
        <w:jc w:val="left"/>
        <w:tblInd w:w="0" w:type="dxa"/>
        <w:tblLayout w:type="fixed"/>
        <w:tblCellMar>
          <w:top w:w="0" w:type="dxa"/>
          <w:left w:w="0" w:type="dxa"/>
          <w:bottom w:w="0" w:type="dxa"/>
          <w:right w:w="0" w:type="dxa"/>
        </w:tblCellMar>
      </w:tblPr>
      <w:tblGrid>
        <w:gridCol w:w="2671"/>
        <w:gridCol w:w="346"/>
        <w:gridCol w:w="280"/>
        <w:gridCol w:w="561"/>
        <w:gridCol w:w="346"/>
        <w:gridCol w:w="239"/>
        <w:gridCol w:w="767"/>
        <w:gridCol w:w="346"/>
        <w:gridCol w:w="211"/>
        <w:gridCol w:w="691"/>
        <w:gridCol w:w="346"/>
        <w:gridCol w:w="244"/>
        <w:gridCol w:w="1031"/>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696085" cy="175260"/>
                      <wp:effectExtent l="0" t="0" r="0" b="0"/>
                      <wp:wrapNone/>
                      <wp:docPr id="29" name="Frame29"/>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30"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77800" cy="175260"/>
                      <wp:effectExtent l="0" t="0" r="0" b="0"/>
                      <wp:wrapNone/>
                      <wp:docPr id="31" name="Frame31"/>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356235" cy="175260"/>
                      <wp:effectExtent l="0" t="0" r="0" b="0"/>
                      <wp:wrapNone/>
                      <wp:docPr id="32" name="Frame32"/>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3"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51765" cy="175260"/>
                      <wp:effectExtent l="0" t="0" r="0" b="0"/>
                      <wp:wrapNone/>
                      <wp:docPr id="34" name="Frame34"/>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87045" cy="175260"/>
                      <wp:effectExtent l="0" t="0" r="0" b="0"/>
                      <wp:wrapNone/>
                      <wp:docPr id="35" name="Frame35"/>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6"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3985" cy="175260"/>
                      <wp:effectExtent l="0" t="0" r="0" b="0"/>
                      <wp:wrapNone/>
                      <wp:docPr id="37" name="Frame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38785" cy="175260"/>
                      <wp:effectExtent l="0" t="0" r="0" b="0"/>
                      <wp:wrapNone/>
                      <wp:docPr id="38" name="Frame3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9"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54940" cy="175260"/>
                      <wp:effectExtent l="0" t="0" r="0" b="0"/>
                      <wp:wrapNone/>
                      <wp:docPr id="40" name="Frame40"/>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54685" cy="175260"/>
                      <wp:effectExtent l="0" t="0" r="0" b="0"/>
                      <wp:wrapNone/>
                      <wp:docPr id="41" name="Frame41"/>
                      <a:graphic xmlns:a="http://schemas.openxmlformats.org/drawingml/2006/main">
                        <a:graphicData uri="http://schemas.microsoft.com/office/word/2010/wordprocessingShape">
                          <wps:wsp>
                            <wps:cNvSpPr txBox="1"/>
                            <wps:spPr>
                              <a:xfrm>
                                <a:off x="0" y="0"/>
                                <a:ext cx="654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6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 xml:space="preserve">Three months ended June 30, 2025 and 2026 </w:t>
            </w:r>
          </w:p>
        </w:tc>
      </w:tr>
      <w:tr>
        <w:trPr/>
        <w:tc>
          <w:tcPr>
            <w:tcW w:w="26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Class A</w:t>
            </w:r>
          </w:p>
        </w:tc>
        <w:tc>
          <w:tcPr>
            <w:tcW w:w="34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Additional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75"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Total</w:t>
            </w:r>
          </w:p>
        </w:tc>
      </w:tr>
      <w:tr>
        <w:trPr/>
        <w:tc>
          <w:tcPr>
            <w:tcW w:w="26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common</w:t>
            </w:r>
          </w:p>
        </w:tc>
        <w:tc>
          <w:tcPr>
            <w:tcW w:w="34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paid-in</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Retained</w:t>
            </w:r>
          </w:p>
        </w:tc>
        <w:tc>
          <w:tcPr>
            <w:tcW w:w="346" w:type="dxa"/>
            <w:tcBorders/>
            <w:vAlign w:val="center"/>
          </w:tcPr>
          <w:p>
            <w:pPr>
              <w:pStyle w:val="TableContents"/>
              <w:bidi w:val="0"/>
              <w:spacing w:before="0" w:after="0"/>
              <w:ind w:left="0" w:right="0" w:hanging="0"/>
              <w:jc w:val="left"/>
              <w:rPr/>
            </w:pPr>
            <w:r>
              <w:rPr/>
              <w:t>​</w:t>
            </w:r>
          </w:p>
        </w:tc>
        <w:tc>
          <w:tcPr>
            <w:tcW w:w="1275"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stockholders'</w:t>
            </w:r>
          </w:p>
        </w:tc>
      </w:tr>
      <w:tr>
        <w:trPr/>
        <w:tc>
          <w:tcPr>
            <w:tcW w:w="26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stock</w:t>
            </w:r>
          </w:p>
        </w:tc>
        <w:tc>
          <w:tcPr>
            <w:tcW w:w="346" w:type="dxa"/>
            <w:tcBorders/>
            <w:vAlign w:val="center"/>
          </w:tcPr>
          <w:p>
            <w:pPr>
              <w:pStyle w:val="TableContents"/>
              <w:bidi w:val="0"/>
              <w:spacing w:before="0" w:after="0"/>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capital</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earnings</w:t>
            </w:r>
          </w:p>
        </w:tc>
        <w:tc>
          <w:tcPr>
            <w:tcW w:w="346" w:type="dxa"/>
            <w:tcBorders/>
            <w:vAlign w:val="center"/>
          </w:tcPr>
          <w:p>
            <w:pPr>
              <w:pStyle w:val="TableContents"/>
              <w:bidi w:val="0"/>
              <w:spacing w:before="0" w:after="0"/>
              <w:ind w:left="0" w:right="0" w:hanging="0"/>
              <w:jc w:val="left"/>
              <w:rPr/>
            </w:pPr>
            <w:r>
              <w:rPr/>
              <w:t>  ​ ​ ​</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equity</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94,062</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147,581</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5,453</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 </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5,453</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5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 </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dividends ($.30 per share)</w:t>
            </w:r>
          </w:p>
        </w:tc>
        <w:tc>
          <w:tcPr>
            <w:tcW w:w="346"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(3,698)</w:t>
            </w:r>
          </w:p>
        </w:tc>
        <w:tc>
          <w:tcPr>
            <w:tcW w:w="346" w:type="dxa"/>
            <w:tcBorders/>
            <w:vAlign w:val="center"/>
          </w:tcPr>
          <w:p>
            <w:pPr>
              <w:pStyle w:val="TableContents"/>
              <w:bidi w:val="0"/>
              <w:spacing w:before="0" w:after="0"/>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(3,698)</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2025</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95,817</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149,453</w:t>
            </w:r>
          </w:p>
        </w:tc>
      </w:tr>
      <w:tr>
        <w:trPr/>
        <w:tc>
          <w:tcPr>
            <w:tcW w:w="26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1031" w:type="dxa"/>
            <w:tcBorders/>
            <w:vAlign w:val="center"/>
          </w:tcPr>
          <w:p>
            <w:pPr>
              <w:pStyle w:val="TableContents"/>
              <w:bidi w:val="0"/>
              <w:spacing w:before="0" w:after="0"/>
              <w:ind w:left="0" w:right="0" w:hanging="0"/>
              <w:jc w:val="right"/>
              <w:rPr/>
            </w:pPr>
            <w:r>
              <w:rPr/>
              <w:t>​</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2026</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87,149</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140,785</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7,262</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 </w:t>
            </w:r>
          </w:p>
        </w:tc>
        <w:tc>
          <w:tcPr>
            <w:tcW w:w="10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7,262</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319</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dividends ($.30 per share)</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(3,701)</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 </w:t>
            </w:r>
          </w:p>
        </w:tc>
        <w:tc>
          <w:tcPr>
            <w:tcW w:w="10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(3,701)</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123</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53,832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90,710</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144,665</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18" w:name="Tc_JkfVNBlohUGc457ZDogq1w_16_11"/>
      <w:bookmarkStart w:id="319" w:name="Tc_HYrX8oVOeUa8iOkE6w18bQ_16_8"/>
      <w:bookmarkStart w:id="320" w:name="Tc_LdRn4PSytECMA5E3C4p6HQ_16_5"/>
      <w:bookmarkStart w:id="321" w:name="Tc_-15azCzbNUCaO52s8-YfZw_16_2"/>
      <w:bookmarkStart w:id="322" w:name="Tc_vjYfFhozZUyXewidE83K9Q_16_0"/>
      <w:bookmarkStart w:id="323" w:name="Tc_oKI3dDxVdEaiCeOKrbXNEA_15_6"/>
      <w:bookmarkStart w:id="324" w:name="Tc_wMu3s7v4ek-oHCdTzSWXhw_15_3"/>
      <w:bookmarkStart w:id="325" w:name="Tc_O0685yEvuUuSGXHM1QRFlg_15_0"/>
      <w:bookmarkStart w:id="326" w:name="Tc_Je-tgV1aw0uO1qpnNS8-dA_14_9"/>
      <w:bookmarkStart w:id="327" w:name="Tc_F-jPN_Kc706G5lKdVdKA_A_14_3"/>
      <w:bookmarkStart w:id="328" w:name="Tc_rtEz3IrmAUelHO8JZ7kZIg_14_0"/>
      <w:bookmarkStart w:id="329" w:name="Tc_LbLbEaMHBU6QsjiyUjUVIw_13_6"/>
      <w:bookmarkStart w:id="330" w:name="Tc_ikbaNviGXkyM9JS_QDOW5Q_13_3"/>
      <w:bookmarkStart w:id="331" w:name="Tc_27F7V03MT0CdA0vyexi65Q_13_0"/>
      <w:bookmarkStart w:id="332" w:name="Tc_MOSmiwj9tkekFMz7Z2LHjA_12_11"/>
      <w:bookmarkStart w:id="333" w:name="Tc_qTtNv6FIkEm_WNXPZka0LA_12_8"/>
      <w:bookmarkStart w:id="334" w:name="Tc_FmTEWlLyKUqa-L3sozrprw_12_5"/>
      <w:bookmarkStart w:id="335" w:name="Tc_VHOZEIFt6Ey1DcY_yTCgCQ_12_2"/>
      <w:bookmarkStart w:id="336" w:name="Tc_7kUel1UQtkGeJ40E3b7JIA_12_0"/>
      <w:bookmarkStart w:id="337" w:name="Tc_41ym_l0z6US86TEIjKoMxQ_10_11"/>
      <w:bookmarkStart w:id="338" w:name="Tc_CqNQxYbVEkOOyca2NhmwHQ_10_8"/>
      <w:bookmarkStart w:id="339" w:name="Tc_OfLMlBcesEWAG2dWXmtnWw_10_5"/>
      <w:bookmarkStart w:id="340" w:name="Tc_j5tZVN-1CkehVZgVhPGTIw_10_2"/>
      <w:bookmarkStart w:id="341" w:name="Tc_9DExrM43YUedLZbT1jPHVQ_10_0"/>
      <w:bookmarkStart w:id="342" w:name="Tc_iZ4_5I1FyEG7TGHq7SMUdw_9_6"/>
      <w:bookmarkStart w:id="343" w:name="Tc_lO-i8xGbeUeEZumxoi87zw_9_3"/>
      <w:bookmarkStart w:id="344" w:name="Tc_qBU9lB4kvEq7UNX8uEqQsw_9_0"/>
      <w:bookmarkStart w:id="345" w:name="Tc_Z069TpYM60iKbtAXRIoFYA_8_9"/>
      <w:bookmarkStart w:id="346" w:name="Tc_h5LgEhIsx0udny39-Et7cw_8_3"/>
      <w:bookmarkStart w:id="347" w:name="Tc_GZNiO09jnEC-xOJ0oXvQeA_8_0"/>
      <w:bookmarkStart w:id="348" w:name="Tc_P-u6IDZbhUattwdmJTdReQ_7_6"/>
      <w:bookmarkStart w:id="349" w:name="Tc_FHVYPjO00kaPFP1T56bDGg_7_3"/>
      <w:bookmarkStart w:id="350" w:name="Tc_AGv-4jkR-UyVUSxWLQFz3g_7_0"/>
      <w:bookmarkStart w:id="351" w:name="Tc_zJe0_DZylkGFpSaHseeFrw_6_11"/>
      <w:bookmarkStart w:id="352" w:name="Tc_wv8hJjAG1U-6ImgoEa7A7A_6_8"/>
      <w:bookmarkStart w:id="353" w:name="Tc_HO8mBjkI_0KHznrtxv_HjQ_6_5"/>
      <w:bookmarkStart w:id="354" w:name="Tc_mVPtOFEHyk-oI5nSBDLY3g_6_2"/>
      <w:bookmarkStart w:id="355" w:name="Tc_Tyy4rjqfxkKxzEtVyw-zXg_6_0"/>
      <w:bookmarkStart w:id="356" w:name="Tc_m4dcIJjLe0uP_Ud6xxAqWw_5_11"/>
      <w:bookmarkStart w:id="357" w:name="Tc_zuMKv9M9t0qm1p5MULWQeA_5_8"/>
      <w:bookmarkStart w:id="358" w:name="Tc_VTIuvPFIjEa2M3p9vMm2kQ_5_5"/>
      <w:bookmarkStart w:id="359" w:name="Tc_D5llRBo5QU260IAMj67X5w_5_2"/>
      <w:bookmarkStart w:id="360" w:name="Tc_m8NxceQ-MECoFTiNQC61qg_4_11"/>
      <w:bookmarkStart w:id="361" w:name="Tc_mLacCA9ESUmZZW1uP0saIg_4_8"/>
      <w:bookmarkStart w:id="362" w:name="Tc_qIzi6DaygkyU2K853xbGew_4_5"/>
      <w:bookmarkStart w:id="363" w:name="Tc_Xk6LD4O0-UWORK2wZaZW6A_4_2"/>
      <w:bookmarkStart w:id="364" w:name="Tc_199wR-YvUEGgCclVCdVlXQ_3_11"/>
      <w:bookmarkStart w:id="365" w:name="Tc_7RNlw4E49UylR04AcKujQQ_3_5"/>
      <w:bookmarkStart w:id="366" w:name="Tc_GcaBPnkr80epmKAcV_uLrw_3_2"/>
      <w:bookmarkStart w:id="367" w:name="Tc_20V-25FKOkmGV8UYkfuqog_1_2"/>
      <w:bookmarkStart w:id="368" w:name="_688887d8_af9a_4972_8269_502f9b903c5b"/>
      <w:bookmarkStart w:id="369" w:name="Tc_JkfVNBlohUGc457ZDogq1w_16_11"/>
      <w:bookmarkStart w:id="370" w:name="Tc_HYrX8oVOeUa8iOkE6w18bQ_16_8"/>
      <w:bookmarkStart w:id="371" w:name="Tc_LdRn4PSytECMA5E3C4p6HQ_16_5"/>
      <w:bookmarkStart w:id="372" w:name="Tc_-15azCzbNUCaO52s8-YfZw_16_2"/>
      <w:bookmarkStart w:id="373" w:name="Tc_vjYfFhozZUyXewidE83K9Q_16_0"/>
      <w:bookmarkStart w:id="374" w:name="Tc_oKI3dDxVdEaiCeOKrbXNEA_15_6"/>
      <w:bookmarkStart w:id="375" w:name="Tc_wMu3s7v4ek-oHCdTzSWXhw_15_3"/>
      <w:bookmarkStart w:id="376" w:name="Tc_O0685yEvuUuSGXHM1QRFlg_15_0"/>
      <w:bookmarkStart w:id="377" w:name="Tc_Je-tgV1aw0uO1qpnNS8-dA_14_9"/>
      <w:bookmarkStart w:id="378" w:name="Tc_F-jPN_Kc706G5lKdVdKA_A_14_3"/>
      <w:bookmarkStart w:id="379" w:name="Tc_rtEz3IrmAUelHO8JZ7kZIg_14_0"/>
      <w:bookmarkStart w:id="380" w:name="Tc_LbLbEaMHBU6QsjiyUjUVIw_13_6"/>
      <w:bookmarkStart w:id="381" w:name="Tc_ikbaNviGXkyM9JS_QDOW5Q_13_3"/>
      <w:bookmarkStart w:id="382" w:name="Tc_27F7V03MT0CdA0vyexi65Q_13_0"/>
      <w:bookmarkStart w:id="383" w:name="Tc_MOSmiwj9tkekFMz7Z2LHjA_12_11"/>
      <w:bookmarkStart w:id="384" w:name="Tc_qTtNv6FIkEm_WNXPZka0LA_12_8"/>
      <w:bookmarkStart w:id="385" w:name="Tc_FmTEWlLyKUqa-L3sozrprw_12_5"/>
      <w:bookmarkStart w:id="386" w:name="Tc_VHOZEIFt6Ey1DcY_yTCgCQ_12_2"/>
      <w:bookmarkStart w:id="387" w:name="Tc_7kUel1UQtkGeJ40E3b7JIA_12_0"/>
      <w:bookmarkStart w:id="388" w:name="Tc_41ym_l0z6US86TEIjKoMxQ_10_11"/>
      <w:bookmarkStart w:id="389" w:name="Tc_CqNQxYbVEkOOyca2NhmwHQ_10_8"/>
      <w:bookmarkStart w:id="390" w:name="Tc_OfLMlBcesEWAG2dWXmtnWw_10_5"/>
      <w:bookmarkStart w:id="391" w:name="Tc_j5tZVN-1CkehVZgVhPGTIw_10_2"/>
      <w:bookmarkStart w:id="392" w:name="Tc_9DExrM43YUedLZbT1jPHVQ_10_0"/>
      <w:bookmarkStart w:id="393" w:name="Tc_iZ4_5I1FyEG7TGHq7SMUdw_9_6"/>
      <w:bookmarkStart w:id="394" w:name="Tc_lO-i8xGbeUeEZumxoi87zw_9_3"/>
      <w:bookmarkStart w:id="395" w:name="Tc_qBU9lB4kvEq7UNX8uEqQsw_9_0"/>
      <w:bookmarkStart w:id="396" w:name="Tc_Z069TpYM60iKbtAXRIoFYA_8_9"/>
      <w:bookmarkStart w:id="397" w:name="Tc_h5LgEhIsx0udny39-Et7cw_8_3"/>
      <w:bookmarkStart w:id="398" w:name="Tc_GZNiO09jnEC-xOJ0oXvQeA_8_0"/>
      <w:bookmarkStart w:id="399" w:name="Tc_P-u6IDZbhUattwdmJTdReQ_7_6"/>
      <w:bookmarkStart w:id="400" w:name="Tc_FHVYPjO00kaPFP1T56bDGg_7_3"/>
      <w:bookmarkStart w:id="401" w:name="Tc_AGv-4jkR-UyVUSxWLQFz3g_7_0"/>
      <w:bookmarkStart w:id="402" w:name="Tc_zJe0_DZylkGFpSaHseeFrw_6_11"/>
      <w:bookmarkStart w:id="403" w:name="Tc_wv8hJjAG1U-6ImgoEa7A7A_6_8"/>
      <w:bookmarkStart w:id="404" w:name="Tc_HO8mBjkI_0KHznrtxv_HjQ_6_5"/>
      <w:bookmarkStart w:id="405" w:name="Tc_mVPtOFEHyk-oI5nSBDLY3g_6_2"/>
      <w:bookmarkStart w:id="406" w:name="Tc_Tyy4rjqfxkKxzEtVyw-zXg_6_0"/>
      <w:bookmarkStart w:id="407" w:name="Tc_m4dcIJjLe0uP_Ud6xxAqWw_5_11"/>
      <w:bookmarkStart w:id="408" w:name="Tc_zuMKv9M9t0qm1p5MULWQeA_5_8"/>
      <w:bookmarkStart w:id="409" w:name="Tc_VTIuvPFIjEa2M3p9vMm2kQ_5_5"/>
      <w:bookmarkStart w:id="410" w:name="Tc_D5llRBo5QU260IAMj67X5w_5_2"/>
      <w:bookmarkStart w:id="411" w:name="Tc_m8NxceQ-MECoFTiNQC61qg_4_11"/>
      <w:bookmarkStart w:id="412" w:name="Tc_mLacCA9ESUmZZW1uP0saIg_4_8"/>
      <w:bookmarkStart w:id="413" w:name="Tc_qIzi6DaygkyU2K853xbGew_4_5"/>
      <w:bookmarkStart w:id="414" w:name="Tc_Xk6LD4O0-UWORK2wZaZW6A_4_2"/>
      <w:bookmarkStart w:id="415" w:name="Tc_199wR-YvUEGgCclVCdVlXQ_3_11"/>
      <w:bookmarkStart w:id="416" w:name="Tc_7RNlw4E49UylR04AcKujQQ_3_5"/>
      <w:bookmarkStart w:id="417" w:name="Tc_GcaBPnkr80epmKAcV_uLrw_3_2"/>
      <w:bookmarkStart w:id="418" w:name="Tc_20V-25FKOkmGV8UYkfuqog_1_2"/>
      <w:bookmarkStart w:id="419" w:name="_688887d8_af9a_4972_8269_502f9b903c5b"/>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tbl>
      <w:tblPr>
        <w:tblW w:w="8079" w:type="dxa"/>
        <w:jc w:val="left"/>
        <w:tblInd w:w="0" w:type="dxa"/>
        <w:tblLayout w:type="fixed"/>
        <w:tblCellMar>
          <w:top w:w="0" w:type="dxa"/>
          <w:left w:w="0" w:type="dxa"/>
          <w:bottom w:w="0" w:type="dxa"/>
          <w:right w:w="0" w:type="dxa"/>
        </w:tblCellMar>
      </w:tblPr>
      <w:tblGrid>
        <w:gridCol w:w="2671"/>
        <w:gridCol w:w="346"/>
        <w:gridCol w:w="280"/>
        <w:gridCol w:w="561"/>
        <w:gridCol w:w="346"/>
        <w:gridCol w:w="239"/>
        <w:gridCol w:w="767"/>
        <w:gridCol w:w="346"/>
        <w:gridCol w:w="211"/>
        <w:gridCol w:w="691"/>
        <w:gridCol w:w="346"/>
        <w:gridCol w:w="244"/>
        <w:gridCol w:w="1031"/>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696085" cy="175260"/>
                      <wp:effectExtent l="0" t="0" r="0" b="0"/>
                      <wp:wrapNone/>
                      <wp:docPr id="42" name="Frame42"/>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77800" cy="175260"/>
                      <wp:effectExtent l="0" t="0" r="0" b="0"/>
                      <wp:wrapNone/>
                      <wp:docPr id="44" name="Frame44"/>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356235" cy="175260"/>
                      <wp:effectExtent l="0" t="0" r="0" b="0"/>
                      <wp:wrapNone/>
                      <wp:docPr id="45" name="Frame45"/>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51765" cy="175260"/>
                      <wp:effectExtent l="0" t="0" r="0" b="0"/>
                      <wp:wrapNone/>
                      <wp:docPr id="47" name="Frame47"/>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87045" cy="175260"/>
                      <wp:effectExtent l="0" t="0" r="0" b="0"/>
                      <wp:wrapNone/>
                      <wp:docPr id="48" name="Frame48"/>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50" name="Frame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38785" cy="175260"/>
                      <wp:effectExtent l="0" t="0" r="0" b="0"/>
                      <wp:wrapNone/>
                      <wp:docPr id="51" name="Frame5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54940" cy="175260"/>
                      <wp:effectExtent l="0" t="0" r="0" b="0"/>
                      <wp:wrapNone/>
                      <wp:docPr id="53" name="Frame53"/>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54685" cy="175260"/>
                      <wp:effectExtent l="0" t="0" r="0" b="0"/>
                      <wp:wrapNone/>
                      <wp:docPr id="54" name="Frame54"/>
                      <a:graphic xmlns:a="http://schemas.openxmlformats.org/drawingml/2006/main">
                        <a:graphicData uri="http://schemas.microsoft.com/office/word/2010/wordprocessingShape">
                          <wps:wsp>
                            <wps:cNvSpPr txBox="1"/>
                            <wps:spPr>
                              <a:xfrm>
                                <a:off x="0" y="0"/>
                                <a:ext cx="654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6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2025 and 2026</w:t>
            </w:r>
          </w:p>
        </w:tc>
      </w:tr>
      <w:tr>
        <w:trPr/>
        <w:tc>
          <w:tcPr>
            <w:tcW w:w="26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center"/>
              <w:rPr/>
            </w:pPr>
            <w:r>
              <w:rPr/>
              <w:t>​</w:t>
            </w:r>
          </w:p>
        </w:tc>
        <w:tc>
          <w:tcPr>
            <w:tcW w:w="5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39" w:type="dxa"/>
            <w:tcBorders/>
            <w:vAlign w:val="center"/>
          </w:tcPr>
          <w:p>
            <w:pPr>
              <w:pStyle w:val="TableContents"/>
              <w:bidi w:val="0"/>
              <w:spacing w:before="0" w:after="0"/>
              <w:ind w:left="0" w:right="0" w:hanging="0"/>
              <w:jc w:val="center"/>
              <w:rPr/>
            </w:pPr>
            <w:r>
              <w:rPr/>
              <w:t>​</w:t>
            </w:r>
          </w:p>
        </w:tc>
        <w:tc>
          <w:tcPr>
            <w:tcW w:w="76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44" w:type="dxa"/>
            <w:tcBorders/>
            <w:vAlign w:val="center"/>
          </w:tcPr>
          <w:p>
            <w:pPr>
              <w:pStyle w:val="TableContents"/>
              <w:bidi w:val="0"/>
              <w:spacing w:before="0" w:after="0"/>
              <w:ind w:left="0" w:right="0" w:hanging="0"/>
              <w:jc w:val="center"/>
              <w:rPr/>
            </w:pPr>
            <w:r>
              <w:rPr/>
              <w:t>​</w:t>
            </w:r>
          </w:p>
        </w:tc>
        <w:tc>
          <w:tcPr>
            <w:tcW w:w="1031" w:type="dxa"/>
            <w:tcBorders/>
            <w:vAlign w:val="center"/>
          </w:tcPr>
          <w:p>
            <w:pPr>
              <w:pStyle w:val="TableContents"/>
              <w:bidi w:val="0"/>
              <w:spacing w:before="0" w:after="0"/>
              <w:ind w:left="0" w:right="0" w:hanging="0"/>
              <w:jc w:val="center"/>
              <w:rPr/>
            </w:pPr>
            <w:r>
              <w:rPr/>
              <w:t>​</w:t>
            </w:r>
          </w:p>
        </w:tc>
      </w:tr>
      <w:tr>
        <w:trPr/>
        <w:tc>
          <w:tcPr>
            <w:tcW w:w="26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Class A</w:t>
            </w:r>
          </w:p>
        </w:tc>
        <w:tc>
          <w:tcPr>
            <w:tcW w:w="34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Additional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7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6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common</w:t>
            </w:r>
          </w:p>
        </w:tc>
        <w:tc>
          <w:tcPr>
            <w:tcW w:w="34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paid-in</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Retained</w:t>
            </w:r>
          </w:p>
        </w:tc>
        <w:tc>
          <w:tcPr>
            <w:tcW w:w="346" w:type="dxa"/>
            <w:tcBorders/>
            <w:vAlign w:val="center"/>
          </w:tcPr>
          <w:p>
            <w:pPr>
              <w:pStyle w:val="TableContents"/>
              <w:bidi w:val="0"/>
              <w:spacing w:before="0" w:after="0"/>
              <w:ind w:left="0" w:right="0" w:hanging="0"/>
              <w:jc w:val="left"/>
              <w:rPr/>
            </w:pPr>
            <w:r>
              <w:rPr/>
              <w:t>​</w:t>
            </w:r>
          </w:p>
        </w:tc>
        <w:tc>
          <w:tcPr>
            <w:tcW w:w="127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stockholders'</w:t>
            </w:r>
          </w:p>
        </w:tc>
      </w:tr>
      <w:tr>
        <w:trPr/>
        <w:tc>
          <w:tcPr>
            <w:tcW w:w="26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stock</w:t>
            </w:r>
          </w:p>
        </w:tc>
        <w:tc>
          <w:tcPr>
            <w:tcW w:w="346" w:type="dxa"/>
            <w:tcBorders/>
            <w:vAlign w:val="center"/>
          </w:tcPr>
          <w:p>
            <w:pPr>
              <w:pStyle w:val="TableContents"/>
              <w:bidi w:val="0"/>
              <w:spacing w:before="0" w:after="0"/>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capital</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earnings</w:t>
            </w:r>
          </w:p>
        </w:tc>
        <w:tc>
          <w:tcPr>
            <w:tcW w:w="346" w:type="dxa"/>
            <w:tcBorders/>
            <w:vAlign w:val="center"/>
          </w:tcPr>
          <w:p>
            <w:pPr>
              <w:pStyle w:val="TableContents"/>
              <w:bidi w:val="0"/>
              <w:spacing w:before="0" w:after="0"/>
              <w:ind w:left="0" w:right="0" w:hanging="0"/>
              <w:jc w:val="left"/>
              <w:rPr/>
            </w:pPr>
            <w:r>
              <w:rPr/>
              <w:t>  ​ ​ ​</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equity</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92,626</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146,145</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10,584</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 </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10,584</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dividends ($.60 per share)</w:t>
            </w:r>
          </w:p>
        </w:tc>
        <w:tc>
          <w:tcPr>
            <w:tcW w:w="346"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(7,393)</w:t>
            </w:r>
          </w:p>
        </w:tc>
        <w:tc>
          <w:tcPr>
            <w:tcW w:w="346" w:type="dxa"/>
            <w:tcBorders/>
            <w:vAlign w:val="center"/>
          </w:tcPr>
          <w:p>
            <w:pPr>
              <w:pStyle w:val="TableContents"/>
              <w:bidi w:val="0"/>
              <w:spacing w:before="0" w:after="0"/>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(7,393)</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2025</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95,817</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149,453</w:t>
            </w:r>
          </w:p>
        </w:tc>
      </w:tr>
      <w:tr>
        <w:trPr/>
        <w:tc>
          <w:tcPr>
            <w:tcW w:w="26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1031" w:type="dxa"/>
            <w:tcBorders/>
            <w:vAlign w:val="center"/>
          </w:tcPr>
          <w:p>
            <w:pPr>
              <w:pStyle w:val="TableContents"/>
              <w:bidi w:val="0"/>
              <w:spacing w:before="0" w:after="0"/>
              <w:ind w:left="0" w:right="0" w:hanging="0"/>
              <w:jc w:val="right"/>
              <w:rPr/>
            </w:pPr>
            <w:r>
              <w:rPr/>
              <w:t>​</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84,994</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138,630</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13,114</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 </w:t>
            </w:r>
          </w:p>
        </w:tc>
        <w:tc>
          <w:tcPr>
            <w:tcW w:w="10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13,114</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319</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dividends ($.60 per share)</w:t>
            </w:r>
          </w:p>
        </w:tc>
        <w:tc>
          <w:tcPr>
            <w:tcW w:w="346"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(7,398)</w:t>
            </w:r>
          </w:p>
        </w:tc>
        <w:tc>
          <w:tcPr>
            <w:tcW w:w="346" w:type="dxa"/>
            <w:tcBorders/>
            <w:vAlign w:val="center"/>
          </w:tcPr>
          <w:p>
            <w:pPr>
              <w:pStyle w:val="TableContents"/>
              <w:bidi w:val="0"/>
              <w:spacing w:before="0" w:after="0"/>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(7,398)</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123</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53,832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90,710</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144,665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- 5 -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420" w:name="_4c776f16_e873_4e4e_ab9c_219e2180ac31"/>
      <w:bookmarkEnd w:id="420"/>
      <w:r>
        <w:rPr>
          <w:rFonts w:ascii="Times New Roman;Times;serif" w:hAnsi="Times New Roman;Times;serif"/>
          <w:b/>
          <w:sz w:val="20"/>
        </w:rPr>
        <w:t>COMPX INTERNATIONAL INC.</w:t>
      </w:r>
    </w:p>
    <w:p>
      <w:pPr>
        <w:pStyle w:val="TextBody"/>
        <w:bidi w:val="0"/>
        <w:spacing w:before="0" w:after="120"/>
        <w:ind w:left="0" w:right="0" w:hanging="0"/>
        <w:jc w:val="center"/>
        <w:rPr>
          <w:rFonts w:ascii="Times New Roman;Times;serif" w:hAnsi="Times New Roman;Times;serif"/>
          <w:b/>
          <w:sz w:val="20"/>
        </w:rPr>
      </w:pPr>
      <w:bookmarkStart w:id="421" w:name="CONDENSEDCONSOLIDATEDSTATEMENTSOFCASHFLO"/>
      <w:bookmarkEnd w:id="421"/>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422" w:name="Tc_954NrZrVek2QH6q0SiPHpw_36_3"/>
      <w:bookmarkStart w:id="423" w:name="Tc_pUWjL_a1CEuJoI4NJw5N0A_36_0"/>
      <w:bookmarkStart w:id="424" w:name="Tc_PUvD5HaBQ0qg9tQ3hiGl2w_35_0"/>
      <w:bookmarkStart w:id="425" w:name="Tc_1nsctbbP602G_PJBg3gEpw_34_0"/>
      <w:bookmarkStart w:id="426" w:name="Tc_VU34W2NFu0SDUPi7JeUvXw_33_5"/>
      <w:bookmarkStart w:id="427" w:name="Tc_FVFUj6i8DUirBAx29XfEhQ_33_2"/>
      <w:bookmarkStart w:id="428" w:name="Tc_QQRW-NtJ-EaOVuHKa_Atfg_33_0"/>
      <w:bookmarkStart w:id="429" w:name="Tc_ehEtmnBq0kC3CET8QQ45_g_32_0"/>
      <w:bookmarkStart w:id="430" w:name="Tc_3LHNuBIYe0-dPa0B57KmOg_30_5"/>
      <w:bookmarkStart w:id="431" w:name="Tc_xvsNzTnhEUquY9GMfTkmjQ_30_2"/>
      <w:bookmarkStart w:id="432" w:name="Tc_mamAF98fT0m_V3Z1EyPUvg_30_0"/>
      <w:bookmarkStart w:id="433" w:name="Tc_aFbUXcp7s0-ZG2AlrF-zzw_29_0"/>
      <w:bookmarkStart w:id="434" w:name="Tc_91lA8S4MBk-sTfQMZcJkQA_28_0"/>
      <w:bookmarkStart w:id="435" w:name="Tc_7YIp86H5GUiv_007AlQWYg_27_0"/>
      <w:bookmarkStart w:id="436" w:name="Tc_MQnoSlENU0-YR7x2GSirSQ_25_0"/>
      <w:bookmarkStart w:id="437" w:name="Tc_kJdJDkBLmkuXlc4tcQWKoQ_24_0"/>
      <w:bookmarkStart w:id="438" w:name="Tc_EYq5rM0gaUe2u9To69Lcmw_22_0"/>
      <w:bookmarkStart w:id="439" w:name="Tc_uHPLcOJNQ0iAy5BHep279A_21_0"/>
      <w:bookmarkStart w:id="440" w:name="Tc_b3ACqURmpEy9MlTTwp27Eg_20_0"/>
      <w:bookmarkStart w:id="441" w:name="Tc__Ne5wkRAg0S-r267buiLFQ_19_0"/>
      <w:bookmarkStart w:id="442" w:name="Tc_ZVwsn46Pa06Yilq8XhdKAQ_18_0"/>
      <w:bookmarkStart w:id="443" w:name="Tc_clL9DXiypEuBbctp8W7QqA_17_0"/>
      <w:bookmarkStart w:id="444" w:name="Tc_fvCvgFSQ9EaOj9U_3AF5XA_15_0"/>
      <w:bookmarkStart w:id="445" w:name="Tc_X4kSIuSTLk-m3xjq2EENKw_14_0"/>
      <w:bookmarkStart w:id="446" w:name="Tc_byvKlq7eEU2f5uQLLz7ckQ_13_0"/>
      <w:bookmarkStart w:id="447" w:name="Tc_GeBlVFB4YU-d41GSB1U9aQ_12_0"/>
      <w:bookmarkStart w:id="448" w:name="Tc_x4B0cpAZU0y3a_hJH04Pag_11_0"/>
      <w:bookmarkStart w:id="449" w:name="Tc_ANFSyhG1mkyCZ3GwXQngag_10_0"/>
      <w:bookmarkStart w:id="450" w:name="Tc_5qlsrivAfEyrERqAkfzqpQ_9_0"/>
      <w:bookmarkStart w:id="451" w:name="Tc_xKEasDHbVkiwZdEqG81OaQ_8_0"/>
      <w:bookmarkStart w:id="452" w:name="Tc_EpyCMRIFjU-Nas7IsLlfjQ_7_0"/>
      <w:bookmarkStart w:id="453" w:name="Tc_RKiR1nonWUmyhvgAJEQoWg_6_0"/>
      <w:bookmarkStart w:id="454" w:name="Tc_JczG-vtvlE6yoOthxzdLWw_5_5"/>
      <w:bookmarkStart w:id="455" w:name="Tc_HoHMlxhLkkuSl2FiFR1M8w_5_2"/>
      <w:bookmarkStart w:id="456" w:name="Tc_hlbLyVEJEkyZvXr92rNZNA_5_0"/>
      <w:bookmarkStart w:id="457" w:name="Tc_HibCR6qfzEWfoeJYjCbw1Q_4_0"/>
      <w:bookmarkStart w:id="458" w:name="Tc_JMzV8iAebEWXLS0iEOW0Yw_3_5"/>
      <w:bookmarkStart w:id="459" w:name="Tc_3RFMfRzfP0i75QolwDYTIQ_3_2"/>
      <w:bookmarkStart w:id="460" w:name="Tc_5ms-otBBdkSmIWuGWjW8FQ_2_2"/>
      <w:bookmarkStart w:id="461" w:name="Tc_WJ7M0x-Ns0K6plXEY35LqQ_1_2"/>
      <w:bookmarkStart w:id="462" w:name="_d3fc1c0a_56d2_4fbf_892d_ace89c8b6376"/>
      <w:bookmarkStart w:id="463" w:name="Tc_954NrZrVek2QH6q0SiPHpw_36_3"/>
      <w:bookmarkStart w:id="464" w:name="Tc_pUWjL_a1CEuJoI4NJw5N0A_36_0"/>
      <w:bookmarkStart w:id="465" w:name="Tc_PUvD5HaBQ0qg9tQ3hiGl2w_35_0"/>
      <w:bookmarkStart w:id="466" w:name="Tc_1nsctbbP602G_PJBg3gEpw_34_0"/>
      <w:bookmarkStart w:id="467" w:name="Tc_VU34W2NFu0SDUPi7JeUvXw_33_5"/>
      <w:bookmarkStart w:id="468" w:name="Tc_FVFUj6i8DUirBAx29XfEhQ_33_2"/>
      <w:bookmarkStart w:id="469" w:name="Tc_QQRW-NtJ-EaOVuHKa_Atfg_33_0"/>
      <w:bookmarkStart w:id="470" w:name="Tc_ehEtmnBq0kC3CET8QQ45_g_32_0"/>
      <w:bookmarkStart w:id="471" w:name="Tc_3LHNuBIYe0-dPa0B57KmOg_30_5"/>
      <w:bookmarkStart w:id="472" w:name="Tc_xvsNzTnhEUquY9GMfTkmjQ_30_2"/>
      <w:bookmarkStart w:id="473" w:name="Tc_mamAF98fT0m_V3Z1EyPUvg_30_0"/>
      <w:bookmarkStart w:id="474" w:name="Tc_aFbUXcp7s0-ZG2AlrF-zzw_29_0"/>
      <w:bookmarkStart w:id="475" w:name="Tc_91lA8S4MBk-sTfQMZcJkQA_28_0"/>
      <w:bookmarkStart w:id="476" w:name="Tc_7YIp86H5GUiv_007AlQWYg_27_0"/>
      <w:bookmarkStart w:id="477" w:name="Tc_MQnoSlENU0-YR7x2GSirSQ_25_0"/>
      <w:bookmarkStart w:id="478" w:name="Tc_kJdJDkBLmkuXlc4tcQWKoQ_24_0"/>
      <w:bookmarkStart w:id="479" w:name="Tc_EYq5rM0gaUe2u9To69Lcmw_22_0"/>
      <w:bookmarkStart w:id="480" w:name="Tc_uHPLcOJNQ0iAy5BHep279A_21_0"/>
      <w:bookmarkStart w:id="481" w:name="Tc_b3ACqURmpEy9MlTTwp27Eg_20_0"/>
      <w:bookmarkStart w:id="482" w:name="Tc__Ne5wkRAg0S-r267buiLFQ_19_0"/>
      <w:bookmarkStart w:id="483" w:name="Tc_ZVwsn46Pa06Yilq8XhdKAQ_18_0"/>
      <w:bookmarkStart w:id="484" w:name="Tc_clL9DXiypEuBbctp8W7QqA_17_0"/>
      <w:bookmarkStart w:id="485" w:name="Tc_fvCvgFSQ9EaOj9U_3AF5XA_15_0"/>
      <w:bookmarkStart w:id="486" w:name="Tc_X4kSIuSTLk-m3xjq2EENKw_14_0"/>
      <w:bookmarkStart w:id="487" w:name="Tc_byvKlq7eEU2f5uQLLz7ckQ_13_0"/>
      <w:bookmarkStart w:id="488" w:name="Tc_GeBlVFB4YU-d41GSB1U9aQ_12_0"/>
      <w:bookmarkStart w:id="489" w:name="Tc_x4B0cpAZU0y3a_hJH04Pag_11_0"/>
      <w:bookmarkStart w:id="490" w:name="Tc_ANFSyhG1mkyCZ3GwXQngag_10_0"/>
      <w:bookmarkStart w:id="491" w:name="Tc_5qlsrivAfEyrERqAkfzqpQ_9_0"/>
      <w:bookmarkStart w:id="492" w:name="Tc_xKEasDHbVkiwZdEqG81OaQ_8_0"/>
      <w:bookmarkStart w:id="493" w:name="Tc_EpyCMRIFjU-Nas7IsLlfjQ_7_0"/>
      <w:bookmarkStart w:id="494" w:name="Tc_RKiR1nonWUmyhvgAJEQoWg_6_0"/>
      <w:bookmarkStart w:id="495" w:name="Tc_JczG-vtvlE6yoOthxzdLWw_5_5"/>
      <w:bookmarkStart w:id="496" w:name="Tc_HoHMlxhLkkuSl2FiFR1M8w_5_2"/>
      <w:bookmarkStart w:id="497" w:name="Tc_hlbLyVEJEkyZvXr92rNZNA_5_0"/>
      <w:bookmarkStart w:id="498" w:name="Tc_HibCR6qfzEWfoeJYjCbw1Q_4_0"/>
      <w:bookmarkStart w:id="499" w:name="Tc_JMzV8iAebEWXLS0iEOW0Yw_3_5"/>
      <w:bookmarkStart w:id="500" w:name="Tc_3RFMfRzfP0i75QolwDYTIQ_3_2"/>
      <w:bookmarkStart w:id="501" w:name="Tc_5ms-otBBdkSmIWuGWjW8FQ_2_2"/>
      <w:bookmarkStart w:id="502" w:name="Tc_WJ7M0x-Ns0K6plXEY35LqQ_1_2"/>
      <w:bookmarkStart w:id="503" w:name="_d3fc1c0a_56d2_4fbf_892d_ace89c8b6376"/>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p>
    <w:tbl>
      <w:tblPr>
        <w:tblW w:w="7477" w:type="dxa"/>
        <w:jc w:val="left"/>
        <w:tblInd w:w="0" w:type="dxa"/>
        <w:tblLayout w:type="fixed"/>
        <w:tblCellMar>
          <w:top w:w="0" w:type="dxa"/>
          <w:left w:w="0" w:type="dxa"/>
          <w:bottom w:w="0" w:type="dxa"/>
          <w:right w:w="0" w:type="dxa"/>
        </w:tblCellMar>
      </w:tblPr>
      <w:tblGrid>
        <w:gridCol w:w="4936"/>
        <w:gridCol w:w="346"/>
        <w:gridCol w:w="211"/>
        <w:gridCol w:w="691"/>
        <w:gridCol w:w="346"/>
        <w:gridCol w:w="211"/>
        <w:gridCol w:w="736"/>
      </w:tblGrid>
      <w:tr>
        <w:trPr/>
        <w:tc>
          <w:tcPr>
            <w:tcW w:w="4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3134360" cy="175260"/>
                      <wp:effectExtent l="0" t="0" r="0" b="0"/>
                      <wp:wrapNone/>
                      <wp:docPr id="55" name="Frame55"/>
                      <a:graphic xmlns:a="http://schemas.openxmlformats.org/drawingml/2006/main">
                        <a:graphicData uri="http://schemas.microsoft.com/office/word/2010/wordprocessingShape">
                          <wps:wsp>
                            <wps:cNvSpPr txBox="1"/>
                            <wps:spPr>
                              <a:xfrm>
                                <a:off x="0" y="0"/>
                                <a:ext cx="3134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3985" cy="175260"/>
                      <wp:effectExtent l="0" t="0" r="0" b="0"/>
                      <wp:wrapNone/>
                      <wp:docPr id="57" name="Frame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38785" cy="175260"/>
                      <wp:effectExtent l="0" t="0" r="0" b="0"/>
                      <wp:wrapNone/>
                      <wp:docPr id="58" name="Frame5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60" name="Frame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67360" cy="175260"/>
                      <wp:effectExtent l="0" t="0" r="0" b="0"/>
                      <wp:wrapNone/>
                      <wp:docPr id="61" name="Frame6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9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r>
      <w:tr>
        <w:trPr/>
        <w:tc>
          <w:tcPr>
            <w:tcW w:w="4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4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  ​</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10,584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13,114</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1,725</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(411)</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464</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assets and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(5,807)</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(4,664)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(1,452)</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(1,273)</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with affiliates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Prepaids and other,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(280)</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6,045</w:t>
            </w:r>
          </w:p>
        </w:tc>
      </w:tr>
      <w:tr>
        <w:trPr/>
        <w:tc>
          <w:tcPr>
            <w:tcW w:w="49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  ​</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(1,522)</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Note receivable from affiliate: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  ​</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Collections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8,800</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Advances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(7,600)</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(322)</w:t>
            </w:r>
          </w:p>
        </w:tc>
      </w:tr>
      <w:tr>
        <w:trPr/>
        <w:tc>
          <w:tcPr>
            <w:tcW w:w="4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financing activities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Dividends paid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(7,393)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(7,398)</w:t>
            </w:r>
          </w:p>
        </w:tc>
      </w:tr>
      <w:tr>
        <w:trPr/>
        <w:tc>
          <w:tcPr>
            <w:tcW w:w="49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 - net change from:</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investing and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(1,675)</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60,782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54,096</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56,215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52,421</w:t>
            </w:r>
          </w:p>
        </w:tc>
      </w:tr>
      <w:tr>
        <w:trPr/>
        <w:tc>
          <w:tcPr>
            <w:tcW w:w="4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Supplemental disclosures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paid for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4,658</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Noncash investing and financing activities -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accruals for capital expenditures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Right-of-use asset obtained in exchange for a lease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1,014</w:t>
            </w:r>
          </w:p>
        </w:tc>
      </w:tr>
    </w:tbl>
    <w:p>
      <w:pPr>
        <w:pStyle w:val="TextBody"/>
        <w:bidi w:val="0"/>
        <w:spacing w:before="0" w:after="240"/>
        <w:ind w:left="0" w:right="0" w:hanging="0"/>
        <w:jc w:val="center"/>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- 6 -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504" w:name="_a88251dd_d70c_4bac_9cdf_55b35feabd0d"/>
      <w:bookmarkEnd w:id="504"/>
      <w:r>
        <w:rPr>
          <w:rFonts w:ascii="Times New Roman;Times;serif" w:hAnsi="Times New Roman;Times;serif"/>
          <w:b/>
          <w:sz w:val="20"/>
        </w:rPr>
        <w:t>COMPX INTERNATIONAL INC.</w:t>
      </w:r>
    </w:p>
    <w:p>
      <w:pPr>
        <w:pStyle w:val="TextBody"/>
        <w:bidi w:val="0"/>
        <w:spacing w:before="0" w:after="120"/>
        <w:ind w:left="0" w:right="0" w:hanging="0"/>
        <w:jc w:val="center"/>
        <w:rPr>
          <w:rFonts w:ascii="Times New Roman;Times;serif" w:hAnsi="Times New Roman;Times;serif"/>
          <w:b/>
          <w:sz w:val="20"/>
        </w:rPr>
      </w:pPr>
      <w:bookmarkStart w:id="505" w:name="NOTESTOCONDENSEDCONSOLIDATEDFINANCIALSTA"/>
      <w:bookmarkEnd w:id="505"/>
      <w:r>
        <w:rPr>
          <w:rFonts w:ascii="Times New Roman;Times;serif" w:hAnsi="Times New Roman;Times;serif"/>
          <w:b/>
          <w:sz w:val="20"/>
        </w:rPr>
        <w:t>NOTES TO CONDENSED CONSOLIDATED FINANCIAL STATEMENTS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June 30,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 Organization and basis of presentation: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Organization</w:t>
      </w:r>
      <w:r>
        <w:rPr>
          <w:rFonts w:ascii="Times New Roman;Times;serif" w:hAnsi="Times New Roman;Times;serif"/>
          <w:sz w:val="20"/>
        </w:rPr>
        <w:t>. We (NYSE American: CIX) were approximately 87% owned by NLI Holdings, Inc. (formerly NL Industries, Inc.) (NYSE: NL) at June 30, 2026. At June 30, 2026, Valhi, Inc. (NYSE: VHI) owned approximately 83% of NL’s outstanding common stock and a wholly-owned subsidiary of Contran Corporation owned approximately 91% of Valhi’s outstanding common stock. A majority of Contran’s outstanding voting stock is held directly by Lisa K. Simmons, and by family stockholders (Thomas C. Connelly (the husband of Ms. Simmons’ late sister), a family-owned entity and various family trusts established for the benefit of Ms. Simmons, Mr. Connelly and their children) who are required to vote their shares of Contran voting stock in the same manner as Ms. Simmons. Such voting rights are personal to Ms. Simmons and last through April 22, 2030. The remainder of Contran’s outstanding voting stock is held by another trust (the “Family Trust”), which was established for the benefit of Ms. Simmons and her late sister and their children and for which a third-party financial institution serves as trustee. Consequently, at June 30, 2026, Ms. Simmons and the Family Trust may be deemed to control Contran, and therefore may be deemed to indirectly control the wholly-owned subsidiary of Contran, Valhi, NL and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Basis of presentation.</w:t>
      </w:r>
      <w:r>
        <w:rPr>
          <w:rFonts w:ascii="Times New Roman;Times;serif" w:hAnsi="Times New Roman;Times;serif"/>
          <w:sz w:val="20"/>
        </w:rPr>
        <w:t xml:space="preserve"> Consolidated in this Quarterly Report are the results of CompX International Inc. and its subsidiaries. The unaudited Condensed Consolidated Financial Statements contained in this Quarterly Report have been prepared on the same basis as the audited Consolidated Financial Statements included in our Annual Report on Form 10-K for the year ended December 31, 2025 that we filed with the Securities and Exchange Commission (“SEC”) on March 4, 2026 (the “2025 Annual Report”). In our opinion, we have made all necessary adjustments (which include only normal recurring adjustments) in order to state fairly, in all material respects, our consolidated financial position, results of operations and cash flows as of the dates and for the periods presented. We have condensed the Consolidated Balance Sheet at December 31, 2025 contained in this Quarterly Report as compared to our audited Consolidated Financial Statements at that date, and we have omitted certain information and footnote disclosures (including those related to the Consolidated Balance Sheet at December 31, 2025) normally included in financial statements prepared in accordance with accounting principles generally accepted in the United States of America (“GAAP”). Our results of operations for the interim periods ended June 30, 2026 may not be indicative of our operating results for the full year. The Condensed Consolidated Financial Statements contained in this Quarterly Report should be read in conjunction with our 2025 Consolidated Financial Statements contained in our 2025 Annual Report.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operations are reported on a 52 or 53-week year. For presentation purposes, annual and quarterly information in the Condensed Consolidated Financial Statements and accompanying notes are presented as ended June 30, 2025, December 31, 2025 and June 30, 2026. The actual dates of our annual and quarterly periods are June 29, 2025, December 28, 2025 and June 28, 2026, respectively. Unless otherwise indicated, references in this report to “we”, “us” or “our” refer to CompX International Inc. and its subsidiaries, taken as a whole.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- 7 -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506" w:name="Tc_G7QJzb0qCk-1NX5iTWQWKg_37_11"/>
      <w:bookmarkStart w:id="507" w:name="Tc_J2bW04-AG0mHi-kgc5UTUg_37_8"/>
      <w:bookmarkStart w:id="508" w:name="Tc_wTYLOt5b70iR2WihqH1SCA_37_5"/>
      <w:bookmarkStart w:id="509" w:name="Tc_zTKCe_l0ZESOCDMPvrH3Mw_37_2"/>
      <w:bookmarkStart w:id="510" w:name="Tc_apGjpWmsWku9SieC9YMcBw_37_0"/>
      <w:bookmarkStart w:id="511" w:name="Tc_TLx5JstqqECTlewZvaNpKg_36_0"/>
      <w:bookmarkStart w:id="512" w:name="Tc_guHZcN673Uyxnrvw3aj_sg_35_11"/>
      <w:bookmarkStart w:id="513" w:name="Tc_o5KSA8tMw0qqO9BJWiq2qw_35_8"/>
      <w:bookmarkStart w:id="514" w:name="Tc__ehVDg627U-uNg3Piir4HA_35_5"/>
      <w:bookmarkStart w:id="515" w:name="Tc_P9-0qE5al0GFfA289Aj1-Q_35_2"/>
      <w:bookmarkStart w:id="516" w:name="Tc_Wj4iFjicSEO_6rJdnjV-aw_35_0"/>
      <w:bookmarkStart w:id="517" w:name="Tc__Cn88p5rUEWBUkS8wCNJvg_34_0"/>
      <w:bookmarkStart w:id="518" w:name="Tc_Mh3i3jVceEmpZI_WPx31WQ_32_11"/>
      <w:bookmarkStart w:id="519" w:name="Tc_6LTs3sqxCU6nusyuMDqizg_32_8"/>
      <w:bookmarkStart w:id="520" w:name="Tc_CxBPi1hjpk-ryWQEEZRrMA_32_5"/>
      <w:bookmarkStart w:id="521" w:name="Tc_X20JsjO6akesPyYV3ReJ1Q_32_2"/>
      <w:bookmarkStart w:id="522" w:name="Tc_eD_opAmxMkiv-iQcktexQA_32_0"/>
      <w:bookmarkStart w:id="523" w:name="Tc_FOh6oQ_YvkG9IrJDekjrvQ_31_0"/>
      <w:bookmarkStart w:id="524" w:name="Tc_Hd4sqoi_gE-M7Tm3CvpdDg_30_0"/>
      <w:bookmarkStart w:id="525" w:name="Tc_UBP1ts-EqUK7OI6NaWHj5w_29_0"/>
      <w:bookmarkStart w:id="526" w:name="Tc_L535k-XikUWe_1SwlItq9Q_28_0"/>
      <w:bookmarkStart w:id="527" w:name="Tc_5KCW9fG_mk294BprN_yt8Q_27_0"/>
      <w:bookmarkStart w:id="528" w:name="Tc_GHqquhyngkybd6dCg9WLMw_26_11"/>
      <w:bookmarkStart w:id="529" w:name="Tc_dsd-pIRBHUOr27vfPARZVw_26_8"/>
      <w:bookmarkStart w:id="530" w:name="Tc_ROP7odARqUWkVnmQccBbbA_26_5"/>
      <w:bookmarkStart w:id="531" w:name="Tc_ptZJ6UuUkUa_P7qWLtPMQg_26_2"/>
      <w:bookmarkStart w:id="532" w:name="Tc_2TAwkWiIb0O_bKDpCLq4cQ_26_0"/>
      <w:bookmarkStart w:id="533" w:name="Tc_R5UQ7EPKsUS9HERfkDDFaQ_25_0"/>
      <w:bookmarkStart w:id="534" w:name="Tc_I8XCsKvXo0yz0T11PJQgZA_23_11"/>
      <w:bookmarkStart w:id="535" w:name="Tc_JS7ywVeQr0KPmXHcPDHshA_23_8"/>
      <w:bookmarkStart w:id="536" w:name="Tc_W14MOxxH2Uig-qzMzHMGIg_23_5"/>
      <w:bookmarkStart w:id="537" w:name="Tc_xyX0A30gpUOqKLHDE8fvyg_23_2"/>
      <w:bookmarkStart w:id="538" w:name="Tc_QJGIjBivoUCMbdNC9ZxwcA_23_0"/>
      <w:bookmarkStart w:id="539" w:name="Tc_x9q_vVK1nUOg4mjCSqBeDQ_22_0"/>
      <w:bookmarkStart w:id="540" w:name="Tc_wb06xH3L106d_uc3_3WbUQ_21_11"/>
      <w:bookmarkStart w:id="541" w:name="Tc_ZJWjmmDwPUufLRUJ02s7JQ_21_8"/>
      <w:bookmarkStart w:id="542" w:name="Tc_NZeS0DwrUU6m0h5racpZAA_21_5"/>
      <w:bookmarkStart w:id="543" w:name="Tc_zdJJR4-djkeaffgAZxxgOQ_21_2"/>
      <w:bookmarkStart w:id="544" w:name="Tc_vOAZnpU9ckO8u68C-2VNwg_21_0"/>
      <w:bookmarkStart w:id="545" w:name="Tc_6eI2Ar1SAUyD-h6AOwHyWA_20_0"/>
      <w:bookmarkStart w:id="546" w:name="Tc_orbmRz5txEKRHlXK8_5xkA_18_11"/>
      <w:bookmarkStart w:id="547" w:name="Tc_6UXCYrC8Kk6hPIDkQdcWqA_18_8"/>
      <w:bookmarkStart w:id="548" w:name="Tc_xFNmHjqUrE22HVVNZK2zCg_18_5"/>
      <w:bookmarkStart w:id="549" w:name="Tc_D5qYY-7faUaSwbUeJeksuQ_18_2"/>
      <w:bookmarkStart w:id="550" w:name="Tc_c2qFFuXf8UuhwH3-H1jrSg_18_0"/>
      <w:bookmarkStart w:id="551" w:name="Tc_HKeePjLsXEWXsZgUR0_NoA_17_0"/>
      <w:bookmarkStart w:id="552" w:name="Tc_bFkO-JGaDk-jha6yNw2D_g_16_11"/>
      <w:bookmarkStart w:id="553" w:name="Tc_HRSPtsqzf0q6we_rwEsBaw_16_8"/>
      <w:bookmarkStart w:id="554" w:name="Tc_kAnP_duq706kOtjbe2hSxA_16_5"/>
      <w:bookmarkStart w:id="555" w:name="Tc_-NMgmhC-40SvOGKZ9JPjAg_16_2"/>
      <w:bookmarkStart w:id="556" w:name="Tc_rlYVzkvDlUqb2jFONWS7wg_16_0"/>
      <w:bookmarkStart w:id="557" w:name="Tc_VWu9YO6CVEStSb80nR59rw_15_0"/>
      <w:bookmarkStart w:id="558" w:name="Tc_tU8lBHFRmkWt6P4ExrJB7w_13_11"/>
      <w:bookmarkStart w:id="559" w:name="Tc_FDEfK-jkSU2ueE_uc8Ca9Q_13_8"/>
      <w:bookmarkStart w:id="560" w:name="Tc_mp6qzfUaOkC26sreTmirXA_13_5"/>
      <w:bookmarkStart w:id="561" w:name="Tc_TReDNDCC_EmB3FpmSmED0w_13_2"/>
      <w:bookmarkStart w:id="562" w:name="Tc_sYT_RZeVv0CmGqMyxYO67Q_13_0"/>
      <w:bookmarkStart w:id="563" w:name="Tc_y7wMm0p0TU2Uda668-DTcQ_12_0"/>
      <w:bookmarkStart w:id="564" w:name="Tc_dWKfxT1BlUuSyM_2NN2mjA_11_11"/>
      <w:bookmarkStart w:id="565" w:name="Tc_zu406AAr2UW9QADLGcXFJA_11_8"/>
      <w:bookmarkStart w:id="566" w:name="Tc_OsQh6sKkUkqG5VloPqHpPA_11_5"/>
      <w:bookmarkStart w:id="567" w:name="Tc_SKp6dWTspUyPzV0Zv6QMPg_11_2"/>
      <w:bookmarkStart w:id="568" w:name="Tc_0w3QhdCsL0izMcB9ie0euQ_11_0"/>
      <w:bookmarkStart w:id="569" w:name="Tc_R4WcvY6VJUaiZMfwlVugaQ_10_0"/>
      <w:bookmarkStart w:id="570" w:name="Tc_16Th3UdSbkix_3M6mAaYXQ_8_11"/>
      <w:bookmarkStart w:id="571" w:name="Tc_efRAR7kYIE2BLe4jNgDXJQ_8_8"/>
      <w:bookmarkStart w:id="572" w:name="Tc_OppVvVIWCUGaOKuGOgWIIQ_8_5"/>
      <w:bookmarkStart w:id="573" w:name="Tc_NbwFKPIuJ06P1rOlWKpLcw_8_2"/>
      <w:bookmarkStart w:id="574" w:name="Tc_Dpx6Bcv240Wmq1-JqSWX6Q_8_0"/>
      <w:bookmarkStart w:id="575" w:name="Tc_efG-aC_el0KASwMnz7VNXw_7_0"/>
      <w:bookmarkStart w:id="576" w:name="Tc_usb6LAkDiEaa1WZqCBA9Rg_6_11"/>
      <w:bookmarkStart w:id="577" w:name="Tc_V5Tq-EGxuEeM_9NnvQ82yA_6_8"/>
      <w:bookmarkStart w:id="578" w:name="Tc_M-yWYv0nJEuEHQtbp5tchA_6_5"/>
      <w:bookmarkStart w:id="579" w:name="Tc_E_z32tAbPEyxFIArzotgVw_6_2"/>
      <w:bookmarkStart w:id="580" w:name="Tc_Gg2MAONdoEeGKbmgcIpQxg_6_0"/>
      <w:bookmarkStart w:id="581" w:name="Tc_rJubh8Ine0KvFR164W60BA_5_0"/>
      <w:bookmarkStart w:id="582" w:name="Tc_1Bw1i29CSkOJN-Hw-fbxjw_4_2"/>
      <w:bookmarkStart w:id="583" w:name="Tc_qN4-PtsA50aM3vuQJdv2Tw_3_11"/>
      <w:bookmarkStart w:id="584" w:name="Tc_HPY3H_EZdki7-8qPXY0Edg_3_8"/>
      <w:bookmarkStart w:id="585" w:name="Tc_SQLirJ8JzUeKZTIyCJqDyw_3_5"/>
      <w:bookmarkStart w:id="586" w:name="Tc_Vqou54pip0e1fDVfl89fQg_3_2"/>
      <w:bookmarkStart w:id="587" w:name="Tc_fezRWFdCykuZU97Sxku5rg_2_8"/>
      <w:bookmarkStart w:id="588" w:name="Tc_zQ57-GJyUkKj-lG-C359BQ_2_2"/>
      <w:bookmarkStart w:id="589" w:name="Tc_ZsFzRj8ykUKNGJmMZD7htQ_1_8"/>
      <w:bookmarkStart w:id="590" w:name="Tc_MF5OFv7ntEi5A4tmuTuzIg_1_2"/>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r>
        <w:rPr>
          <w:rFonts w:ascii="Times New Roman;Times;serif" w:hAnsi="Times New Roman;Times;serif"/>
          <w:b/>
          <w:sz w:val="20"/>
        </w:rPr>
        <w:t>Note 2 – Business segment information:</w:t>
      </w:r>
    </w:p>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Our chief operating decision maker (“CODM”) evaluates segment performance based on segment operating income, which is defined as income before income taxes, exclusive of certain general corporate income and expense items (primarily interest income) and certain non-recurring items (such as gains or losses on the disposition of long-lived assets outside the ordinary course of business).</w:t>
      </w:r>
    </w:p>
    <w:p>
      <w:pPr>
        <w:pStyle w:val="TextBody"/>
        <w:bidi w:val="0"/>
        <w:spacing w:before="0" w:after="0"/>
        <w:ind w:left="0" w:right="0" w:hanging="0"/>
        <w:jc w:val="left"/>
        <w:rPr/>
      </w:pPr>
      <w:r>
        <w:rPr/>
        <w:t>​</w:t>
      </w:r>
    </w:p>
    <w:tbl>
      <w:tblPr>
        <w:tblW w:w="9523" w:type="dxa"/>
        <w:jc w:val="left"/>
        <w:tblInd w:w="0" w:type="dxa"/>
        <w:tblLayout w:type="fixed"/>
        <w:tblCellMar>
          <w:top w:w="0" w:type="dxa"/>
          <w:left w:w="0" w:type="dxa"/>
          <w:bottom w:w="0" w:type="dxa"/>
          <w:right w:w="0" w:type="dxa"/>
        </w:tblCellMar>
      </w:tblPr>
      <w:tblGrid>
        <w:gridCol w:w="4441"/>
        <w:gridCol w:w="346"/>
        <w:gridCol w:w="211"/>
        <w:gridCol w:w="691"/>
        <w:gridCol w:w="346"/>
        <w:gridCol w:w="256"/>
        <w:gridCol w:w="691"/>
        <w:gridCol w:w="346"/>
        <w:gridCol w:w="211"/>
        <w:gridCol w:w="691"/>
        <w:gridCol w:w="346"/>
        <w:gridCol w:w="211"/>
        <w:gridCol w:w="736"/>
      </w:tblGrid>
      <w:tr>
        <w:trPr/>
        <w:tc>
          <w:tcPr>
            <w:tcW w:w="44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3" name="Frame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38785" cy="175260"/>
                      <wp:effectExtent l="0" t="0" r="0" b="0"/>
                      <wp:wrapNone/>
                      <wp:docPr id="64" name="Frame6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5"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62560" cy="175260"/>
                      <wp:effectExtent l="0" t="0" r="0" b="0"/>
                      <wp:wrapNone/>
                      <wp:docPr id="66" name="Frame66"/>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38785" cy="175260"/>
                      <wp:effectExtent l="0" t="0" r="0" b="0"/>
                      <wp:wrapNone/>
                      <wp:docPr id="67" name="Frame6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3985" cy="175260"/>
                      <wp:effectExtent l="0" t="0" r="0" b="0"/>
                      <wp:wrapNone/>
                      <wp:docPr id="69" name="Frame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38785" cy="175260"/>
                      <wp:effectExtent l="0" t="0" r="0" b="0"/>
                      <wp:wrapNone/>
                      <wp:docPr id="70" name="Frame7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71"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2"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67360" cy="175260"/>
                      <wp:effectExtent l="0" t="0" r="0" b="0"/>
                      <wp:wrapNone/>
                      <wp:docPr id="73" name="Frame7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9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219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r>
      <w:tr>
        <w:trPr/>
        <w:tc>
          <w:tcPr>
            <w:tcW w:w="44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1"/>
              <w:ind w:left="0" w:right="0" w:hanging="0"/>
              <w:jc w:val="left"/>
              <w:rPr/>
            </w:pPr>
            <w:r>
              <w:rPr/>
              <w:t>​</w:t>
            </w:r>
          </w:p>
        </w:tc>
        <w:tc>
          <w:tcPr>
            <w:tcW w:w="21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44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952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4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736" w:type="dxa"/>
            <w:gridSpan w:val="11"/>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5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  ​</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30,683</w:t>
            </w:r>
          </w:p>
        </w:tc>
        <w:tc>
          <w:tcPr>
            <w:tcW w:w="34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33,348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60,913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63,244</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9,683</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10,266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20,939</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40,366</w:t>
            </w:r>
          </w:p>
        </w:tc>
        <w:tc>
          <w:tcPr>
            <w:tcW w:w="346" w:type="dxa"/>
            <w:tcBorders/>
            <w:vAlign w:val="center"/>
          </w:tcPr>
          <w:p>
            <w:pPr>
              <w:pStyle w:val="TableContents"/>
              <w:bidi w:val="0"/>
              <w:spacing w:before="0" w:after="1"/>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43,614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80,638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84,183</w:t>
            </w:r>
          </w:p>
        </w:tc>
      </w:tr>
      <w:tr>
        <w:trPr/>
        <w:tc>
          <w:tcPr>
            <w:tcW w:w="44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  ​</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21,129</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21,559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42,361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41,431</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6,347</w:t>
            </w:r>
          </w:p>
        </w:tc>
        <w:tc>
          <w:tcPr>
            <w:tcW w:w="346" w:type="dxa"/>
            <w:tcBorders/>
            <w:vAlign w:val="center"/>
          </w:tcPr>
          <w:p>
            <w:pPr>
              <w:pStyle w:val="TableContents"/>
              <w:bidi w:val="0"/>
              <w:spacing w:before="0" w:after="1"/>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6,519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13,224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13,964</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27,476</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28,078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55,585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55,395</w:t>
            </w:r>
          </w:p>
        </w:tc>
      </w:tr>
      <w:tr>
        <w:trPr/>
        <w:tc>
          <w:tcPr>
            <w:tcW w:w="44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9,554</w:t>
            </w:r>
          </w:p>
        </w:tc>
        <w:tc>
          <w:tcPr>
            <w:tcW w:w="34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11,789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18,552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21,813</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3,336</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3,747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6,975</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12,890</w:t>
            </w:r>
          </w:p>
        </w:tc>
        <w:tc>
          <w:tcPr>
            <w:tcW w:w="346" w:type="dxa"/>
            <w:tcBorders/>
            <w:vAlign w:val="center"/>
          </w:tcPr>
          <w:p>
            <w:pPr>
              <w:pStyle w:val="TableContents"/>
              <w:bidi w:val="0"/>
              <w:spacing w:before="0" w:after="1"/>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15,536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25,053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28,788</w:t>
            </w:r>
          </w:p>
        </w:tc>
      </w:tr>
      <w:tr>
        <w:trPr/>
        <w:tc>
          <w:tcPr>
            <w:tcW w:w="44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Segment selling, general and administrative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  ​</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3,786</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7,249</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942</w:t>
            </w:r>
          </w:p>
        </w:tc>
        <w:tc>
          <w:tcPr>
            <w:tcW w:w="346" w:type="dxa"/>
            <w:tcBorders/>
            <w:vAlign w:val="center"/>
          </w:tcPr>
          <w:p>
            <w:pPr>
              <w:pStyle w:val="TableContents"/>
              <w:bidi w:val="0"/>
              <w:spacing w:before="0" w:after="1"/>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978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1,895</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4,728</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4,778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9,144</w:t>
            </w:r>
          </w:p>
        </w:tc>
      </w:tr>
      <w:tr>
        <w:trPr/>
        <w:tc>
          <w:tcPr>
            <w:tcW w:w="44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  ​</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5,768</w:t>
            </w:r>
          </w:p>
        </w:tc>
        <w:tc>
          <w:tcPr>
            <w:tcW w:w="34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7,989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11,289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14,564</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2,394</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2,769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5,080</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Segment operating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8,162</w:t>
            </w:r>
          </w:p>
        </w:tc>
        <w:tc>
          <w:tcPr>
            <w:tcW w:w="34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10,758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15,924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19,644</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(1,842)</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(1,837)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(3,673)</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6,320</w:t>
            </w:r>
          </w:p>
        </w:tc>
        <w:tc>
          <w:tcPr>
            <w:tcW w:w="34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8,921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12,189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15,971</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846</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662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1,339</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7,166</w:t>
            </w:r>
          </w:p>
        </w:tc>
        <w:tc>
          <w:tcPr>
            <w:tcW w:w="346" w:type="dxa"/>
            <w:tcBorders/>
            <w:vAlign w:val="center"/>
          </w:tcPr>
          <w:p>
            <w:pPr>
              <w:pStyle w:val="TableContents"/>
              <w:bidi w:val="0"/>
              <w:spacing w:before="0" w:after="1"/>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9,583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13,908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17,310</w:t>
            </w:r>
          </w:p>
        </w:tc>
      </w:tr>
      <w:tr>
        <w:trPr/>
        <w:tc>
          <w:tcPr>
            <w:tcW w:w="44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  ​</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622</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571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1,147</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w:t>
            </w:r>
          </w:p>
        </w:tc>
        <w:tc>
          <w:tcPr>
            <w:tcW w:w="346" w:type="dxa"/>
            <w:tcBorders/>
            <w:vAlign w:val="center"/>
          </w:tcPr>
          <w:p>
            <w:pPr>
              <w:pStyle w:val="TableContents"/>
              <w:bidi w:val="0"/>
              <w:spacing w:before="0" w:after="1"/>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578</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923</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857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b/>
                <w:sz w:val="20"/>
              </w:rPr>
            </w:pPr>
            <w:r>
              <w:rPr>
                <w:rFonts w:ascii="Times New Roman;Times;serif" w:hAnsi="Times New Roman;Times;serif"/>
                <w:b/>
                <w:sz w:val="20"/>
              </w:rPr>
              <w:t>1,725</w:t>
            </w:r>
          </w:p>
        </w:tc>
      </w:tr>
    </w:tbl>
    <w:p>
      <w:pPr>
        <w:pStyle w:val="TextBody"/>
        <w:bidi w:val="0"/>
        <w:spacing w:before="0" w:after="0"/>
        <w:ind w:left="0" w:right="0" w:hanging="0"/>
        <w:jc w:val="left"/>
        <w:rPr/>
      </w:pPr>
      <w:r>
        <w:rPr/>
        <w: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 xml:space="preserve">Intersegment sales are not material.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- 8 -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591" w:name="Tc_X4YL4taaVUuQPyLxT32e2A_8_5"/>
      <w:bookmarkStart w:id="592" w:name="Tc_TDwMCdOmKEGZgrYRJTHgFQ_8_2"/>
      <w:bookmarkStart w:id="593" w:name="Tc_MRCUbr9gY0e1BYYaZW3o4w_8_0"/>
      <w:bookmarkStart w:id="594" w:name="Tc_zlXRppbGMU-i61KJGN5qqg_7_0"/>
      <w:bookmarkStart w:id="595" w:name="Tc_1rVmAzeVJkmypEroso231g_6_0"/>
      <w:bookmarkStart w:id="596" w:name="Tc_olNCSqX9nkuGCtRZCRxvYg_5_5"/>
      <w:bookmarkStart w:id="597" w:name="Tc_I99876GG80y37MfG6fohyw_5_2"/>
      <w:bookmarkStart w:id="598" w:name="Tc_MEF2DTDQl0CSvP9PdloP7Q_5_0"/>
      <w:bookmarkStart w:id="599" w:name="Tc_9xLyRii_9kWzKef_cUUmZw_4_0"/>
      <w:bookmarkStart w:id="600" w:name="Tc_ug7O-cQA0UeczPViRRQgHA_3_2"/>
      <w:bookmarkStart w:id="601" w:name="Tc_guNX24i5UEGY7VJXfhU-zw_2_5"/>
      <w:bookmarkStart w:id="602" w:name="Tc_66GWrG-I106uQDtCU9fsqg_2_2"/>
      <w:bookmarkStart w:id="603" w:name="Tc_oNETtuGEhUOX_hZ2UgwIxQ_1_5"/>
      <w:bookmarkStart w:id="604" w:name="Tc_kf2JIuiMSkq6k485RNH-Jw_1_2"/>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r>
        <w:rPr>
          <w:rFonts w:ascii="Times New Roman;Times;serif" w:hAnsi="Times New Roman;Times;serif"/>
          <w:b/>
          <w:sz w:val="20"/>
        </w:rPr>
        <w:t>Note 3 – Accounts receivable, net:</w:t>
      </w:r>
    </w:p>
    <w:p>
      <w:pPr>
        <w:pStyle w:val="TextBody"/>
        <w:bidi w:val="0"/>
        <w:spacing w:before="0" w:after="0"/>
        <w:ind w:left="0" w:right="0" w:hanging="0"/>
        <w:jc w:val="left"/>
        <w:rPr/>
      </w:pPr>
      <w:r>
        <w:rPr/>
        <w:t>​</w:t>
      </w:r>
    </w:p>
    <w:tbl>
      <w:tblPr>
        <w:tblW w:w="5765" w:type="dxa"/>
        <w:jc w:val="left"/>
        <w:tblInd w:w="0" w:type="dxa"/>
        <w:tblLayout w:type="fixed"/>
        <w:tblCellMar>
          <w:top w:w="0" w:type="dxa"/>
          <w:left w:w="0" w:type="dxa"/>
          <w:bottom w:w="0" w:type="dxa"/>
          <w:right w:w="0" w:type="dxa"/>
        </w:tblCellMar>
      </w:tblPr>
      <w:tblGrid>
        <w:gridCol w:w="2776"/>
        <w:gridCol w:w="346"/>
        <w:gridCol w:w="310"/>
        <w:gridCol w:w="995"/>
        <w:gridCol w:w="346"/>
        <w:gridCol w:w="211"/>
        <w:gridCol w:w="781"/>
      </w:tblGrid>
      <w:tr>
        <w:trPr/>
        <w:tc>
          <w:tcPr>
            <w:tcW w:w="27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4"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96850" cy="175260"/>
                      <wp:effectExtent l="0" t="0" r="0" b="0"/>
                      <wp:wrapNone/>
                      <wp:docPr id="75" name="Frame75"/>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31825" cy="175260"/>
                      <wp:effectExtent l="0" t="0" r="0" b="0"/>
                      <wp:wrapNone/>
                      <wp:docPr id="76" name="Frame76"/>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7"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3985" cy="175260"/>
                      <wp:effectExtent l="0" t="0" r="0" b="0"/>
                      <wp:wrapNone/>
                      <wp:docPr id="78" name="Frame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495935" cy="175260"/>
                      <wp:effectExtent l="0" t="0" r="0" b="0"/>
                      <wp:wrapNone/>
                      <wp:docPr id="79" name="Frame7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27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576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7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43"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shd w:fill="CCEEFF" w:val="clear"/>
            <w:vAlign w:val="center"/>
          </w:tcPr>
          <w:p>
            <w:pPr>
              <w:pStyle w:val="TableContents"/>
              <w:bidi w:val="0"/>
              <w:spacing w:before="0" w:after="0"/>
              <w:ind w:left="0" w:right="0" w:hanging="0"/>
              <w:jc w:val="left"/>
              <w:rPr/>
            </w:pPr>
            <w:r>
              <w:rPr/>
              <w:t> </w:t>
            </w:r>
          </w:p>
        </w:tc>
        <w:tc>
          <w:tcPr>
            <w:tcW w:w="310"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11,474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14,471</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5,163</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doubtful accounts</w:t>
            </w:r>
          </w:p>
        </w:tc>
        <w:tc>
          <w:tcPr>
            <w:tcW w:w="34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accounts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19,564</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240" w:after="240"/>
        <w:ind w:left="0" w:right="0" w:hanging="0"/>
        <w:jc w:val="left"/>
        <w:rPr>
          <w:rFonts w:ascii="Times New Roman;Times;serif" w:hAnsi="Times New Roman;Times;serif"/>
          <w:b/>
          <w:sz w:val="20"/>
        </w:rPr>
      </w:pPr>
      <w:bookmarkStart w:id="605" w:name="Tc_sTem5FQlZE6MhoxBlk6HJw_16_5"/>
      <w:bookmarkStart w:id="606" w:name="Tc_KDcQoAPjTEGqiMb2Qre11g_16_2"/>
      <w:bookmarkStart w:id="607" w:name="Tc_fcZXDdHlnUWxlg2ENHVxOQ_16_0"/>
      <w:bookmarkStart w:id="608" w:name="Tc_-lCuejjgL0u56Ast_t9pew_15_0"/>
      <w:bookmarkStart w:id="609" w:name="Tc_d-ES8A-F_0u429bBKIESAQ_14_0"/>
      <w:bookmarkStart w:id="610" w:name="Tc_JFCbFXyGTkeM_nR7AXeVLA_13_0"/>
      <w:bookmarkStart w:id="611" w:name="Tc_JigsSky0ykKnP5GtKnkXyA_12_0"/>
      <w:bookmarkStart w:id="612" w:name="Tc_hpDq7ZSEXU-F18C8u7Y9lA_11_0"/>
      <w:bookmarkStart w:id="613" w:name="Tc_m1dxEP6QKU6MIrddldFkSg_10_0"/>
      <w:bookmarkStart w:id="614" w:name="Tc_F2QPsxHkpEaAxQmfdfnTYg_9_0"/>
      <w:bookmarkStart w:id="615" w:name="Tc_WKo8P9bXk0CBFms50VB32w_8_0"/>
      <w:bookmarkStart w:id="616" w:name="Tc_lTlp0UOUlEiAYbRo6vEB0w_7_0"/>
      <w:bookmarkStart w:id="617" w:name="Tc_FLAEuLOdIUG3lkXTcVXWmg_6_0"/>
      <w:bookmarkStart w:id="618" w:name="Tc_4z0b4VA7bU2QASIhVQnb5A_5_5"/>
      <w:bookmarkStart w:id="619" w:name="Tc_clU05w4UFE6ash3ZmqO4pw_5_2"/>
      <w:bookmarkStart w:id="620" w:name="Tc_jJw8Bo4o10mW8ZgPIr7Rew_5_0"/>
      <w:bookmarkStart w:id="621" w:name="Tc_VbsFbzG4ck-xM10mbZnrkg_4_0"/>
      <w:bookmarkStart w:id="622" w:name="Tc_LL3Nu3Nh9EiR5udY_ZCpXA_3_2"/>
      <w:bookmarkStart w:id="623" w:name="Tc_WaODt_pWL063YQXylWiiKQ_2_5"/>
      <w:bookmarkStart w:id="624" w:name="Tc_QWbZopIUhU-b9mXAFaBvkw_2_2"/>
      <w:bookmarkStart w:id="625" w:name="Tc_D-0CSN1O_UCl0DawCo3jrw_1_5"/>
      <w:bookmarkStart w:id="626" w:name="Tc_OadROXCtz06CSC-IpW0g4A_1_2"/>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r>
        <w:rPr>
          <w:rFonts w:ascii="Times New Roman;Times;serif" w:hAnsi="Times New Roman;Times;serif"/>
          <w:b/>
          <w:sz w:val="20"/>
        </w:rPr>
        <w:t>Note 4 – Inventories, net:</w:t>
      </w:r>
    </w:p>
    <w:p>
      <w:pPr>
        <w:pStyle w:val="TextBody"/>
        <w:bidi w:val="0"/>
        <w:spacing w:before="0" w:after="0"/>
        <w:ind w:left="0" w:right="0" w:hanging="0"/>
        <w:jc w:val="left"/>
        <w:rPr/>
      </w:pPr>
      <w:r>
        <w:rPr/>
        <w:t>​</w:t>
      </w:r>
    </w:p>
    <w:tbl>
      <w:tblPr>
        <w:tblW w:w="4880" w:type="dxa"/>
        <w:jc w:val="left"/>
        <w:tblInd w:w="0" w:type="dxa"/>
        <w:tblLayout w:type="fixed"/>
        <w:tblCellMar>
          <w:top w:w="0" w:type="dxa"/>
          <w:left w:w="0" w:type="dxa"/>
          <w:bottom w:w="0" w:type="dxa"/>
          <w:right w:w="0" w:type="dxa"/>
        </w:tblCellMar>
      </w:tblPr>
      <w:tblGrid>
        <w:gridCol w:w="1891"/>
        <w:gridCol w:w="346"/>
        <w:gridCol w:w="310"/>
        <w:gridCol w:w="995"/>
        <w:gridCol w:w="346"/>
        <w:gridCol w:w="211"/>
        <w:gridCol w:w="781"/>
      </w:tblGrid>
      <w:tr>
        <w:trPr/>
        <w:tc>
          <w:tcPr>
            <w:tcW w:w="1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80"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96850" cy="175260"/>
                      <wp:effectExtent l="0" t="0" r="0" b="0"/>
                      <wp:wrapNone/>
                      <wp:docPr id="81" name="Frame81"/>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31825" cy="175260"/>
                      <wp:effectExtent l="0" t="0" r="0" b="0"/>
                      <wp:wrapNone/>
                      <wp:docPr id="82" name="Frame82"/>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83"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3985" cy="175260"/>
                      <wp:effectExtent l="0" t="0" r="0" b="0"/>
                      <wp:wrapNone/>
                      <wp:docPr id="84" name="Frame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495935" cy="175260"/>
                      <wp:effectExtent l="0" t="0" r="0" b="0"/>
                      <wp:wrapNone/>
                      <wp:docPr id="85" name="Frame8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1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488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43"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0" w:after="0"/>
              <w:ind w:left="0" w:right="0" w:hanging="0"/>
              <w:jc w:val="left"/>
              <w:rPr/>
            </w:pPr>
            <w:r>
              <w:rPr/>
              <w:t> </w:t>
            </w:r>
          </w:p>
        </w:tc>
        <w:tc>
          <w:tcPr>
            <w:tcW w:w="310"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3,802</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2,081</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raw materials</w:t>
            </w:r>
          </w:p>
        </w:tc>
        <w:tc>
          <w:tcPr>
            <w:tcW w:w="34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5,883</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Work-in-process:</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14,313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14,621</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6,568</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work-in-process</w:t>
            </w:r>
          </w:p>
        </w:tc>
        <w:tc>
          <w:tcPr>
            <w:tcW w:w="34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19,907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21,189</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2,942</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1,742</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finished goods</w:t>
            </w:r>
          </w:p>
        </w:tc>
        <w:tc>
          <w:tcPr>
            <w:tcW w:w="34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4,684</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inventories, net</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31,756</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240" w:after="240"/>
        <w:ind w:left="0" w:right="0" w:hanging="0"/>
        <w:jc w:val="left"/>
        <w:rPr>
          <w:rFonts w:ascii="Times New Roman;Times;serif" w:hAnsi="Times New Roman;Times;serif"/>
          <w:b/>
          <w:sz w:val="20"/>
        </w:rPr>
      </w:pPr>
      <w:bookmarkStart w:id="627" w:name="Tc_Bo6kAoVCP0e4M9C_id9IxA_18_5"/>
      <w:bookmarkStart w:id="628" w:name="Tc_03a2MvQNtk2tV0CQqqpfoQ_18_2"/>
      <w:bookmarkStart w:id="629" w:name="Tc_wsKX7GIckEabsmY7I7BKgg_18_0"/>
      <w:bookmarkStart w:id="630" w:name="Tc_35UGpsqpREm9q6qcPfjIbg_17_0"/>
      <w:bookmarkStart w:id="631" w:name="Tc_UrVAfVRfaku_ed-nAyPTpQ_16_0"/>
      <w:bookmarkStart w:id="632" w:name="Tc_nGwgz0q2PE2lJ0cJY-cdTg_15_0"/>
      <w:bookmarkStart w:id="633" w:name="Tc_olFyNpKxfkyAd4-U9X9d9A_14_0"/>
      <w:bookmarkStart w:id="634" w:name="Tc_-94vyfJAHkyNwdsxkvRUoA_13_3"/>
      <w:bookmarkStart w:id="635" w:name="Tc_9HI_cTKQcEarlvt--e17Ew_12_0"/>
      <w:bookmarkStart w:id="636" w:name="Tc_Xp0qr8iG80qI3s9Loo_2wA_11_0"/>
      <w:bookmarkStart w:id="637" w:name="Tc_QWgZGDwzD0eHKsQdX0aTrA_10_0"/>
      <w:bookmarkStart w:id="638" w:name="Tc_rkHdi68WFE-xymJMu4jOfQ_9_0"/>
      <w:bookmarkStart w:id="639" w:name="Tc_cC97gK6onkqdNOsjuSJzvg_8_0"/>
      <w:bookmarkStart w:id="640" w:name="Tc_y6efwGl-W0eMR-N4DGvxyg_7_6"/>
      <w:bookmarkStart w:id="641" w:name="Tc_LyvBPX0rNk6PpZuCnkzI7g_7_0"/>
      <w:bookmarkStart w:id="642" w:name="Tc_BYkBgh5qIEmZws92nbLGKg_6_0"/>
      <w:bookmarkStart w:id="643" w:name="Tc__bE07J-nIUyc5924ZG7fdA_5_5"/>
      <w:bookmarkStart w:id="644" w:name="Tc_Jf4vnfZ6Akan-YMKOCjx2w_5_2"/>
      <w:bookmarkStart w:id="645" w:name="Tc_jIDLTrhTMkeQB77sTLqPgg_5_0"/>
      <w:bookmarkStart w:id="646" w:name="Tc_-18dZ4HQuUGivYFYKDkltA_4_0"/>
      <w:bookmarkStart w:id="647" w:name="Tc_mNK1x_sRHkSfdeZqrGX1zQ_3_2"/>
      <w:bookmarkStart w:id="648" w:name="Tc_g8f1x8oRSUi_sF5qAcVSfQ_2_5"/>
      <w:bookmarkStart w:id="649" w:name="Tc_qr0v8a7emEOTYJ8DAtDlpQ_2_2"/>
      <w:bookmarkStart w:id="650" w:name="Tc_fMpWZqpjjUeW7sqGlfDwIQ_1_5"/>
      <w:bookmarkStart w:id="651" w:name="Tc_mDvFpvz3VEeywMrp2mzMpQ_1_2"/>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r>
        <w:rPr>
          <w:rFonts w:ascii="Times New Roman;Times;serif" w:hAnsi="Times New Roman;Times;serif"/>
          <w:b/>
          <w:sz w:val="20"/>
        </w:rPr>
        <w:t>Note 5 – Accounts payable and accrued liabilities:</w:t>
      </w:r>
    </w:p>
    <w:p>
      <w:pPr>
        <w:pStyle w:val="TextBody"/>
        <w:bidi w:val="0"/>
        <w:spacing w:before="0" w:after="0"/>
        <w:ind w:left="0" w:right="0" w:hanging="0"/>
        <w:jc w:val="left"/>
        <w:rPr/>
      </w:pPr>
      <w:r>
        <w:rPr/>
        <w:t>​</w:t>
      </w:r>
    </w:p>
    <w:tbl>
      <w:tblPr>
        <w:tblW w:w="6855" w:type="dxa"/>
        <w:jc w:val="left"/>
        <w:tblInd w:w="0" w:type="dxa"/>
        <w:tblLayout w:type="fixed"/>
        <w:tblCellMar>
          <w:top w:w="0" w:type="dxa"/>
          <w:left w:w="0" w:type="dxa"/>
          <w:bottom w:w="0" w:type="dxa"/>
          <w:right w:w="0" w:type="dxa"/>
        </w:tblCellMar>
      </w:tblPr>
      <w:tblGrid>
        <w:gridCol w:w="3856"/>
        <w:gridCol w:w="346"/>
        <w:gridCol w:w="310"/>
        <w:gridCol w:w="995"/>
        <w:gridCol w:w="346"/>
        <w:gridCol w:w="211"/>
        <w:gridCol w:w="791"/>
      </w:tblGrid>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6"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96850" cy="175260"/>
                      <wp:effectExtent l="0" t="0" r="0" b="0"/>
                      <wp:wrapNone/>
                      <wp:docPr id="87" name="Frame87"/>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31825" cy="175260"/>
                      <wp:effectExtent l="0" t="0" r="0" b="0"/>
                      <wp:wrapNone/>
                      <wp:docPr id="88" name="Frame88"/>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89" name="Frame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90"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02285" cy="175260"/>
                      <wp:effectExtent l="0" t="0" r="0" b="0"/>
                      <wp:wrapNone/>
                      <wp:docPr id="91" name="Frame91"/>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0"/>
              <w:ind w:left="0" w:right="0" w:hanging="0"/>
              <w:jc w:val="left"/>
              <w:rPr/>
            </w:pPr>
            <w:r>
              <w:rPr/>
              <w:t>​</w:t>
            </w:r>
          </w:p>
        </w:tc>
        <w:tc>
          <w:tcPr>
            <w:tcW w:w="100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685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53"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 </w:t>
            </w:r>
          </w:p>
        </w:tc>
        <w:tc>
          <w:tcPr>
            <w:tcW w:w="310"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  ​</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2,956</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993</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8,444</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Taxes other than on income</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297</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553</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Insurance</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154</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Advances from customers</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166</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liability</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92</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Utilities</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tooling</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285</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accounts payable and accrued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14,131</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- 9 -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52" w:name="Tc_HUjS3BxDNUWDFgNr4RPUGQ_8_11"/>
      <w:bookmarkStart w:id="653" w:name="Tc_40zcXSaGLkiIyyzYQe_VBA_8_8"/>
      <w:bookmarkStart w:id="654" w:name="Tc_9E0UNWCjBUWwq96Au0QrEg_8_5"/>
      <w:bookmarkStart w:id="655" w:name="Tc_dAkuoiYRW0WEO_BUpKXXbQ_8_2"/>
      <w:bookmarkStart w:id="656" w:name="Tc_MAU3o0jN4EOgQSxrosTc-A_7_0"/>
      <w:bookmarkStart w:id="657" w:name="Tc_D7KNt62KJ0KkZsf3VujMpA_6_0"/>
      <w:bookmarkStart w:id="658" w:name="Tc_ut7Oq2mphkW7qBFlyE_FNQ_5_11"/>
      <w:bookmarkStart w:id="659" w:name="Tc_NnWS4k7g70uYJ2UXbCTEDQ_5_8"/>
      <w:bookmarkStart w:id="660" w:name="Tc_l4yYIu1biUGkRqHy1Nr7yg_5_5"/>
      <w:bookmarkStart w:id="661" w:name="Tc_2NyEkV5_LUOzMq_e_K5HfA_5_2"/>
      <w:bookmarkStart w:id="662" w:name="Tc_wDrRzy_R50ik0QOXd9FtXQ_5_0"/>
      <w:bookmarkStart w:id="663" w:name="Tc_uVcYmXY4jEq2HUdtxziz2Q_4_2"/>
      <w:bookmarkStart w:id="664" w:name="Tc_GJpFrh6dTkyfAMPAlDvthw_3_11"/>
      <w:bookmarkStart w:id="665" w:name="Tc_ygAjY_USjUanx4uUcSgWrg_3_8"/>
      <w:bookmarkStart w:id="666" w:name="Tc_RVtXGpcCekGoK6Bsu222LA_3_5"/>
      <w:bookmarkStart w:id="667" w:name="Tc_d4AiNQSnMUyBtjBVdD8FVQ_3_2"/>
      <w:bookmarkStart w:id="668" w:name="Tc_tN-gYYIW6kCcCMApT92wGw_2_8"/>
      <w:bookmarkStart w:id="669" w:name="Tc_w4-bC10Ot0muu6_9TTnBng_2_2"/>
      <w:bookmarkStart w:id="670" w:name="Tc_U6BXcbKP2ESa9YAKlsWLCA_1_8"/>
      <w:bookmarkStart w:id="671" w:name="Tc_Dthv0lfDr06O2mZswDmfcg_1_2"/>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r>
        <w:rPr>
          <w:rFonts w:ascii="Times New Roman;Times;serif" w:hAnsi="Times New Roman;Times;serif"/>
          <w:b/>
          <w:sz w:val="20"/>
        </w:rPr>
        <w:t>Note 6 – Income taxes: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provision for income taxes and the difference between such provision for income taxes and the amount that would be expected using the U.S. federal statutory income tax rate of 21% are presented below.</w:t>
      </w:r>
    </w:p>
    <w:p>
      <w:pPr>
        <w:pStyle w:val="TextBody"/>
        <w:bidi w:val="0"/>
        <w:spacing w:before="0" w:after="0"/>
        <w:ind w:left="0" w:right="0" w:hanging="0"/>
        <w:jc w:val="left"/>
        <w:rPr/>
      </w:pPr>
      <w:r>
        <w:rPr/>
        <w:t>​</w:t>
      </w:r>
    </w:p>
    <w:tbl>
      <w:tblPr>
        <w:tblW w:w="6841" w:type="dxa"/>
        <w:jc w:val="left"/>
        <w:tblInd w:w="0" w:type="dxa"/>
        <w:tblLayout w:type="fixed"/>
        <w:tblCellMar>
          <w:top w:w="0" w:type="dxa"/>
          <w:left w:w="0" w:type="dxa"/>
          <w:bottom w:w="0" w:type="dxa"/>
          <w:right w:w="0" w:type="dxa"/>
        </w:tblCellMar>
      </w:tblPr>
      <w:tblGrid>
        <w:gridCol w:w="2461"/>
        <w:gridCol w:w="346"/>
        <w:gridCol w:w="211"/>
        <w:gridCol w:w="571"/>
        <w:gridCol w:w="346"/>
        <w:gridCol w:w="211"/>
        <w:gridCol w:w="571"/>
        <w:gridCol w:w="109"/>
        <w:gridCol w:w="211"/>
        <w:gridCol w:w="571"/>
        <w:gridCol w:w="346"/>
        <w:gridCol w:w="211"/>
        <w:gridCol w:w="676"/>
      </w:tblGrid>
      <w:tr>
        <w:trPr/>
        <w:tc>
          <w:tcPr>
            <w:tcW w:w="24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92"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362585" cy="175260"/>
                      <wp:effectExtent l="0" t="0" r="0" b="0"/>
                      <wp:wrapNone/>
                      <wp:docPr id="94" name="Frame9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5"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6" name="Frame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362585" cy="175260"/>
                      <wp:effectExtent l="0" t="0" r="0" b="0"/>
                      <wp:wrapNone/>
                      <wp:docPr id="97" name="Frame9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9215" cy="175260"/>
                      <wp:effectExtent l="0" t="0" r="0" b="0"/>
                      <wp:wrapNone/>
                      <wp:docPr id="98" name="Frame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3985" cy="175260"/>
                      <wp:effectExtent l="0" t="0" r="0" b="0"/>
                      <wp:wrapNone/>
                      <wp:docPr id="99"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362585" cy="175260"/>
                      <wp:effectExtent l="0" t="0" r="0" b="0"/>
                      <wp:wrapNone/>
                      <wp:docPr id="100" name="Frame10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101"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2"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29260" cy="175260"/>
                      <wp:effectExtent l="0" t="0" r="0" b="0"/>
                      <wp:wrapNone/>
                      <wp:docPr id="103" name="Frame10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10"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0"/>
              <w:ind w:left="0" w:right="0" w:hanging="0"/>
              <w:jc w:val="left"/>
              <w:rPr/>
            </w:pPr>
            <w:r>
              <w:rPr/>
              <w:t>​</w:t>
            </w:r>
          </w:p>
        </w:tc>
        <w:tc>
          <w:tcPr>
            <w:tcW w:w="201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r>
      <w:tr>
        <w:trPr/>
        <w:tc>
          <w:tcPr>
            <w:tcW w:w="24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109" w:type="dxa"/>
            <w:tcBorders/>
            <w:vAlign w:val="center"/>
          </w:tcPr>
          <w:p>
            <w:pPr>
              <w:pStyle w:val="TableContents"/>
              <w:bidi w:val="0"/>
              <w:spacing w:before="0" w:after="0"/>
              <w:ind w:left="0" w:right="0" w:hanging="0"/>
              <w:jc w:val="left"/>
              <w:rPr/>
            </w:pPr>
            <w:r>
              <w:rPr/>
              <w:t>​</w:t>
            </w:r>
          </w:p>
        </w:tc>
        <w:tc>
          <w:tcPr>
            <w:tcW w:w="20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24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684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4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034" w:type="dxa"/>
            <w:gridSpan w:val="11"/>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federal statutory tax rate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2,012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3,635</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state income taxes,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530</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2,321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4,196</w:t>
            </w:r>
          </w:p>
        </w:tc>
      </w:tr>
    </w:tbl>
    <w:p>
      <w:pPr>
        <w:pStyle w:val="TextBody"/>
        <w:bidi w:val="0"/>
        <w:spacing w:before="0" w:after="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July 4, 2025, the One Big Beautiful Bill Act was signed into law.  It did not have a material impact on our consolidated financial statements.</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7 – Leases: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March 2026, we entered into an operating lease for our distribution center located in Southern California. Upon commencement, we recognized an operating lease right-of-use asset and a corresponding operating lease liability, which are included in our Condensed Consolidated Balance Sheet. As of June 30, 2026, the remaining lease term of our operating lease was approximately 7 years and the discount rate associated with such lease was 6.75%.</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Note 8 – Commitments and contingencies: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time to time, we may be involved in various environmental, contractual, product liability, patent (or intellectual property), employment and other claims and disputes incidental to our business. At least quarterly our management discusses and evaluates the status of any pending litigation to which we are a party. The factors considered in such evaluation include, among other things, the nature of such pending cases, the status of such pending cases, the advice of legal counsel and our experience in similar cases (if any). Based on such evaluation, we make a determination as to whether we believe (i) it is probable a loss has been incurred, and if so, if the amount of such loss (or a range of loss) is reasonably estimable, or (ii) it is reasonably possible, but not probable, a loss has been incurred, and if so, if the amount of such loss (or a range of loss) is reasonably estimable, or (iii) the probability a loss has been incurred is remote. We have not accrued any amounts for litigation matters because of the uncertainty of the liability and inability to reasonably estimate the liability, if any. We currently believe the disposition of all claims and disputes, individually or in the aggregate, should not have a material adverse effect on our Consolidated Financial Statements, results of operations or liquidity.</w:t>
      </w:r>
    </w:p>
    <w:p>
      <w:pPr>
        <w:pStyle w:val="TextBody"/>
        <w:bidi w:val="0"/>
        <w:spacing w:before="240" w:after="240"/>
        <w:ind w:left="0" w:right="0" w:hanging="0"/>
        <w:jc w:val="left"/>
        <w:rPr>
          <w:rFonts w:ascii="Times New Roman;Times;serif" w:hAnsi="Times New Roman;Times;serif"/>
          <w:b/>
          <w:sz w:val="20"/>
        </w:rPr>
      </w:pPr>
      <w:bookmarkStart w:id="672" w:name="Tc_hv0Vn9gRf0qgnNjYwCmdjg_5_11"/>
      <w:bookmarkStart w:id="673" w:name="Tc_Dwek3fJ6AE2JynbpXbSSkA_5_8"/>
      <w:bookmarkStart w:id="674" w:name="Tc_5uaLT8wQak-Y7fymg3_upQ_5_5"/>
      <w:bookmarkStart w:id="675" w:name="Tc_8mq7RuovR06wKTFjg0n-Hw_5_2"/>
      <w:bookmarkStart w:id="676" w:name="Tc_tkzEaWexw0Ck6VghiwNrvQ_5_0"/>
      <w:bookmarkStart w:id="677" w:name="Tc_eCR4SxNwL0aHeK9vXs54Lw_4_2"/>
      <w:bookmarkStart w:id="678" w:name="Tc__7Hvf1LxOEWk8Ytsp-uQAA_3_11"/>
      <w:bookmarkStart w:id="679" w:name="Tc_pCeanp2blkq2nOBA6JRyxg_3_8"/>
      <w:bookmarkStart w:id="680" w:name="Tc_723Mc8Ob_0SHs4qnUgS8UQ_3_5"/>
      <w:bookmarkStart w:id="681" w:name="Tc_T7EcMDEnOUuujNF1kBMnhg_3_2"/>
      <w:bookmarkStart w:id="682" w:name="Tc_3REPwC8T5E6wzr144qSDxQ_2_11"/>
      <w:bookmarkStart w:id="683" w:name="Tc_JVwOQGaZqU6I6xcd2Y28eg_2_8"/>
      <w:bookmarkStart w:id="684" w:name="Tc_D710_PwKQ0W2-5BX_YjHnA_2_5"/>
      <w:bookmarkStart w:id="685" w:name="Tc_gi-niFPtt0qywRRBJz8o7Q_2_2"/>
      <w:bookmarkStart w:id="686" w:name="Tc_2gU3ZGZAfEKl_QV34bHEnQ_1_8"/>
      <w:bookmarkStart w:id="687" w:name="Tc_ryEPVlX0EEy0LW28ue-8wA_1_2"/>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r>
        <w:rPr>
          <w:rFonts w:ascii="Times New Roman;Times;serif" w:hAnsi="Times New Roman;Times;serif"/>
          <w:b/>
          <w:sz w:val="20"/>
        </w:rPr>
        <w:t>Note 9 – Financial instruments: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presents the financial instruments that are not carried at fair value but which require fair value disclosure:</w:t>
      </w:r>
    </w:p>
    <w:p>
      <w:pPr>
        <w:pStyle w:val="TextBody"/>
        <w:bidi w:val="0"/>
        <w:spacing w:before="0" w:after="0"/>
        <w:ind w:left="0" w:right="0" w:hanging="0"/>
        <w:jc w:val="left"/>
        <w:rPr/>
      </w:pPr>
      <w:r>
        <w:rPr/>
        <w:t>​</w:t>
      </w:r>
    </w:p>
    <w:tbl>
      <w:tblPr>
        <w:tblW w:w="7331" w:type="dxa"/>
        <w:jc w:val="left"/>
        <w:tblInd w:w="0" w:type="dxa"/>
        <w:tblLayout w:type="fixed"/>
        <w:tblCellMar>
          <w:top w:w="0" w:type="dxa"/>
          <w:left w:w="0" w:type="dxa"/>
          <w:bottom w:w="0" w:type="dxa"/>
          <w:right w:w="0" w:type="dxa"/>
        </w:tblCellMar>
      </w:tblPr>
      <w:tblGrid>
        <w:gridCol w:w="2266"/>
        <w:gridCol w:w="346"/>
        <w:gridCol w:w="214"/>
        <w:gridCol w:w="687"/>
        <w:gridCol w:w="346"/>
        <w:gridCol w:w="211"/>
        <w:gridCol w:w="676"/>
        <w:gridCol w:w="346"/>
        <w:gridCol w:w="214"/>
        <w:gridCol w:w="687"/>
        <w:gridCol w:w="346"/>
        <w:gridCol w:w="211"/>
        <w:gridCol w:w="781"/>
      </w:tblGrid>
      <w:tr>
        <w:trPr/>
        <w:tc>
          <w:tcPr>
            <w:tcW w:w="22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4"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5890" cy="175260"/>
                      <wp:effectExtent l="0" t="0" r="0" b="0"/>
                      <wp:wrapNone/>
                      <wp:docPr id="105" name="Frame105"/>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436245" cy="175260"/>
                      <wp:effectExtent l="0" t="0" r="0" b="0"/>
                      <wp:wrapNone/>
                      <wp:docPr id="106" name="Frame106"/>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7"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8" name="Frame1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29260" cy="175260"/>
                      <wp:effectExtent l="0" t="0" r="0" b="0"/>
                      <wp:wrapNone/>
                      <wp:docPr id="109" name="Frame10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10"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5890" cy="175260"/>
                      <wp:effectExtent l="0" t="0" r="0" b="0"/>
                      <wp:wrapNone/>
                      <wp:docPr id="111" name="Frame111"/>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36245" cy="175260"/>
                      <wp:effectExtent l="0" t="0" r="0" b="0"/>
                      <wp:wrapNone/>
                      <wp:docPr id="112" name="Frame112"/>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3"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4"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95935" cy="175260"/>
                      <wp:effectExtent l="0" t="0" r="0" b="0"/>
                      <wp:wrapNone/>
                      <wp:docPr id="115" name="Frame11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3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346" w:type="dxa"/>
            <w:tcBorders/>
            <w:vAlign w:val="center"/>
          </w:tcPr>
          <w:p>
            <w:pPr>
              <w:pStyle w:val="TableContents"/>
              <w:bidi w:val="0"/>
              <w:spacing w:before="0" w:after="1"/>
              <w:ind w:left="0" w:right="0" w:hanging="0"/>
              <w:jc w:val="left"/>
              <w:rPr/>
            </w:pPr>
            <w:r>
              <w:rPr/>
              <w:t>​</w:t>
            </w:r>
          </w:p>
        </w:tc>
        <w:tc>
          <w:tcPr>
            <w:tcW w:w="223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2026</w:t>
            </w:r>
          </w:p>
        </w:tc>
      </w:tr>
      <w:tr>
        <w:trPr/>
        <w:tc>
          <w:tcPr>
            <w:tcW w:w="22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Fair</w:t>
            </w:r>
          </w:p>
        </w:tc>
        <w:tc>
          <w:tcPr>
            <w:tcW w:w="346"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Fair</w:t>
            </w:r>
          </w:p>
        </w:tc>
      </w:tr>
      <w:tr>
        <w:trPr/>
        <w:tc>
          <w:tcPr>
            <w:tcW w:w="22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value</w:t>
            </w:r>
          </w:p>
        </w:tc>
        <w:tc>
          <w:tcPr>
            <w:tcW w:w="346" w:type="dxa"/>
            <w:tcBorders/>
            <w:vAlign w:val="center"/>
          </w:tcPr>
          <w:p>
            <w:pPr>
              <w:pStyle w:val="TableContents"/>
              <w:bidi w:val="0"/>
              <w:spacing w:before="0" w:after="1"/>
              <w:ind w:left="0" w:right="0" w:hanging="0"/>
              <w:jc w:val="left"/>
              <w:rPr/>
            </w:pPr>
            <w:r>
              <w:rPr/>
              <w:t>  ​ ​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value</w:t>
            </w:r>
          </w:p>
        </w:tc>
      </w:tr>
      <w:tr>
        <w:trPr/>
        <w:tc>
          <w:tcPr>
            <w:tcW w:w="733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2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719" w:type="dxa"/>
            <w:gridSpan w:val="11"/>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54,096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54,096</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52,421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52,421</w:t>
            </w:r>
          </w:p>
        </w:tc>
      </w:tr>
    </w:tbl>
    <w:p>
      <w:pPr>
        <w:pStyle w:val="TextBody"/>
        <w:bidi w:val="0"/>
        <w:spacing w:before="0" w:after="0"/>
        <w:ind w:left="0" w:right="0" w:hanging="0"/>
        <w:jc w:val="left"/>
        <w:rPr/>
      </w:pPr>
      <w:r>
        <w:rPr/>
        <w: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Due to their near-term maturities, the carrying amounts of accounts receivable and accounts payable are considered equivalent to fair value. See Notes 3 and 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10 – Related party transactions: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From time to time, we may have loans and advances outstanding between us and various related parties pursuant to term and demand notes. We generally enter into these loans and advances for cash management purposes. When we loan funds to related parties, we are generally able to earn a higher rate of return on the loan than we would earn if we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- 10 -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invested the funds in other instruments, and when we borrow from related parties, we are generally able to pay a lower rate of interest than we would pay if we had incurred third-party indebtedness. While certain of these loans to affiliates may be of a lesser credit quality than cash equivalent instruments otherwise available to us, we believe we have considered the credit risks in the terms of the applicable loans. In this regard, we have an unsecured revolving demand promissory note with Valhi under which, as amended, we agreed to loan Valhi up to $25 million. Our loan to Valhi, as amended, bears interest at prime plus 1.00%, payable quarterly, with all principal due on demand, but in any event no earlier than December 31, 2027. Loans made to Valhi at any time under the agreement are at our discretion. At June 30, 2026, the outstanding principal balance receivable from Valhi under the promissory note was $6.8 million. Interest income (including unused commitment fees) on our loan to Valhi was $.4 million for each of the six months ended June 30, 2025 and 2026.</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11 – Recent accounting pronouncements: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November 2024, the FASB issued ASU No. 2024-03, </w:t>
      </w:r>
      <w:r>
        <w:rPr>
          <w:rFonts w:ascii="Times New Roman;Times;serif" w:hAnsi="Times New Roman;Times;serif"/>
          <w:i/>
          <w:sz w:val="20"/>
        </w:rPr>
        <w:t>Reporting Comprehensive Income - Expense Disaggregation Disclosures</w:t>
      </w:r>
      <w:r>
        <w:rPr>
          <w:rFonts w:ascii="Times New Roman;Times;serif" w:hAnsi="Times New Roman;Times;serif"/>
          <w:sz w:val="20"/>
        </w:rPr>
        <w:t>. The ASU requires additional information about specific expense categories in the notes to financial statements for both interim and annual reporting periods. The ASU is effective for us beginning with our 2027 Annual Report, and for interim reporting in the first quarter of 2028, with early adoption permitted. We are in the process of evaluating the additional disclosure requirements.</w:t>
      </w:r>
    </w:p>
    <w:p>
      <w:pPr>
        <w:pStyle w:val="Normal"/>
        <w:bidi w:val="0"/>
        <w:spacing w:before="0" w:after="0"/>
        <w:jc w:val="left"/>
        <w:rPr>
          <w:sz w:val="4"/>
          <w:szCs w:val="4"/>
        </w:rPr>
      </w:pPr>
      <w:r>
        <w:rPr>
          <w:sz w:val="4"/>
          <w:szCs w:val="4"/>
        </w:rPr>
      </w:r>
      <w:bookmarkStart w:id="688" w:name="ITEM2MANAGEMENTSDISCUSSIONANDANALYSIS_62"/>
      <w:bookmarkStart w:id="689" w:name="_c434e51f_f66c_4c3c_a0a3_c01abf0a8bfb"/>
      <w:bookmarkStart w:id="690" w:name="ITEM2MANAGEMENTSDISCUSSIONANDANALYSIS_62"/>
      <w:bookmarkStart w:id="691" w:name="_c434e51f_f66c_4c3c_a0a3_c01abf0a8bfb"/>
      <w:bookmarkEnd w:id="690"/>
      <w:bookmarkEnd w:id="691"/>
    </w:p>
    <w:tbl>
      <w:tblPr>
        <w:tblW w:w="10205" w:type="dxa"/>
        <w:jc w:val="left"/>
        <w:tblInd w:w="0" w:type="dxa"/>
        <w:tblLayout w:type="fixed"/>
        <w:tblCellMar>
          <w:top w:w="0" w:type="dxa"/>
          <w:left w:w="0" w:type="dxa"/>
          <w:bottom w:w="0" w:type="dxa"/>
          <w:right w:w="0" w:type="dxa"/>
        </w:tblCellMar>
      </w:tblPr>
      <w:tblGrid>
        <w:gridCol w:w="837"/>
        <w:gridCol w:w="9368"/>
      </w:tblGrid>
      <w:tr>
        <w:trPr/>
        <w:tc>
          <w:tcPr>
            <w:tcW w:w="837"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2.</w:t>
            </w:r>
          </w:p>
        </w:tc>
        <w:tc>
          <w:tcPr>
            <w:tcW w:w="9368"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leading manufacturer of engineered components utilized in a variety of applications and industries. Through our Security Products segment we manufacture mechanical and electrical cabinet locks and other locking mechanisms used in postal, recreational transportation, office and institutional furniture, cabinetry, tool storage and healthcare applications. We also manufacture wake enhancement systems, stainless steel exhaust systems, custom metal fabricated parts, gauges, throttle controls, trim tabs and related hardware and accessories for the recreational marine and other industries through our Marine Components segment.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Quarterly Report on Form 10-Q contains forward-looking statements within the meaning of the Private Securities Litigation Reform Act of 1995, as amended. Statements in this Quarterly Report that are not historical facts are forward-looking in nature and represent management’s beliefs and assumptions based on currently available information. In some cases, you can identify forward-looking statements by the use of words such as “believes,” “intends,” “may,” “should,” “could,” “anticipates,” “expects” or comparable terminology, or by discussions of strategies or trends. Although we believe that the expectations reflected in such forward-looking statements are reasonable, we do not know if these expectations will be correct. Such statements by their nature involve substantial risks and uncertainties that could significantly impact expected results. Actual future results could differ materially from those predicted. The factors that could cause actual future results to differ materially from those described herein are the risks and uncertainties discussed in this Quarterly Report and those described from time to time in our other filings with the SEC and include, but are not limited to, the following:</w:t>
      </w:r>
    </w:p>
    <w:tbl>
      <w:tblPr>
        <w:tblW w:w="4086" w:type="dxa"/>
        <w:jc w:val="left"/>
        <w:tblInd w:w="0" w:type="dxa"/>
        <w:tblLayout w:type="fixed"/>
        <w:tblCellMar>
          <w:top w:w="28" w:type="dxa"/>
          <w:left w:w="28" w:type="dxa"/>
          <w:bottom w:w="28" w:type="dxa"/>
          <w:right w:w="28" w:type="dxa"/>
        </w:tblCellMar>
      </w:tblPr>
      <w:tblGrid>
        <w:gridCol w:w="124"/>
        <w:gridCol w:w="256"/>
        <w:gridCol w:w="3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supply and demand for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raw material and other operating costs (such as zinc, brass, aluminum, steel and energy costs), including as a result of additional or changed tariffs on imported raw materials, and our ability to pass those costs on to our customers or offset them with reductions in other operating costs;</w:t>
            </w:r>
          </w:p>
        </w:tc>
      </w:tr>
    </w:tbl>
    <w:tbl>
      <w:tblPr>
        <w:tblW w:w="7371" w:type="dxa"/>
        <w:jc w:val="left"/>
        <w:tblInd w:w="0" w:type="dxa"/>
        <w:tblLayout w:type="fixed"/>
        <w:tblCellMar>
          <w:top w:w="28" w:type="dxa"/>
          <w:left w:w="28" w:type="dxa"/>
          <w:bottom w:w="28" w:type="dxa"/>
          <w:right w:w="28" w:type="dxa"/>
        </w:tblCellMar>
      </w:tblPr>
      <w:tblGrid>
        <w:gridCol w:w="124"/>
        <w:gridCol w:w="256"/>
        <w:gridCol w:w="6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and product competition from low-cost manufacturing sources (such as China);</w:t>
            </w:r>
          </w:p>
        </w:tc>
      </w:tr>
    </w:tbl>
    <w:tbl>
      <w:tblPr>
        <w:tblW w:w="4446" w:type="dxa"/>
        <w:jc w:val="left"/>
        <w:tblInd w:w="0" w:type="dxa"/>
        <w:tblLayout w:type="fixed"/>
        <w:tblCellMar>
          <w:top w:w="28" w:type="dxa"/>
          <w:left w:w="28" w:type="dxa"/>
          <w:bottom w:w="28" w:type="dxa"/>
          <w:right w:w="28" w:type="dxa"/>
        </w:tblCellMar>
      </w:tblPr>
      <w:tblGrid>
        <w:gridCol w:w="124"/>
        <w:gridCol w:w="256"/>
        <w:gridCol w:w="40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pricing and production decisions;</w:t>
            </w:r>
          </w:p>
        </w:tc>
      </w:tr>
    </w:tbl>
    <w:tbl>
      <w:tblPr>
        <w:tblW w:w="5886" w:type="dxa"/>
        <w:jc w:val="left"/>
        <w:tblInd w:w="0" w:type="dxa"/>
        <w:tblLayout w:type="fixed"/>
        <w:tblCellMar>
          <w:top w:w="28" w:type="dxa"/>
          <w:left w:w="28" w:type="dxa"/>
          <w:bottom w:w="28" w:type="dxa"/>
          <w:right w:w="28" w:type="dxa"/>
        </w:tblCellMar>
      </w:tblPr>
      <w:tblGrid>
        <w:gridCol w:w="124"/>
        <w:gridCol w:w="256"/>
        <w:gridCol w:w="5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and competitor strategies including substitute products;</w:t>
            </w:r>
          </w:p>
        </w:tc>
      </w:tr>
    </w:tbl>
    <w:tbl>
      <w:tblPr>
        <w:tblW w:w="3396" w:type="dxa"/>
        <w:jc w:val="left"/>
        <w:tblInd w:w="0" w:type="dxa"/>
        <w:tblLayout w:type="fixed"/>
        <w:tblCellMar>
          <w:top w:w="28" w:type="dxa"/>
          <w:left w:w="28" w:type="dxa"/>
          <w:bottom w:w="28" w:type="dxa"/>
          <w:right w:w="28" w:type="dxa"/>
        </w:tblCellMar>
      </w:tblPr>
      <w:tblGrid>
        <w:gridCol w:w="124"/>
        <w:gridCol w:w="256"/>
        <w:gridCol w:w="3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key customers;</w:t>
            </w:r>
          </w:p>
        </w:tc>
      </w:tr>
    </w:tbl>
    <w:tbl>
      <w:tblPr>
        <w:tblW w:w="8811" w:type="dxa"/>
        <w:jc w:val="left"/>
        <w:tblInd w:w="0" w:type="dxa"/>
        <w:tblLayout w:type="fixed"/>
        <w:tblCellMar>
          <w:top w:w="28" w:type="dxa"/>
          <w:left w:w="28" w:type="dxa"/>
          <w:bottom w:w="28" w:type="dxa"/>
          <w:right w:w="28" w:type="dxa"/>
        </w:tblCellMar>
      </w:tblPr>
      <w:tblGrid>
        <w:gridCol w:w="124"/>
        <w:gridCol w:w="256"/>
        <w:gridCol w:w="8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associated with new product development and the development of new product features;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- 11 -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or possible future litigation (such as litigation related to our use of certain permitted chemicals in our production process) or other actions;</w:t>
            </w:r>
          </w:p>
        </w:tc>
      </w:tr>
    </w:tbl>
    <w:tbl>
      <w:tblPr>
        <w:tblW w:w="5646" w:type="dxa"/>
        <w:jc w:val="left"/>
        <w:tblInd w:w="0" w:type="dxa"/>
        <w:tblLayout w:type="fixed"/>
        <w:tblCellMar>
          <w:top w:w="28" w:type="dxa"/>
          <w:left w:w="28" w:type="dxa"/>
          <w:bottom w:w="28" w:type="dxa"/>
          <w:right w:w="28" w:type="dxa"/>
        </w:tblCellMar>
      </w:tblPr>
      <w:tblGrid>
        <w:gridCol w:w="124"/>
        <w:gridCol w:w="256"/>
        <w:gridCol w:w="5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or defend our intellectual property rights;</w:t>
            </w:r>
          </w:p>
        </w:tc>
      </w:tr>
    </w:tbl>
    <w:tbl>
      <w:tblPr>
        <w:tblW w:w="6891" w:type="dxa"/>
        <w:jc w:val="left"/>
        <w:tblInd w:w="0" w:type="dxa"/>
        <w:tblLayout w:type="fixed"/>
        <w:tblCellMar>
          <w:top w:w="28" w:type="dxa"/>
          <w:left w:w="28" w:type="dxa"/>
          <w:bottom w:w="28" w:type="dxa"/>
          <w:right w:w="28" w:type="dxa"/>
        </w:tblCellMar>
      </w:tblPr>
      <w:tblGrid>
        <w:gridCol w:w="124"/>
        <w:gridCol w:w="256"/>
        <w:gridCol w:w="6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Decisions to sell operating assets other than in the ordinary course of business;</w:t>
            </w:r>
          </w:p>
        </w:tc>
      </w:tr>
    </w:tbl>
    <w:tbl>
      <w:tblPr>
        <w:tblW w:w="9651" w:type="dxa"/>
        <w:jc w:val="left"/>
        <w:tblInd w:w="0" w:type="dxa"/>
        <w:tblLayout w:type="fixed"/>
        <w:tblCellMar>
          <w:top w:w="28" w:type="dxa"/>
          <w:left w:w="28" w:type="dxa"/>
          <w:bottom w:w="28" w:type="dxa"/>
          <w:right w:w="28" w:type="dxa"/>
        </w:tblCellMar>
      </w:tblPr>
      <w:tblGrid>
        <w:gridCol w:w="124"/>
        <w:gridCol w:w="256"/>
        <w:gridCol w:w="9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matters (such as those requiring emission and discharge standards for existing and new facilities);</w:t>
            </w:r>
          </w:p>
        </w:tc>
      </w:tr>
    </w:tbl>
    <w:tbl>
      <w:tblPr>
        <w:tblW w:w="10056" w:type="dxa"/>
        <w:jc w:val="left"/>
        <w:tblInd w:w="0" w:type="dxa"/>
        <w:tblLayout w:type="fixed"/>
        <w:tblCellMar>
          <w:top w:w="28" w:type="dxa"/>
          <w:left w:w="28" w:type="dxa"/>
          <w:bottom w:w="28" w:type="dxa"/>
          <w:right w:w="28" w:type="dxa"/>
        </w:tblCellMar>
      </w:tblPr>
      <w:tblGrid>
        <w:gridCol w:w="124"/>
        <w:gridCol w:w="256"/>
        <w:gridCol w:w="9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ultimate outcome of income tax audits, tax settlement initiatives or other tax matters, including future tax reform;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laws and regulations and possible changes therein including new environmental, health and safety, sustainability or other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global economic and political conditions that disrupt our supply chain, reduce demand or perceived demand for component products or impair our ability to operate our facilities (including changes in the level of gross domestic product in various regions of the world, natural disasters, terrorist acts, global conflicts and public health crises);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interruptions (including, but not limited to, labor disputes, leaks, natural disasters, fires, explosions, unscheduled or unplanned downtime, transportation interruptions, certain regional and world events or economic conditions and public health crises);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introduction of new, or changes in existing, tariffs, trade barriers or trade disputes (including tariffs imposed by the U.S. government on imports from China and Mexico);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related disruptions (including, but not limited to, cyber-attacks; software implementation, upgrades or improvements; technology processing failures; or other events) related to our technology infrastructure that could impact our ability to continue operations, or at key vendors which could impact our supply chain, or at key customers which could impact their operations and cause them to curtail or pause orders;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disruption of our business or increases in the cost of doing business resulting from terrorist activities or global conflicts.</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Should one or more of these risks materialize (or the consequences of such development worsen), or should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Operating Income Overview </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Operating income in the second quarter of 2026 was $8.9 million compared to $6.3 million in the same period of 2025. Operating income for the first six months of 2026 was $16.0 million compared to $12.2 million for the comparable prior year period. Our operating income increased in the second quarter and for the first six months of 2026 due to higher sales and gross margins, predominantly at the Security Products segment and, to a lesser extent, at the Marine Components segment.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We sell a large number of products that have a wide variation in selling price and manufacturing cost, which results in certain practical limitations on our ability to quantify the impact of changes in individual product sales quantities and selling prices on our net sales, cost of sales and gross margin. In addition, small variations in period-to-period net sales, cost of sales and gross margin can result from changes in the relative mix of our products sold.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- 12 -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tbl>
      <w:tblPr>
        <w:tblW w:w="6767" w:type="dxa"/>
        <w:jc w:val="left"/>
        <w:tblInd w:w="0" w:type="dxa"/>
        <w:tblLayout w:type="fixed"/>
        <w:tblCellMar>
          <w:top w:w="0" w:type="dxa"/>
          <w:left w:w="0" w:type="dxa"/>
          <w:bottom w:w="0" w:type="dxa"/>
          <w:right w:w="0" w:type="dxa"/>
        </w:tblCellMar>
      </w:tblPr>
      <w:tblGrid>
        <w:gridCol w:w="2506"/>
        <w:gridCol w:w="346"/>
        <w:gridCol w:w="211"/>
        <w:gridCol w:w="676"/>
        <w:gridCol w:w="146"/>
        <w:gridCol w:w="571"/>
        <w:gridCol w:w="361"/>
        <w:gridCol w:w="211"/>
        <w:gridCol w:w="676"/>
        <w:gridCol w:w="146"/>
        <w:gridCol w:w="571"/>
        <w:gridCol w:w="34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591310" cy="175260"/>
                      <wp:effectExtent l="0" t="0" r="0" b="0"/>
                      <wp:wrapNone/>
                      <wp:docPr id="116" name="Frame116"/>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118" name="Frame1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429260" cy="175260"/>
                      <wp:effectExtent l="0" t="0" r="0" b="0"/>
                      <wp:wrapNone/>
                      <wp:docPr id="119" name="Frame11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92710" cy="175260"/>
                      <wp:effectExtent l="0" t="0" r="0" b="0"/>
                      <wp:wrapNone/>
                      <wp:docPr id="120" name="Frame12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362585" cy="175260"/>
                      <wp:effectExtent l="0" t="0" r="0" b="0"/>
                      <wp:wrapNone/>
                      <wp:docPr id="121" name="Frame12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29235" cy="175260"/>
                      <wp:effectExtent l="0" t="0" r="0" b="0"/>
                      <wp:wrapNone/>
                      <wp:docPr id="122" name="Frame12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3985" cy="175260"/>
                      <wp:effectExtent l="0" t="0" r="0" b="0"/>
                      <wp:wrapNone/>
                      <wp:docPr id="123" name="Frame1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29260" cy="175260"/>
                      <wp:effectExtent l="0" t="0" r="0" b="0"/>
                      <wp:wrapNone/>
                      <wp:docPr id="124" name="Frame12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92710" cy="175260"/>
                      <wp:effectExtent l="0" t="0" r="0" b="0"/>
                      <wp:wrapNone/>
                      <wp:docPr id="125" name="Frame12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62585" cy="175260"/>
                      <wp:effectExtent l="0" t="0" r="0" b="0"/>
                      <wp:wrapNone/>
                      <wp:docPr id="126" name="Frame12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7"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3569" w:type="dxa"/>
            <w:gridSpan w:val="9"/>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46" w:type="dxa"/>
            <w:tcBorders/>
            <w:vAlign w:val="center"/>
          </w:tcPr>
          <w:p>
            <w:pPr>
              <w:pStyle w:val="TableContents"/>
              <w:bidi w:val="0"/>
              <w:spacing w:before="0" w:after="1"/>
              <w:ind w:left="0" w:right="0" w:hanging="0"/>
              <w:jc w:val="left"/>
              <w:rPr/>
            </w:pPr>
            <w:r>
              <w:rPr/>
              <w:t> </w: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569"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1"/>
              <w:ind w:left="0" w:right="0" w:hanging="0"/>
              <w:jc w:val="left"/>
              <w:rPr/>
            </w:pPr>
            <w:r>
              <w:rPr/>
              <w:t> </w: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46" w:type="dxa"/>
            <w:tcBorders/>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w:t>
            </w:r>
          </w:p>
        </w:tc>
        <w:tc>
          <w:tcPr>
            <w:tcW w:w="361"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46" w:type="dxa"/>
            <w:tcBorders/>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c>
          <w:tcPr>
            <w:tcW w:w="346" w:type="dxa"/>
            <w:tcBorders/>
            <w:vAlign w:val="center"/>
          </w:tcPr>
          <w:p>
            <w:pPr>
              <w:pStyle w:val="TableContents"/>
              <w:bidi w:val="0"/>
              <w:spacing w:before="0" w:after="1"/>
              <w:ind w:left="0" w:right="0" w:hanging="0"/>
              <w:jc w:val="left"/>
              <w:rPr/>
            </w:pPr>
            <w:r>
              <w:rPr/>
              <w:t>​</w:t>
            </w:r>
          </w:p>
        </w:tc>
      </w:tr>
      <w:tr>
        <w:trPr/>
        <w:tc>
          <w:tcPr>
            <w:tcW w:w="6767"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569" w:type="dxa"/>
            <w:gridSpan w:val="9"/>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(Dollars in thousands)</w:t>
            </w:r>
          </w:p>
        </w:tc>
        <w:tc>
          <w:tcPr>
            <w:tcW w:w="346" w:type="dxa"/>
            <w:tcBorders/>
            <w:vAlign w:val="center"/>
          </w:tcPr>
          <w:p>
            <w:pPr>
              <w:pStyle w:val="TableContents"/>
              <w:bidi w:val="0"/>
              <w:spacing w:before="0" w:after="1"/>
              <w:ind w:left="0" w:right="0" w:hanging="0"/>
              <w:jc w:val="left"/>
              <w:rPr/>
            </w:pPr>
            <w:r>
              <w:rPr/>
              <w:t> </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40,366</w:t>
            </w:r>
          </w:p>
        </w:tc>
        <w:tc>
          <w:tcPr>
            <w:tcW w:w="1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43,614</w:t>
            </w:r>
          </w:p>
        </w:tc>
        <w:tc>
          <w:tcPr>
            <w:tcW w:w="1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27,476</w:t>
            </w:r>
          </w:p>
        </w:tc>
        <w:tc>
          <w:tcPr>
            <w:tcW w:w="1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28,078</w:t>
            </w:r>
          </w:p>
        </w:tc>
        <w:tc>
          <w:tcPr>
            <w:tcW w:w="1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64.4</w:t>
            </w:r>
          </w:p>
        </w:tc>
        <w:tc>
          <w:tcPr>
            <w:tcW w:w="34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12,890</w:t>
            </w:r>
          </w:p>
        </w:tc>
        <w:tc>
          <w:tcPr>
            <w:tcW w:w="1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15,536</w:t>
            </w:r>
          </w:p>
        </w:tc>
        <w:tc>
          <w:tcPr>
            <w:tcW w:w="1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35.6</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6,570</w:t>
            </w:r>
          </w:p>
        </w:tc>
        <w:tc>
          <w:tcPr>
            <w:tcW w:w="1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6,615</w:t>
            </w:r>
          </w:p>
        </w:tc>
        <w:tc>
          <w:tcPr>
            <w:tcW w:w="1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15.2</w:t>
            </w:r>
          </w:p>
        </w:tc>
        <w:tc>
          <w:tcPr>
            <w:tcW w:w="34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6,320</w:t>
            </w:r>
          </w:p>
        </w:tc>
        <w:tc>
          <w:tcPr>
            <w:tcW w:w="146" w:type="dxa"/>
            <w:tcBorders/>
            <w:shd w:fill="CCEEFF" w:val="cle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8,921</w:t>
            </w:r>
          </w:p>
        </w:tc>
        <w:tc>
          <w:tcPr>
            <w:tcW w:w="146" w:type="dxa"/>
            <w:tcBorders/>
            <w:shd w:fill="CCEEFF" w:val="cle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20.4</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tbl>
      <w:tblPr>
        <w:tblW w:w="7167" w:type="dxa"/>
        <w:jc w:val="left"/>
        <w:tblInd w:w="0" w:type="dxa"/>
        <w:tblLayout w:type="fixed"/>
        <w:tblCellMar>
          <w:top w:w="0" w:type="dxa"/>
          <w:left w:w="0" w:type="dxa"/>
          <w:bottom w:w="0" w:type="dxa"/>
          <w:right w:w="0" w:type="dxa"/>
        </w:tblCellMar>
      </w:tblPr>
      <w:tblGrid>
        <w:gridCol w:w="2506"/>
        <w:gridCol w:w="346"/>
        <w:gridCol w:w="211"/>
        <w:gridCol w:w="676"/>
        <w:gridCol w:w="346"/>
        <w:gridCol w:w="571"/>
        <w:gridCol w:w="361"/>
        <w:gridCol w:w="211"/>
        <w:gridCol w:w="676"/>
        <w:gridCol w:w="346"/>
        <w:gridCol w:w="571"/>
        <w:gridCol w:w="34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591310" cy="175260"/>
                      <wp:effectExtent l="0" t="0" r="0" b="0"/>
                      <wp:wrapNone/>
                      <wp:docPr id="128" name="Frame128"/>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9"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30"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429260" cy="175260"/>
                      <wp:effectExtent l="0" t="0" r="0" b="0"/>
                      <wp:wrapNone/>
                      <wp:docPr id="131" name="Frame13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2"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362585" cy="175260"/>
                      <wp:effectExtent l="0" t="0" r="0" b="0"/>
                      <wp:wrapNone/>
                      <wp:docPr id="133" name="Frame13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29235" cy="175260"/>
                      <wp:effectExtent l="0" t="0" r="0" b="0"/>
                      <wp:wrapNone/>
                      <wp:docPr id="134" name="Frame13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5" name="Frame1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429260" cy="175260"/>
                      <wp:effectExtent l="0" t="0" r="0" b="0"/>
                      <wp:wrapNone/>
                      <wp:docPr id="136" name="Frame13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37"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362585" cy="175260"/>
                      <wp:effectExtent l="0" t="0" r="0" b="0"/>
                      <wp:wrapNone/>
                      <wp:docPr id="138" name="Frame13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39"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969" w:type="dxa"/>
            <w:gridSpan w:val="9"/>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c>
          <w:tcPr>
            <w:tcW w:w="346" w:type="dxa"/>
            <w:tcBorders/>
            <w:vAlign w:val="center"/>
          </w:tcPr>
          <w:p>
            <w:pPr>
              <w:pStyle w:val="TableContents"/>
              <w:bidi w:val="0"/>
              <w:spacing w:before="0" w:after="1"/>
              <w:ind w:left="0" w:right="0" w:hanging="0"/>
              <w:jc w:val="left"/>
              <w:rPr/>
            </w:pPr>
            <w:r>
              <w:rPr/>
              <w:t> </w: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969"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1"/>
              <w:ind w:left="0" w:right="0" w:hanging="0"/>
              <w:jc w:val="left"/>
              <w:rPr/>
            </w:pPr>
            <w:r>
              <w:rPr/>
              <w:t> </w: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c>
          <w:tcPr>
            <w:tcW w:w="361"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c>
          <w:tcPr>
            <w:tcW w:w="346" w:type="dxa"/>
            <w:tcBorders/>
            <w:vAlign w:val="center"/>
          </w:tcPr>
          <w:p>
            <w:pPr>
              <w:pStyle w:val="TableContents"/>
              <w:bidi w:val="0"/>
              <w:spacing w:before="0" w:after="1"/>
              <w:ind w:left="0" w:right="0" w:hanging="0"/>
              <w:jc w:val="left"/>
              <w:rPr/>
            </w:pPr>
            <w:r>
              <w:rPr/>
              <w:t>​</w:t>
            </w:r>
          </w:p>
        </w:tc>
      </w:tr>
      <w:tr>
        <w:trPr/>
        <w:tc>
          <w:tcPr>
            <w:tcW w:w="7167"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969" w:type="dxa"/>
            <w:gridSpan w:val="9"/>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(Dollars in thousands)</w:t>
            </w:r>
          </w:p>
        </w:tc>
        <w:tc>
          <w:tcPr>
            <w:tcW w:w="346" w:type="dxa"/>
            <w:tcBorders/>
            <w:vAlign w:val="center"/>
          </w:tcPr>
          <w:p>
            <w:pPr>
              <w:pStyle w:val="TableContents"/>
              <w:bidi w:val="0"/>
              <w:spacing w:before="0" w:after="1"/>
              <w:ind w:left="0" w:right="0" w:hanging="0"/>
              <w:jc w:val="left"/>
              <w:rPr/>
            </w:pPr>
            <w:r>
              <w:rPr/>
              <w:t> </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80,638</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84,183</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55,585</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68.9</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55,395</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65.8</w:t>
            </w:r>
          </w:p>
        </w:tc>
        <w:tc>
          <w:tcPr>
            <w:tcW w:w="34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25,053</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28,788</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34.2</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12,864</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12,817</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15.2</w:t>
            </w:r>
          </w:p>
        </w:tc>
        <w:tc>
          <w:tcPr>
            <w:tcW w:w="34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12,189</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15,971</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i/>
          <w:sz w:val="20"/>
        </w:rPr>
        <w:t>Net sales</w:t>
      </w:r>
      <w:r>
        <w:rPr>
          <w:rFonts w:ascii="Times New Roman;Times;serif" w:hAnsi="Times New Roman;Times;serif"/>
          <w:sz w:val="20"/>
        </w:rPr>
        <w:t>. Net sales increased $3.2 million and $3.5 million in the second quarter and for the first six months of 2026, respectively, compared to the same periods in 2025 due to higher Security Products sales across a variety of markets and higher Marine Components sales to the industrial market. See segment discussion below.</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i/>
          <w:sz w:val="20"/>
        </w:rPr>
        <w:t xml:space="preserve">Cost of sales and gross margin. </w:t>
      </w:r>
      <w:r>
        <w:rPr>
          <w:rFonts w:ascii="Times New Roman;Times;serif" w:hAnsi="Times New Roman;Times;serif"/>
          <w:sz w:val="20"/>
        </w:rPr>
        <w:t xml:space="preserve">Cost of sales as a percentage of net sales improved by 3.7% and 3.1% in the second quarter and first six months of 2026, respectively, compared to the same periods in 2025. As a result, gross margin as a percentage of sales increased over the same periods. The improvement in gross margin percentage for the second quarter and first six months of 2026 was primarily due to a higher gross margin percentage at Security Products. In addition, improved gross margin performance at Marine Components contributed favorably to the increase in the second-quarter comparative period. See segment discussion below. </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i/>
          <w:sz w:val="20"/>
        </w:rPr>
        <w:t>Operating costs and expenses.</w:t>
      </w:r>
      <w:r>
        <w:rPr>
          <w:rFonts w:ascii="Times New Roman;Times;serif" w:hAnsi="Times New Roman;Times;serif"/>
          <w:sz w:val="20"/>
        </w:rPr>
        <w:t xml:space="preserve"> Operating costs and expenses consist primarily of sales and administrative-related personnel costs, sales commissions and advertising expenses directly related to product sales, administrative costs relating to business unit and corporate management activities, and gains and losses on property and equipment. Operating costs and expenses for the second quarter and first six months of 2026 were comparable to the same periods in 2025. Operating costs and expenses as a percentage of net sales decreased in the second quarter and first six months of 2026 due to higher coverage of operating costs and expenses as a result of higher sales.</w:t>
      </w:r>
    </w:p>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i/>
          <w:sz w:val="20"/>
        </w:rPr>
        <w:t>Operating income.</w:t>
      </w:r>
      <w:r>
        <w:rPr>
          <w:rFonts w:ascii="Times New Roman;Times;serif" w:hAnsi="Times New Roman;Times;serif"/>
          <w:sz w:val="20"/>
        </w:rPr>
        <w:t xml:space="preserve"> As a percentage of net sales, operating income for the second quarter and the first six months of 2026 increased compared to the same period of 2025 and was primarily impacted by the factors impacting sales, cost of sales, gross margin and operating costs and expenses. See segment discussion below.</w:t>
      </w:r>
    </w:p>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i/>
          <w:sz w:val="20"/>
        </w:rPr>
        <w:t xml:space="preserve">Interest income. </w:t>
      </w:r>
      <w:r>
        <w:rPr>
          <w:rFonts w:ascii="Times New Roman;Times;serif" w:hAnsi="Times New Roman;Times;serif"/>
          <w:sz w:val="20"/>
        </w:rPr>
        <w:t xml:space="preserve">Interest income decreased $.2 million and $.4 million in the second quarter and first six months of 2026, respectively, compared to the same periods in 2025 primarily due to lower average interest rates and decreased cash balances.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Provision for income taxes.</w:t>
      </w:r>
      <w:r>
        <w:rPr>
          <w:rFonts w:ascii="Times New Roman;Times;serif" w:hAnsi="Times New Roman;Times;serif"/>
          <w:sz w:val="20"/>
        </w:rPr>
        <w:t xml:space="preserve"> A tabular reconciliation of our actual tax provision to the U.S. federal statutory income tax rate is included in Note 6 to the Condensed Consolidated Financial Statements. Our operations are wholly within the U.S. and therefore our effective income tax rate is primarily reflective of the U.S. federal statutory rate and applicable state taxes.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- 13 -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Segment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Key performance indicators for our segments are gross margin and operating income.</w:t>
      </w:r>
    </w:p>
    <w:tbl>
      <w:tblPr>
        <w:tblW w:w="10083" w:type="dxa"/>
        <w:jc w:val="left"/>
        <w:tblInd w:w="0" w:type="dxa"/>
        <w:tblLayout w:type="fixed"/>
        <w:tblCellMar>
          <w:top w:w="0" w:type="dxa"/>
          <w:left w:w="0" w:type="dxa"/>
          <w:bottom w:w="0" w:type="dxa"/>
          <w:right w:w="0" w:type="dxa"/>
        </w:tblCellMar>
      </w:tblPr>
      <w:tblGrid>
        <w:gridCol w:w="2506"/>
        <w:gridCol w:w="346"/>
        <w:gridCol w:w="211"/>
        <w:gridCol w:w="676"/>
        <w:gridCol w:w="361"/>
        <w:gridCol w:w="211"/>
        <w:gridCol w:w="676"/>
        <w:gridCol w:w="391"/>
        <w:gridCol w:w="751"/>
        <w:gridCol w:w="361"/>
        <w:gridCol w:w="211"/>
        <w:gridCol w:w="676"/>
        <w:gridCol w:w="361"/>
        <w:gridCol w:w="211"/>
        <w:gridCol w:w="676"/>
        <w:gridCol w:w="391"/>
        <w:gridCol w:w="751"/>
        <w:gridCol w:w="31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591310" cy="175260"/>
                      <wp:effectExtent l="0" t="0" r="0" b="0"/>
                      <wp:wrapNone/>
                      <wp:docPr id="140" name="Frame140"/>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41"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3985" cy="175260"/>
                      <wp:effectExtent l="0" t="0" r="0" b="0"/>
                      <wp:wrapNone/>
                      <wp:docPr id="142" name="Frame1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429260" cy="175260"/>
                      <wp:effectExtent l="0" t="0" r="0" b="0"/>
                      <wp:wrapNone/>
                      <wp:docPr id="143" name="Frame14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29235" cy="175260"/>
                      <wp:effectExtent l="0" t="0" r="0" b="0"/>
                      <wp:wrapNone/>
                      <wp:docPr id="144" name="Frame14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3985" cy="175260"/>
                      <wp:effectExtent l="0" t="0" r="0" b="0"/>
                      <wp:wrapNone/>
                      <wp:docPr id="145" name="Frame1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429260" cy="175260"/>
                      <wp:effectExtent l="0" t="0" r="0" b="0"/>
                      <wp:wrapNone/>
                      <wp:docPr id="146" name="Frame14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48285" cy="175260"/>
                      <wp:effectExtent l="0" t="0" r="0" b="0"/>
                      <wp:wrapNone/>
                      <wp:docPr id="147" name="Frame14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76885" cy="175260"/>
                      <wp:effectExtent l="0" t="0" r="0" b="0"/>
                      <wp:wrapNone/>
                      <wp:docPr id="148" name="Frame148"/>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29235" cy="175260"/>
                      <wp:effectExtent l="0" t="0" r="0" b="0"/>
                      <wp:wrapNone/>
                      <wp:docPr id="149" name="Frame14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3985" cy="175260"/>
                      <wp:effectExtent l="0" t="0" r="0" b="0"/>
                      <wp:wrapNone/>
                      <wp:docPr id="150" name="Frame1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429260" cy="175260"/>
                      <wp:effectExtent l="0" t="0" r="0" b="0"/>
                      <wp:wrapNone/>
                      <wp:docPr id="151" name="Frame15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29235" cy="175260"/>
                      <wp:effectExtent l="0" t="0" r="0" b="0"/>
                      <wp:wrapNone/>
                      <wp:docPr id="152" name="Frame15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53" name="Frame1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29260" cy="175260"/>
                      <wp:effectExtent l="0" t="0" r="0" b="0"/>
                      <wp:wrapNone/>
                      <wp:docPr id="154" name="Frame15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48285" cy="175260"/>
                      <wp:effectExtent l="0" t="0" r="0" b="0"/>
                      <wp:wrapNone/>
                      <wp:docPr id="155" name="Frame15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476885" cy="175260"/>
                      <wp:effectExtent l="0" t="0" r="0" b="0"/>
                      <wp:wrapNone/>
                      <wp:docPr id="156" name="Frame156"/>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0660" cy="175260"/>
                      <wp:effectExtent l="0" t="0" r="0" b="0"/>
                      <wp:wrapNone/>
                      <wp:docPr id="157" name="Frame15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  ​ ​ ​</w:t>
            </w:r>
          </w:p>
        </w:tc>
        <w:tc>
          <w:tcPr>
            <w:tcW w:w="361" w:type="dxa"/>
            <w:tcBorders/>
            <w:vAlign w:val="center"/>
          </w:tcPr>
          <w:p>
            <w:pPr>
              <w:pStyle w:val="TableContents"/>
              <w:bidi w:val="0"/>
              <w:spacing w:before="0" w:after="1"/>
              <w:ind w:left="0" w:right="0" w:hanging="0"/>
              <w:jc w:val="left"/>
              <w:rPr/>
            </w:pPr>
            <w:r>
              <w:rP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  ​ ​ ​</w:t>
            </w:r>
          </w:p>
        </w:tc>
        <w:tc>
          <w:tcPr>
            <w:tcW w:w="316" w:type="dxa"/>
            <w:tcBorders/>
            <w:vAlign w:val="center"/>
          </w:tcPr>
          <w:p>
            <w:pPr>
              <w:pStyle w:val="TableContents"/>
              <w:bidi w:val="0"/>
              <w:spacing w:before="0" w:after="1"/>
              <w:ind w:left="0" w:right="0" w:hanging="0"/>
              <w:jc w:val="left"/>
              <w:rPr/>
            </w:pPr>
            <w:r>
              <w:rPr/>
              <w:t> </w: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w:t>
            </w:r>
          </w:p>
        </w:tc>
        <w:tc>
          <w:tcPr>
            <w:tcW w:w="361" w:type="dxa"/>
            <w:tcBorders/>
            <w:vAlign w:val="center"/>
          </w:tcPr>
          <w:p>
            <w:pPr>
              <w:pStyle w:val="TableContents"/>
              <w:bidi w:val="0"/>
              <w:spacing w:before="0" w:after="1"/>
              <w:ind w:left="0" w:right="0" w:hanging="0"/>
              <w:jc w:val="left"/>
              <w:rPr/>
            </w:pPr>
            <w:r>
              <w:rPr/>
              <w:t>​</w:t>
            </w:r>
          </w:p>
        </w:tc>
        <w:tc>
          <w:tcPr>
            <w:tcW w:w="21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w:t>
            </w:r>
          </w:p>
        </w:tc>
        <w:tc>
          <w:tcPr>
            <w:tcW w:w="316" w:type="dxa"/>
            <w:tcBorders/>
            <w:vAlign w:val="center"/>
          </w:tcPr>
          <w:p>
            <w:pPr>
              <w:pStyle w:val="TableContents"/>
              <w:bidi w:val="0"/>
              <w:spacing w:before="0" w:after="1"/>
              <w:ind w:left="0" w:right="0" w:hanging="0"/>
              <w:jc w:val="left"/>
              <w:rPr/>
            </w:pPr>
            <w:r>
              <w:rPr/>
              <w:t> </w: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1"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91" w:type="dxa"/>
            <w:tcBorders/>
            <w:vAlign w:val="center"/>
          </w:tcPr>
          <w:p>
            <w:pPr>
              <w:pStyle w:val="TableContents"/>
              <w:bidi w:val="0"/>
              <w:spacing w:before="0" w:after="1"/>
              <w:ind w:left="0" w:right="0" w:hanging="0"/>
              <w:jc w:val="left"/>
              <w:rPr/>
            </w:pPr>
            <w:r>
              <w:rPr/>
              <w:t>  ​ ​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61"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1"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91" w:type="dxa"/>
            <w:tcBorders/>
            <w:vAlign w:val="center"/>
          </w:tcPr>
          <w:p>
            <w:pPr>
              <w:pStyle w:val="TableContents"/>
              <w:bidi w:val="0"/>
              <w:spacing w:before="0" w:after="1"/>
              <w:ind w:left="0" w:right="0" w:hanging="0"/>
              <w:jc w:val="left"/>
              <w:rPr/>
            </w:pPr>
            <w:r>
              <w:rPr/>
              <w:t>  ​ ​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16" w:type="dxa"/>
            <w:tcBorders/>
            <w:vAlign w:val="center"/>
          </w:tcPr>
          <w:p>
            <w:pPr>
              <w:pStyle w:val="TableContents"/>
              <w:bidi w:val="0"/>
              <w:spacing w:before="0" w:after="1"/>
              <w:ind w:left="0" w:right="0" w:hanging="0"/>
              <w:jc w:val="left"/>
              <w:rPr/>
            </w:pPr>
            <w:r>
              <w:rPr/>
              <w:t> </w:t>
            </w:r>
          </w:p>
        </w:tc>
      </w:tr>
      <w:tr>
        <w:trPr/>
        <w:tc>
          <w:tcPr>
            <w:tcW w:w="10083" w:type="dxa"/>
            <w:gridSpan w:val="18"/>
            <w:tcBorders/>
            <w:vAlign w:val="center"/>
          </w:tcPr>
          <w:p>
            <w:pPr>
              <w:pStyle w:val="TableContents"/>
              <w:bidi w:val="0"/>
              <w:spacing w:before="0" w:after="283"/>
              <w:ind w:left="0" w:right="0" w:hanging="0"/>
              <w:jc w:val="left"/>
              <w:rPr>
                <w:sz w:val="4"/>
                <w:szCs w:val="4"/>
              </w:rPr>
            </w:pPr>
            <w:r>
              <w:rPr>
                <w:sz w:val="4"/>
                <w:szCs w:val="4"/>
              </w:rPr>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(Dollars in thousands)</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(Dollars in thousands)</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 </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30,683</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33,348</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60,913</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63,244</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21,129</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21,559</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42,361</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41,431</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9,554</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11,789</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18,552</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21,813</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1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3,786</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3,800</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7,263</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7,249</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5,768</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7,989</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11,289</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14,564</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1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35.4</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75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34.5</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75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24.0</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23.0</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i/>
          <w:sz w:val="20"/>
        </w:rPr>
        <w:t>Security Products</w:t>
      </w:r>
      <w:r>
        <w:rPr>
          <w:rFonts w:ascii="Times New Roman;Times;serif" w:hAnsi="Times New Roman;Times;serif"/>
          <w:sz w:val="20"/>
        </w:rPr>
        <w:t>. Security Products net sales increased 9% in the second quarter of 2026 compared to the same period in 2025 primarily due to $.9 million higher sales to the healthcare market, $.7 million higher sales to the transportation market, $.5 million higher sales to distributors and $.4 million higher sales to the tool storage market. Security Products net sales increased 4% in the first six months of 2026 compared to the same period in 2025 primarily due to $.8 million higher sales to the transportation market, $.7 million higher sales to the tool storage market, $.6 million higher sales to the healthcare market and $.4 million higher sales to distributors. Sales to the government security market in the second quarter and in the first six months of 2026 were comparable to the same periods in 2025.</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Gross margin as a percentage of net sales increased in the second quarter and first six months of 2026 compared to the same periods in 2025 primarily due to a more favorable customer and product mix and lower cost of sales driven by lower employer-related medical expenses and the one-time recovery of prior-period import costs recognized during the second quarter of 2026. Operating income margin increased for both periods, primarily due to the improvement in gross margin and increased coverage of operating costs and expenses on higher sales.</w:t>
      </w:r>
    </w:p>
    <w:tbl>
      <w:tblPr>
        <w:tblW w:w="9978" w:type="dxa"/>
        <w:jc w:val="left"/>
        <w:tblInd w:w="0" w:type="dxa"/>
        <w:tblLayout w:type="fixed"/>
        <w:tblCellMar>
          <w:top w:w="0" w:type="dxa"/>
          <w:left w:w="0" w:type="dxa"/>
          <w:bottom w:w="0" w:type="dxa"/>
          <w:right w:w="0" w:type="dxa"/>
        </w:tblCellMar>
      </w:tblPr>
      <w:tblGrid>
        <w:gridCol w:w="2506"/>
        <w:gridCol w:w="346"/>
        <w:gridCol w:w="211"/>
        <w:gridCol w:w="571"/>
        <w:gridCol w:w="361"/>
        <w:gridCol w:w="211"/>
        <w:gridCol w:w="676"/>
        <w:gridCol w:w="391"/>
        <w:gridCol w:w="751"/>
        <w:gridCol w:w="361"/>
        <w:gridCol w:w="211"/>
        <w:gridCol w:w="676"/>
        <w:gridCol w:w="361"/>
        <w:gridCol w:w="211"/>
        <w:gridCol w:w="676"/>
        <w:gridCol w:w="391"/>
        <w:gridCol w:w="751"/>
        <w:gridCol w:w="31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591310" cy="175260"/>
                      <wp:effectExtent l="0" t="0" r="0" b="0"/>
                      <wp:wrapNone/>
                      <wp:docPr id="158" name="Frame158"/>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33985" cy="175260"/>
                      <wp:effectExtent l="0" t="0" r="0" b="0"/>
                      <wp:wrapNone/>
                      <wp:docPr id="160" name="Frame1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362585" cy="175260"/>
                      <wp:effectExtent l="0" t="0" r="0" b="0"/>
                      <wp:wrapNone/>
                      <wp:docPr id="161" name="Frame16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29235" cy="175260"/>
                      <wp:effectExtent l="0" t="0" r="0" b="0"/>
                      <wp:wrapNone/>
                      <wp:docPr id="162" name="Frame16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3985" cy="175260"/>
                      <wp:effectExtent l="0" t="0" r="0" b="0"/>
                      <wp:wrapNone/>
                      <wp:docPr id="163" name="Frame1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29260" cy="175260"/>
                      <wp:effectExtent l="0" t="0" r="0" b="0"/>
                      <wp:wrapNone/>
                      <wp:docPr id="164" name="Frame16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48285" cy="175260"/>
                      <wp:effectExtent l="0" t="0" r="0" b="0"/>
                      <wp:wrapNone/>
                      <wp:docPr id="165" name="Frame16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476885" cy="175260"/>
                      <wp:effectExtent l="0" t="0" r="0" b="0"/>
                      <wp:wrapNone/>
                      <wp:docPr id="166" name="Frame166"/>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29235" cy="175260"/>
                      <wp:effectExtent l="0" t="0" r="0" b="0"/>
                      <wp:wrapNone/>
                      <wp:docPr id="167" name="Frame16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3985" cy="175260"/>
                      <wp:effectExtent l="0" t="0" r="0" b="0"/>
                      <wp:wrapNone/>
                      <wp:docPr id="168" name="Frame1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429260" cy="175260"/>
                      <wp:effectExtent l="0" t="0" r="0" b="0"/>
                      <wp:wrapNone/>
                      <wp:docPr id="169" name="Frame16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29235" cy="175260"/>
                      <wp:effectExtent l="0" t="0" r="0" b="0"/>
                      <wp:wrapNone/>
                      <wp:docPr id="170" name="Frame17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3985" cy="175260"/>
                      <wp:effectExtent l="0" t="0" r="0" b="0"/>
                      <wp:wrapNone/>
                      <wp:docPr id="171" name="Frame1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29260" cy="175260"/>
                      <wp:effectExtent l="0" t="0" r="0" b="0"/>
                      <wp:wrapNone/>
                      <wp:docPr id="172" name="Frame17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48285" cy="175260"/>
                      <wp:effectExtent l="0" t="0" r="0" b="0"/>
                      <wp:wrapNone/>
                      <wp:docPr id="173" name="Frame17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76885" cy="175260"/>
                      <wp:effectExtent l="0" t="0" r="0" b="0"/>
                      <wp:wrapNone/>
                      <wp:docPr id="174" name="Frame174"/>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0660" cy="175260"/>
                      <wp:effectExtent l="0" t="0" r="0" b="0"/>
                      <wp:wrapNone/>
                      <wp:docPr id="175" name="Frame17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3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  ​ ​ ​</w:t>
            </w:r>
          </w:p>
        </w:tc>
        <w:tc>
          <w:tcPr>
            <w:tcW w:w="316" w:type="dxa"/>
            <w:tcBorders/>
            <w:vAlign w:val="center"/>
          </w:tcPr>
          <w:p>
            <w:pPr>
              <w:pStyle w:val="TableContents"/>
              <w:bidi w:val="0"/>
              <w:spacing w:before="0" w:after="1"/>
              <w:ind w:left="0" w:right="0" w:hanging="0"/>
              <w:jc w:val="left"/>
              <w:rPr/>
            </w:pPr>
            <w:r>
              <w:rPr/>
              <w:t> </w: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w:t>
            </w:r>
          </w:p>
        </w:tc>
        <w:tc>
          <w:tcPr>
            <w:tcW w:w="361" w:type="dxa"/>
            <w:tcBorders/>
            <w:vAlign w:val="center"/>
          </w:tcPr>
          <w:p>
            <w:pPr>
              <w:pStyle w:val="TableContents"/>
              <w:bidi w:val="0"/>
              <w:spacing w:before="0" w:after="1"/>
              <w:ind w:left="0" w:right="0" w:hanging="0"/>
              <w:jc w:val="left"/>
              <w:rPr/>
            </w:pPr>
            <w:r>
              <w:rPr/>
              <w:t>​</w:t>
            </w:r>
          </w:p>
        </w:tc>
        <w:tc>
          <w:tcPr>
            <w:tcW w:w="21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w:t>
            </w:r>
          </w:p>
        </w:tc>
        <w:tc>
          <w:tcPr>
            <w:tcW w:w="316" w:type="dxa"/>
            <w:tcBorders/>
            <w:vAlign w:val="center"/>
          </w:tcPr>
          <w:p>
            <w:pPr>
              <w:pStyle w:val="TableContents"/>
              <w:bidi w:val="0"/>
              <w:spacing w:before="0" w:after="1"/>
              <w:ind w:left="0" w:right="0" w:hanging="0"/>
              <w:jc w:val="left"/>
              <w:rPr/>
            </w:pPr>
            <w:r>
              <w:rPr/>
              <w:t> </w: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1"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91" w:type="dxa"/>
            <w:tcBorders/>
            <w:vAlign w:val="center"/>
          </w:tcPr>
          <w:p>
            <w:pPr>
              <w:pStyle w:val="TableContents"/>
              <w:bidi w:val="0"/>
              <w:spacing w:before="0" w:after="1"/>
              <w:ind w:left="0" w:right="0" w:hanging="0"/>
              <w:jc w:val="left"/>
              <w:rPr/>
            </w:pPr>
            <w:r>
              <w:rPr/>
              <w:t>  ​ ​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61"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1"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91" w:type="dxa"/>
            <w:tcBorders/>
            <w:vAlign w:val="center"/>
          </w:tcPr>
          <w:p>
            <w:pPr>
              <w:pStyle w:val="TableContents"/>
              <w:bidi w:val="0"/>
              <w:spacing w:before="0" w:after="1"/>
              <w:ind w:left="0" w:right="0" w:hanging="0"/>
              <w:jc w:val="left"/>
              <w:rPr/>
            </w:pPr>
            <w:r>
              <w:rPr/>
              <w:t>  ​ ​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16" w:type="dxa"/>
            <w:tcBorders/>
            <w:vAlign w:val="center"/>
          </w:tcPr>
          <w:p>
            <w:pPr>
              <w:pStyle w:val="TableContents"/>
              <w:bidi w:val="0"/>
              <w:spacing w:before="0" w:after="1"/>
              <w:ind w:left="0" w:right="0" w:hanging="0"/>
              <w:jc w:val="left"/>
              <w:rPr/>
            </w:pPr>
            <w:r>
              <w:rPr/>
              <w:t> </w:t>
            </w:r>
          </w:p>
        </w:tc>
      </w:tr>
      <w:tr>
        <w:trPr/>
        <w:tc>
          <w:tcPr>
            <w:tcW w:w="9978" w:type="dxa"/>
            <w:gridSpan w:val="18"/>
            <w:tcBorders/>
            <w:vAlign w:val="center"/>
          </w:tcPr>
          <w:p>
            <w:pPr>
              <w:pStyle w:val="TableContents"/>
              <w:bidi w:val="0"/>
              <w:spacing w:before="0" w:after="283"/>
              <w:ind w:left="0" w:right="0" w:hanging="0"/>
              <w:jc w:val="left"/>
              <w:rPr>
                <w:sz w:val="4"/>
                <w:szCs w:val="4"/>
              </w:rPr>
            </w:pPr>
            <w:r>
              <w:rPr>
                <w:sz w:val="4"/>
                <w:szCs w:val="4"/>
              </w:rPr>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3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(Dollars in thousands)</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(Dollars in thousands)</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 </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9,683</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10,266</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19,725</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20,939</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6,347</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6,519</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13,224</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13,964</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3,336</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3,747</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6,501</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6,975</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1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978</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1,866</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1,895</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2,394</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2,769</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4,635</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5,080</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36.5</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75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33.3</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75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27.0</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24.3</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i/>
          <w:sz w:val="20"/>
        </w:rPr>
        <w:t>Marine Components</w:t>
      </w:r>
      <w:r>
        <w:rPr>
          <w:rFonts w:ascii="Times New Roman;Times;serif" w:hAnsi="Times New Roman;Times;serif"/>
          <w:sz w:val="20"/>
        </w:rPr>
        <w:t>. Marine Components net sales increased 6% in both the second quarter and  first six months of 2026 compared to the same periods in 2025. The increase in second quarter sales was primarily due to $1.6 million higher sales to the industrial market, partially offset by $1.0 million lower sales to the government market. The increase in sales for the first six months of 2026 was primarily due to $3.5 million higher sales to the industrial market, partially offset by $1.5 million lower sales to the towboat market and $1.0 million lower sales to the government market. Towboat market sales in the first quarter of 2025 benefited from a one-time customer stocking event that did not repeat in 2026.</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 xml:space="preserve">Gross margin as a percentage of net sales increased in the second quarter of 2026 compared to the same period in 2025 primarily due to a more favorable customer and product mix, partially offset by higher cost of sales, including increased maintenance and supply costs. Operating income margin increased in the second quarter of 2026 primarily due to the factors impacting gross margin. Gross margin as a percentage of net sales for the first six months of 2026 was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- 14 -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comparable to the same period in 2025 as a more favorable customer and product mix and increased coverage of fixed costs on higher sales were largely offset by higher cost of sales, including sales of higher-cost inventory and increased maintenance and supply costs. Operating income margin increased for the first six months of 2026 primarily due to increased coverage of operating costs and expenses on higher sales.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Outlook.</w:t>
      </w:r>
      <w:r>
        <w:rPr>
          <w:rFonts w:ascii="Times New Roman;Times;serif" w:hAnsi="Times New Roman;Times;serif"/>
          <w:sz w:val="20"/>
        </w:rPr>
        <w:t xml:space="preserve"> Our results for the first six months of 2026 reflected higher sales and favorable customer and product mix for both the Security Products and Marine Components segments. We expect these trends to continue through the remainder of 2026, and we currently expect net sales for the full year of 2026 to exceed 2025 levels. Within Security Products, we expect demand from several end markets, including healthcare, transportation and tool storage, to remain strong in the second half of 2026. Within Marine Components, we expect increased demand will continue to be driven by industrial market demand, particularly aeroderivative demand, while recreational marine and towboat-related demand is expected to remain relatively consistent with 2025 levels (excluding the impact of the one-time stocking event noted above). Based on our first-half operating performance, we currently expect full-year gross margin and operating income margins to exceed 2025 levels, although margins during the second half of 2026 may be challenged by the factors discussed below. Future operating results will continue to be influenced by product and customer mix, raw material costs and overall demand levels in the markets we serve.</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 xml:space="preserve">We manufacture substantially all of our products in the U.S. and source a substantial majority of our raw materials from U.S. suppliers. We also source certain components, primarily electronic components, from suppliers in Asia, including China. Beginning in the second quarter of 2025 and continuing through the second quarter of 2026, we experienced cost increases for certain imported raw materials, primarily electronic components, including increases in tariffs and shipping costs. In addition, inflationary pressures have increased costs for certain domestically-sourced raw materials. Where possible, we increase selling prices to recover these higher raw material costs, although the extent to which we can fully recover such costs will depend on a variety of factors including the ultimate tariff rate, duration of tariffs, and our customers’ ability to substitute alternative products. Accordingly, we continue to closely monitor raw material costs, including zinc, brass, aluminum, steel and energy, as well as current and anticipated customer demand levels, to ensure our production capacity and inventory levels remain aligned with market conditions. </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Our expectations for our operations and the markets we serve are based on a number of factors outside our control. Currently, our supply chains are stable and transportation and logistical delays are minimal. We have experienced global and domestic supply chain challenges in the past. Any future impacts on our operations will depend on, among other things, disruption to our operations or our suppliers’ operations, the effect of tariffs, and the impact of broader economic conditions, consumer confidence, and geopolitical events affecting demand for our products or our customers’ and suppliers’ operations, all of which remain uncertain and cannot be predicted.</w:t>
      </w:r>
    </w:p>
    <w:p>
      <w:pPr>
        <w:pStyle w:val="TextBody"/>
        <w:bidi w:val="0"/>
        <w:spacing w:before="240" w:after="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b/>
          <w:i/>
          <w:sz w:val="20"/>
        </w:rPr>
        <w:t>Consolidated cash flows</w:t>
      </w:r>
      <w:r>
        <w:rPr>
          <w:rFonts w:ascii="Times New Roman;Times;serif" w:hAnsi="Times New Roman;Times;serif"/>
          <w:sz w:val="20"/>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Operating activities</w:t>
      </w:r>
      <w:r>
        <w:rPr>
          <w:rFonts w:ascii="Times New Roman;Times;serif" w:hAnsi="Times New Roman;Times;serif"/>
          <w:sz w:val="20"/>
        </w:rPr>
        <w:t>. Trends in cash flows from operating activities, excluding changes in assets and liabilities, have generally been similar to the trends in operating earnings. Changes in assets and liabilities result primarily from the timing of production, sales and purchases. Changes in assets and liabilities generally tend to even out over time. However, period-to-period relative changes in assets and liabilities can significantly affect the comparability of cash flows from operating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net cash provided by operating activities for the first six months of 2026 increased by $1.5 million as compared to the first six months of 2025. The increase in net cash provided is primarily due to the net effects of:</w:t>
      </w:r>
    </w:p>
    <w:tbl>
      <w:tblPr>
        <w:tblW w:w="4836" w:type="dxa"/>
        <w:jc w:val="left"/>
        <w:tblInd w:w="0" w:type="dxa"/>
        <w:tblLayout w:type="fixed"/>
        <w:tblCellMar>
          <w:top w:w="28" w:type="dxa"/>
          <w:left w:w="28" w:type="dxa"/>
          <w:bottom w:w="28" w:type="dxa"/>
          <w:right w:w="28" w:type="dxa"/>
        </w:tblCellMar>
      </w:tblPr>
      <w:tblGrid>
        <w:gridCol w:w="124"/>
        <w:gridCol w:w="256"/>
        <w:gridCol w:w="4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$3.8 million increase in operating income in 2026;</w:t>
            </w:r>
          </w:p>
        </w:tc>
      </w:tr>
    </w:tbl>
    <w:tbl>
      <w:tblPr>
        <w:tblW w:w="10041" w:type="dxa"/>
        <w:jc w:val="left"/>
        <w:tblInd w:w="0" w:type="dxa"/>
        <w:tblLayout w:type="fixed"/>
        <w:tblCellMar>
          <w:top w:w="28" w:type="dxa"/>
          <w:left w:w="28" w:type="dxa"/>
          <w:bottom w:w="28" w:type="dxa"/>
          <w:right w:w="28" w:type="dxa"/>
        </w:tblCellMar>
      </w:tblPr>
      <w:tblGrid>
        <w:gridCol w:w="124"/>
        <w:gridCol w:w="256"/>
        <w:gridCol w:w="9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$1.3 million increase in cash paid for taxes in 2026 due to higher earnings and the relative timing of payments;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$.7 million increase in the amount of net cash used by relative changes in our inventories, receivables, prepaids, payables and non-tax related accruals in 2026.</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Changes in working capital can have a significant effect on cash flows from operating activities. As shown below, our average days sales outstanding increased from December 31, 2025 to June 30, 2026, with changes varying by segment, primarily as a result of differences in the timing of sales and collections relative to the quarter-end, including differences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- 15 -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arising from the fiscal month-end close occurring before calendar month-end, when certain large customers typically remit payments. For comparative purposes, we have provided December 31, 2024 and June 30, 2025 numbers below.</w:t>
      </w:r>
    </w:p>
    <w:tbl>
      <w:tblPr>
        <w:tblW w:w="7914" w:type="dxa"/>
        <w:jc w:val="left"/>
        <w:tblInd w:w="0" w:type="dxa"/>
        <w:tblLayout w:type="fixed"/>
        <w:tblCellMar>
          <w:top w:w="0" w:type="dxa"/>
          <w:left w:w="0" w:type="dxa"/>
          <w:bottom w:w="0" w:type="dxa"/>
          <w:right w:w="0" w:type="dxa"/>
        </w:tblCellMar>
      </w:tblPr>
      <w:tblGrid>
        <w:gridCol w:w="2161"/>
        <w:gridCol w:w="346"/>
        <w:gridCol w:w="1306"/>
        <w:gridCol w:w="346"/>
        <w:gridCol w:w="856"/>
        <w:gridCol w:w="346"/>
        <w:gridCol w:w="1306"/>
        <w:gridCol w:w="346"/>
        <w:gridCol w:w="901"/>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372235" cy="175260"/>
                      <wp:effectExtent l="0" t="0" r="0" b="0"/>
                      <wp:wrapNone/>
                      <wp:docPr id="176" name="Frame176"/>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7" name="Frame1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829310" cy="175260"/>
                      <wp:effectExtent l="0" t="0" r="0" b="0"/>
                      <wp:wrapNone/>
                      <wp:docPr id="178" name="Frame178"/>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9710" cy="175260"/>
                      <wp:effectExtent l="0" t="0" r="0" b="0"/>
                      <wp:wrapNone/>
                      <wp:docPr id="179" name="Frame1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543560" cy="175260"/>
                      <wp:effectExtent l="0" t="0" r="0" b="0"/>
                      <wp:wrapNone/>
                      <wp:docPr id="180" name="Frame180"/>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81"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829310" cy="175260"/>
                      <wp:effectExtent l="0" t="0" r="0" b="0"/>
                      <wp:wrapNone/>
                      <wp:docPr id="182" name="Frame182"/>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3"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572135" cy="175260"/>
                      <wp:effectExtent l="0" t="0" r="0" b="0"/>
                      <wp:wrapNone/>
                      <wp:docPr id="184" name="Frame18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1"/>
              <w:ind w:left="0" w:right="0" w:hanging="0"/>
              <w:jc w:val="center"/>
              <w:rPr/>
            </w:pPr>
            <w:r>
              <w:rPr/>
              <w:t>​</w:t>
            </w:r>
          </w:p>
        </w:tc>
        <w:tc>
          <w:tcPr>
            <w:tcW w:w="85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21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Days Sales Outstanding:</w:t>
            </w:r>
          </w:p>
        </w:tc>
        <w:tc>
          <w:tcPr>
            <w:tcW w:w="346" w:type="dxa"/>
            <w:tcBorders/>
            <w:vAlign w:val="center"/>
          </w:tcPr>
          <w:p>
            <w:pPr>
              <w:pStyle w:val="TableContents"/>
              <w:bidi w:val="0"/>
              <w:spacing w:before="0" w:after="1"/>
              <w:ind w:left="0" w:right="0" w:hanging="0"/>
              <w:jc w:val="center"/>
              <w:rPr/>
            </w:pPr>
            <w:r>
              <w:rPr/>
              <w:t>  ​ ​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1"/>
              <w:ind w:left="0" w:right="0" w:hanging="0"/>
              <w:jc w:val="center"/>
              <w:rPr/>
            </w:pPr>
            <w:r>
              <w:rPr/>
              <w:t>  ​ ​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36 Days</w:t>
            </w:r>
          </w:p>
        </w:tc>
        <w:tc>
          <w:tcPr>
            <w:tcW w:w="34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38 Days</w:t>
            </w:r>
          </w:p>
        </w:tc>
        <w:tc>
          <w:tcPr>
            <w:tcW w:w="34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35 Days</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39 Days</w:t>
            </w:r>
          </w:p>
        </w:tc>
      </w:tr>
      <w:tr>
        <w:trPr/>
        <w:tc>
          <w:tcPr>
            <w:tcW w:w="21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23 Days</w:t>
            </w:r>
          </w:p>
        </w:tc>
        <w:tc>
          <w:tcPr>
            <w:tcW w:w="34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38 Days</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26 Days</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46 Days</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Consolidated CompX</w:t>
            </w:r>
          </w:p>
        </w:tc>
        <w:tc>
          <w:tcPr>
            <w:tcW w:w="34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33 Days</w:t>
            </w:r>
          </w:p>
        </w:tc>
        <w:tc>
          <w:tcPr>
            <w:tcW w:w="34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38 Days</w:t>
            </w:r>
          </w:p>
        </w:tc>
        <w:tc>
          <w:tcPr>
            <w:tcW w:w="34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33 Days</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41 Days</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shown below, our average number of days in inventory decreased from December 31, 2025 to June 30, 2026 due to a reduction in days in inventory at Security Products, driven by higher sales volumes in the second quarter of 2026 compared to the fourth quarter of 2025. This improvement was partially offset by an increase in days in inventory at Marine Components, primarily due to higher work-in-process inventory balances resulting from delays in certain raw material shipments, as well as the timing of customer order fulfillment. For comparative purposes, we have provided December 31, 2024 and June 30, 2025 numbers below.</w:t>
      </w:r>
    </w:p>
    <w:tbl>
      <w:tblPr>
        <w:tblW w:w="7783" w:type="dxa"/>
        <w:jc w:val="left"/>
        <w:tblInd w:w="0" w:type="dxa"/>
        <w:tblLayout w:type="fixed"/>
        <w:tblCellMar>
          <w:top w:w="0" w:type="dxa"/>
          <w:left w:w="0" w:type="dxa"/>
          <w:bottom w:w="0" w:type="dxa"/>
          <w:right w:w="0" w:type="dxa"/>
        </w:tblCellMar>
      </w:tblPr>
      <w:tblGrid>
        <w:gridCol w:w="1891"/>
        <w:gridCol w:w="346"/>
        <w:gridCol w:w="1306"/>
        <w:gridCol w:w="346"/>
        <w:gridCol w:w="871"/>
        <w:gridCol w:w="346"/>
        <w:gridCol w:w="1306"/>
        <w:gridCol w:w="346"/>
        <w:gridCol w:w="871"/>
        <w:gridCol w:w="154"/>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200785" cy="175260"/>
                      <wp:effectExtent l="0" t="0" r="0" b="0"/>
                      <wp:wrapNone/>
                      <wp:docPr id="185" name="Frame185"/>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9710" cy="175260"/>
                      <wp:effectExtent l="0" t="0" r="0" b="0"/>
                      <wp:wrapNone/>
                      <wp:docPr id="186" name="Frame1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829310" cy="175260"/>
                      <wp:effectExtent l="0" t="0" r="0" b="0"/>
                      <wp:wrapNone/>
                      <wp:docPr id="187" name="Frame187"/>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8"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553085" cy="175260"/>
                      <wp:effectExtent l="0" t="0" r="0" b="0"/>
                      <wp:wrapNone/>
                      <wp:docPr id="189" name="Frame189"/>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19710" cy="175260"/>
                      <wp:effectExtent l="0" t="0" r="0" b="0"/>
                      <wp:wrapNone/>
                      <wp:docPr id="190"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829310" cy="175260"/>
                      <wp:effectExtent l="0" t="0" r="0" b="0"/>
                      <wp:wrapNone/>
                      <wp:docPr id="191" name="Frame191"/>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19710" cy="175260"/>
                      <wp:effectExtent l="0" t="0" r="0" b="0"/>
                      <wp:wrapNone/>
                      <wp:docPr id="192"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553085" cy="175260"/>
                      <wp:effectExtent l="0" t="0" r="0" b="0"/>
                      <wp:wrapNone/>
                      <wp:docPr id="193" name="Frame193"/>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97790" cy="175260"/>
                      <wp:effectExtent l="0" t="0" r="0" b="0"/>
                      <wp:wrapNone/>
                      <wp:docPr id="194" name="Frame19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154" w:type="dxa"/>
            <w:tcBorders/>
            <w:vAlign w:val="center"/>
          </w:tcPr>
          <w:p>
            <w:pPr>
              <w:pStyle w:val="TableContents"/>
              <w:bidi w:val="0"/>
              <w:spacing w:before="0" w:after="1"/>
              <w:ind w:left="0" w:right="0" w:hanging="0"/>
              <w:jc w:val="center"/>
              <w:rPr/>
            </w:pPr>
            <w:r>
              <w:rPr/>
              <w:t>​</w:t>
            </w:r>
          </w:p>
        </w:tc>
      </w:tr>
      <w:tr>
        <w:trPr/>
        <w:tc>
          <w:tcPr>
            <w:tcW w:w="18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Days in Inventory:</w:t>
            </w:r>
          </w:p>
        </w:tc>
        <w:tc>
          <w:tcPr>
            <w:tcW w:w="346" w:type="dxa"/>
            <w:tcBorders/>
            <w:vAlign w:val="center"/>
          </w:tcPr>
          <w:p>
            <w:pPr>
              <w:pStyle w:val="TableContents"/>
              <w:bidi w:val="0"/>
              <w:spacing w:before="0" w:after="1"/>
              <w:ind w:left="0" w:right="0" w:hanging="0"/>
              <w:jc w:val="center"/>
              <w:rPr/>
            </w:pPr>
            <w:r>
              <w:rPr/>
              <w:t>  ​ ​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1"/>
              <w:ind w:left="0" w:right="0" w:hanging="0"/>
              <w:jc w:val="center"/>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54" w:type="dxa"/>
            <w:tcBorders/>
            <w:vAlign w:val="center"/>
          </w:tcPr>
          <w:p>
            <w:pPr>
              <w:pStyle w:val="TableContents"/>
              <w:bidi w:val="0"/>
              <w:spacing w:before="0" w:after="1"/>
              <w:ind w:left="0" w:right="0" w:hanging="0"/>
              <w:jc w:val="center"/>
              <w:rPr/>
            </w:pPr>
            <w:r>
              <w:rPr/>
              <w:t>​</w:t>
            </w:r>
          </w:p>
        </w:tc>
      </w:tr>
      <w:tr>
        <w:trP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85 Days</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97 Days</w:t>
            </w:r>
          </w:p>
        </w:tc>
        <w:tc>
          <w:tcPr>
            <w:tcW w:w="34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98 Days</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90 Days</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8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130 Days</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149 Days</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141 Days</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145 Days</w:t>
            </w:r>
          </w:p>
        </w:tc>
        <w:tc>
          <w:tcPr>
            <w:tcW w:w="154" w:type="dxa"/>
            <w:tcBorders/>
            <w:vAlign w:val="center"/>
          </w:tcPr>
          <w:p>
            <w:pPr>
              <w:pStyle w:val="TableContents"/>
              <w:bidi w:val="0"/>
              <w:spacing w:before="0" w:after="1"/>
              <w:ind w:left="0" w:right="0" w:hanging="0"/>
              <w:jc w:val="left"/>
              <w:rPr/>
            </w:pPr>
            <w:r>
              <w:rPr/>
              <w:t>​</w:t>
            </w:r>
          </w:p>
        </w:tc>
      </w:tr>
      <w:tr>
        <w:trP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Consolidated CompX</w:t>
            </w:r>
          </w:p>
        </w:tc>
        <w:tc>
          <w:tcPr>
            <w:tcW w:w="34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94 Days</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109 Days</w:t>
            </w:r>
          </w:p>
        </w:tc>
        <w:tc>
          <w:tcPr>
            <w:tcW w:w="34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108 Days</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103 Days</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i/>
          <w:sz w:val="20"/>
        </w:rPr>
        <w:t xml:space="preserve">Investing activities. </w:t>
      </w:r>
      <w:r>
        <w:rPr>
          <w:rFonts w:ascii="Times New Roman;Times;serif" w:hAnsi="Times New Roman;Times;serif"/>
          <w:sz w:val="20"/>
        </w:rPr>
        <w:t>Our capital expenditures were $1.5 million and $2.2 million in the first six months of 2026 and 2025, respectively. During the first six months of 2026, Valhi repaid a net $1.2 million under the promissory note ($7.6 million of gross borrowings and $8.8 million of gross repayments). During the first six months of 2025, Valhi repaid a net $.4 million under the promissory note ($6.0 million of gross borrowings and $6.4 million of gross repayments). See Note 10 to our Condensed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Financing activities. </w:t>
      </w:r>
      <w:r>
        <w:rPr>
          <w:rFonts w:ascii="Times New Roman;Times;serif" w:hAnsi="Times New Roman;Times;serif"/>
          <w:sz w:val="20"/>
        </w:rPr>
        <w:t xml:space="preserve">Financing activities consisted only of cash dividends. During each of the first six months of 2026 and 2025, we paid aggregate quarterly dividends to CompX stockholders of $.60 per share. The declaration and payment of future dividends and the amount thereof, if any, is discretionary and is dependent upon our results of operations, financial condition, cash requirements for our businesses, contractual requirements and restrictions and other factors deemed relevant by our board of directors. The amount and timing of past dividends is not necessarily indicative of the amount or timing of any future dividends which we might pay.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Future cash requirements</w:t>
      </w:r>
      <w:r>
        <w:rPr>
          <w:rFonts w:ascii="Times New Roman;Times;serif" w:hAnsi="Times New Roman;Times;serif"/>
          <w:sz w:val="20"/>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Liquidity</w:t>
      </w:r>
      <w:r>
        <w:rPr>
          <w:rFonts w:ascii="Times New Roman;Times;serif" w:hAnsi="Times New Roman;Times;serif"/>
          <w:sz w:val="20"/>
        </w:rPr>
        <w:t>. Our primary source of liquidity on an ongoing basis is our cash flow from operating activities, which is generally used to (i) fund capital expenditures, (ii) repay short-term or long-term indebtedness incurred primarily for capital expenditures, investment activities or reducing our outstanding stock, (iii) provide for the payment of dividends (if declared), and (iv) lend to affiliates. From time-to-time, we will incur indebtedness, primarily to fund capital expenditures or business combinations.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Periodically, we evaluate liquidity requirements, alternative uses of capital, capital needs and available resources in view of, among other things, our capital expenditure requirements, dividend policy and estimated future operating cash flows. As a result of this process, we have in the past and may in the future seek to raise additional capital, refinance or restructure indebtedness, issue additional securities, modify our dividend policy or take a combination of such steps to manage our liquidity and capital resources. In the normal course of business, we may review opportunities for acquisitions, joint ventures or other business combinations in the component products industry. In the event of any such transaction, we may consider using available cash, issuing additional equity securities or increasing our indebtedness or that of our subsidiaries.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cash generated from operations together with cash on hand, as well as our ability to obtain external financing, will be sufficient to meet our liquidity needs for working capital, capital expenditures, debt service, dividends (if declared) and any amounts we might lend from time to time under the terms of our revolving loan to Valhi discussed in Note 10 to our Condensed Consolidated Financial Statements (which loans would be solely at our discretion) for both the next 12 months and five years. To the extent that our actual operating results or other developments differ from our expectations, our liquidity could be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- 16 -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of our $52.4 million aggregate cash and cash equivalents at June 30, 2026 were held in the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Capital expenditures.</w:t>
      </w:r>
      <w:r>
        <w:rPr>
          <w:rFonts w:ascii="Times New Roman;Times;serif" w:hAnsi="Times New Roman;Times;serif"/>
          <w:sz w:val="20"/>
        </w:rPr>
        <w:t xml:space="preserve"> Firm purchase commitments for capital projects in process at June 30, 2026 totaled $1.1 million. We expect our capital expenditures for 2026 will be approximately $5.5 million primarily to increase capacity through investments in manufacturing equipment, including new technologies and increased automation and for improvements to our manufacturing facilities.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Stock repurchase program. </w:t>
      </w:r>
      <w:r>
        <w:rPr>
          <w:rFonts w:ascii="Times New Roman;Times;serif" w:hAnsi="Times New Roman;Times;serif"/>
          <w:sz w:val="20"/>
        </w:rPr>
        <w:t>At June 30, 2026, we have 523,647 shares available for repurchase under a stock repurchase program authorized by our board of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Commitments and contingencies</w:t>
      </w:r>
      <w:r>
        <w:rPr>
          <w:rFonts w:ascii="Times New Roman;Times;serif" w:hAnsi="Times New Roman;Times;serif"/>
          <w:sz w:val="20"/>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certain commitments and contingencies, as more fully described in our 2025 Annual Report or in Note 8 to our Condensed Consolidated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 accounting pronouncements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Note 11 to our Condensed Consolidated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Critical accounting policies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have been no changes in the first six months of 2026 with respect to our critical accounting policies presented in Management’s Discussion and Analysis of Financial Condition and Results of Operations in our 2025 Annual Report.</w:t>
      </w:r>
    </w:p>
    <w:p>
      <w:pPr>
        <w:pStyle w:val="TextBody"/>
        <w:bidi w:val="0"/>
        <w:spacing w:before="0" w:after="0"/>
        <w:ind w:left="0" w:right="0" w:hanging="0"/>
        <w:jc w:val="left"/>
        <w:rPr/>
      </w:pPr>
      <w:r>
        <w:rPr/>
        <w:t>​</w:t>
      </w:r>
    </w:p>
    <w:p>
      <w:pPr>
        <w:pStyle w:val="TextBody"/>
        <w:pBdr/>
        <w:bidi w:val="0"/>
        <w:spacing w:before="0" w:after="240"/>
        <w:ind w:left="0" w:right="0" w:hanging="0"/>
        <w:jc w:val="left"/>
        <w:rPr>
          <w:rFonts w:ascii="Times New Roman;Times;serif" w:hAnsi="Times New Roman;Times;serif"/>
          <w:b/>
          <w:sz w:val="20"/>
        </w:rPr>
      </w:pPr>
      <w:bookmarkStart w:id="692" w:name="ITEM3QUANTITATIVEANDQUALITATIVE_461712"/>
      <w:bookmarkStart w:id="693" w:name="_f29f386b_5b61_4a8c_a062_b0a5d55bd4b3"/>
      <w:bookmarkEnd w:id="692"/>
      <w:bookmarkEnd w:id="693"/>
      <w:r>
        <w:rPr>
          <w:rFonts w:ascii="Times New Roman;Times;serif" w:hAnsi="Times New Roman;Times;serif"/>
          <w:b/>
          <w:i w:val="false"/>
          <w:caps w:val="false"/>
          <w:smallCaps w:val="false"/>
          <w:sz w:val="20"/>
        </w:rPr>
        <w:t>ITEM  3.</w:t>
      </w:r>
      <w:r>
        <w:rPr>
          <w:rFonts w:ascii="Times New Roman;Times;serif" w:hAnsi="Times New Roman;Times;serif"/>
          <w:b/>
          <w:sz w:val="20"/>
        </w:rPr>
        <w:t>QUANTITATIVE AND QUALITATIVE DISCLOSURES ABOUT MARKET RISK.</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are exposed to market risk from changes in interest rates and raw material prices. There have been no material changes in these market risks since we filed our 2025 Annual Report, and we refer you to Part I, Item 7A – “Quantitative and Qualitative Disclosure About Market Risk” in our 2025 Annual Report. See also Note 9 to our Condensed Consolidated Financial Statements.</w:t>
      </w:r>
    </w:p>
    <w:p>
      <w:pPr>
        <w:pStyle w:val="TextBody"/>
        <w:bidi w:val="0"/>
        <w:spacing w:before="0" w:after="240"/>
        <w:ind w:left="0" w:right="0" w:firstLine="720"/>
        <w:jc w:val="both"/>
        <w:rPr/>
      </w:pPr>
      <w:r>
        <w:rPr/>
        <w:t>​</w:t>
      </w:r>
    </w:p>
    <w:p>
      <w:pPr>
        <w:pStyle w:val="TextBody"/>
        <w:pBdr/>
        <w:bidi w:val="0"/>
        <w:spacing w:before="0" w:after="240"/>
        <w:ind w:left="0" w:right="0" w:hanging="0"/>
        <w:jc w:val="left"/>
        <w:rPr>
          <w:rFonts w:ascii="Times New Roman;Times;serif" w:hAnsi="Times New Roman;Times;serif"/>
          <w:b/>
          <w:sz w:val="20"/>
        </w:rPr>
      </w:pPr>
      <w:bookmarkStart w:id="694" w:name="ITEM4CONTROLSANDPROCEDURES_115866"/>
      <w:bookmarkStart w:id="695" w:name="_f075cc31_4561_4a38_8622_fab9d3c53c08"/>
      <w:bookmarkEnd w:id="694"/>
      <w:bookmarkEnd w:id="695"/>
      <w:r>
        <w:rPr>
          <w:rFonts w:ascii="Times New Roman;Times;serif" w:hAnsi="Times New Roman;Times;serif"/>
          <w:b/>
          <w:i w:val="false"/>
          <w:caps w:val="false"/>
          <w:smallCaps w:val="false"/>
          <w:sz w:val="20"/>
        </w:rPr>
        <w:t>ITEM  4.</w:t>
      </w:r>
      <w:r>
        <w:rPr>
          <w:rFonts w:ascii="Times New Roman;Times;serif" w:hAnsi="Times New Roman;Times;serif"/>
          <w:b/>
          <w:sz w:val="20"/>
        </w:rPr>
        <w:t>CONTROLS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 xml:space="preserve">Evaluation of Disclosure Controls and Procedures. </w:t>
      </w:r>
      <w:r>
        <w:rPr>
          <w:rFonts w:ascii="Times New Roman;Times;serif" w:hAnsi="Times New Roman;Times;serif"/>
          <w:sz w:val="20"/>
        </w:rPr>
        <w:t>We maintain disclosure controls and procedures which, as defined in Exchange Act Rule 13a-15(e), means controls and other procedures that are designed to ensure that information required to be disclosed in the reports that we file or submit to the SEC under the Securities Exchange Act of 1934, as amended (the “Act”), is recorded, processed, summarized and reported within the time periods specified in the SEC’s rules and forms. Disclosure controls and procedures include, without limitation, controls and procedures designed to ensure that information we are required to disclose in the reports that we file or submit to the SEC under the Act is accumulated and communicated to our management, including our principal executive officer and our principal financial officer, or persons performing similar functions, as appropriate to allow timely decisions to be made regarding required disclosure. Our management with the participation of Scott C. James, our President and Chief Executive Officer, and Amy A. Samford, our Executive Vice President and Chief Financial Officer, has evaluated the design and operating effectiveness of our disclosure controls and procedures as of June 30, 2026. Based upon their evaluation, these executive officers have concluded that our disclosure controls and procedures are effective as of the date of such evaluation.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Internal Control Over Financial Reporting</w:t>
      </w:r>
      <w:r>
        <w:rPr>
          <w:rFonts w:ascii="Times New Roman;Times;serif" w:hAnsi="Times New Roman;Times;serif"/>
          <w:sz w:val="20"/>
        </w:rPr>
        <w:t>. Our management is responsible for establishing and maintaining adequate internal control over financial reporting which, as defined in Exchange Act Rule 13a-15(f), means a process designed by, or under the supervision of, our principal executive and principal financial officers, or persons performing 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Pertain to the maintenance of records that in reasonable detail accurately and fairly reflect the transactions and dispositions of our assets,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- 17 -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that transactions are recorded as necessary to permit preparation of financial statements in accordance with GAAP, and that receipts and expenditures are being made only in accordance with authorizations of our management and directors,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regarding prevention or timely detection of an unauthorized acquisition, use or disposition of our assets that could have a material effect on our Condensed Consolidated Financial Statements.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Changes in Internal Control Over Financial Reporting</w:t>
      </w:r>
      <w:r>
        <w:rPr>
          <w:rFonts w:ascii="Times New Roman;Times;serif" w:hAnsi="Times New Roman;Times;serif"/>
          <w:sz w:val="20"/>
        </w:rPr>
        <w:t>. There have been no changes in our internal control over financial reporting during the quarter ended June 30, 2026 that have materially affected, or are reasonably likely to materially affect, our internal control over financial reporting.</w:t>
      </w:r>
    </w:p>
    <w:p>
      <w:pPr>
        <w:pStyle w:val="TextBody"/>
        <w:bidi w:val="0"/>
        <w:spacing w:before="240" w:after="240"/>
        <w:ind w:left="0" w:right="0" w:hanging="0"/>
        <w:jc w:val="center"/>
        <w:rPr>
          <w:rFonts w:ascii="Times New Roman;Times;serif" w:hAnsi="Times New Roman;Times;serif"/>
          <w:b/>
          <w:sz w:val="20"/>
        </w:rPr>
      </w:pPr>
      <w:bookmarkStart w:id="696" w:name="PartIIOTHERINFORMATION_828529"/>
      <w:bookmarkStart w:id="697" w:name="_fa66aa0c_dd46_4f6a_aa6d_757ca8dfb12b"/>
      <w:bookmarkEnd w:id="696"/>
      <w:bookmarkEnd w:id="697"/>
      <w:r>
        <w:rPr>
          <w:rFonts w:ascii="Times New Roman;Times;serif" w:hAnsi="Times New Roman;Times;serif"/>
          <w:b/>
          <w:sz w:val="20"/>
        </w:rPr>
        <w:t>Part II. OTHER INFORMATION</w:t>
      </w:r>
    </w:p>
    <w:p>
      <w:pPr>
        <w:pStyle w:val="TextBody"/>
        <w:pBdr/>
        <w:bidi w:val="0"/>
        <w:spacing w:before="0" w:after="240"/>
        <w:ind w:left="0" w:right="0" w:hanging="0"/>
        <w:jc w:val="left"/>
        <w:rPr>
          <w:rFonts w:ascii="Times New Roman;Times;serif" w:hAnsi="Times New Roman;Times;serif"/>
          <w:b/>
          <w:sz w:val="20"/>
        </w:rPr>
      </w:pPr>
      <w:bookmarkStart w:id="698" w:name="ITEM1LEGALPROCEEDINGS"/>
      <w:bookmarkEnd w:id="698"/>
      <w:r>
        <w:rPr>
          <w:rFonts w:ascii="Times New Roman;Times;serif" w:hAnsi="Times New Roman;Times;serif"/>
          <w:b/>
          <w:i w:val="false"/>
          <w:caps w:val="false"/>
          <w:smallCaps w:val="false"/>
          <w:sz w:val="20"/>
        </w:rPr>
        <w:t>ITEM  1.</w:t>
      </w:r>
      <w:r>
        <w:rPr>
          <w:rFonts w:ascii="Times New Roman;Times;serif" w:hAnsi="Times New Roman;Times;serif"/>
          <w:b/>
          <w:sz w:val="20"/>
        </w:rPr>
        <w:t>Legal Proceedings.</w:t>
      </w:r>
    </w:p>
    <w:p>
      <w:pPr>
        <w:pStyle w:val="TextBody"/>
        <w:bidi w:val="0"/>
        <w:spacing w:before="0" w:after="240"/>
        <w:ind w:left="0" w:right="0" w:firstLine="720"/>
        <w:jc w:val="both"/>
        <w:rPr>
          <w:rFonts w:ascii="Times New Roman;Times;serif" w:hAnsi="Times New Roman;Times;serif"/>
          <w:b w:val="false"/>
          <w:sz w:val="20"/>
        </w:rPr>
      </w:pPr>
      <w:r>
        <w:rPr>
          <w:rFonts w:ascii="Times New Roman;Times;serif" w:hAnsi="Times New Roman;Times;serif"/>
          <w:b w:val="false"/>
          <w:sz w:val="20"/>
        </w:rPr>
        <w:t>Refer to Note 8 to our Condensed Consolidated Financial Statements, our March 31, 2026 Quarterly Report on Form 10-Q and our 2025 Annual Report for descriptions of certain legal proceedings.</w:t>
      </w:r>
    </w:p>
    <w:p>
      <w:pPr>
        <w:pStyle w:val="TextBody"/>
        <w:pBdr/>
        <w:bidi w:val="0"/>
        <w:spacing w:before="240" w:after="240"/>
        <w:ind w:left="0" w:right="0" w:hanging="0"/>
        <w:jc w:val="left"/>
        <w:rPr>
          <w:rFonts w:ascii="Times New Roman;Times;serif" w:hAnsi="Times New Roman;Times;serif"/>
          <w:b/>
          <w:sz w:val="20"/>
        </w:rPr>
      </w:pPr>
      <w:bookmarkStart w:id="699" w:name="ITEM1ARiskFactors_841388"/>
      <w:bookmarkEnd w:id="699"/>
      <w:r>
        <w:rPr>
          <w:rFonts w:ascii="Times New Roman;Times;serif" w:hAnsi="Times New Roman;Times;serif"/>
          <w:b/>
          <w:i w:val="false"/>
          <w:caps w:val="false"/>
          <w:smallCaps w:val="false"/>
          <w:sz w:val="20"/>
        </w:rPr>
        <w:t>ITEM  1A.</w:t>
      </w:r>
      <w:r>
        <w:rPr>
          <w:rFonts w:ascii="Times New Roman;Times;serif" w:hAnsi="Times New Roman;Times;serif"/>
          <w:b/>
          <w:sz w:val="20"/>
        </w:rPr>
        <w:t>Risk Factors.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Reference is made to the 2025 Annual Report for a discussion of risk factors related to our businesses.</w:t>
      </w:r>
    </w:p>
    <w:p>
      <w:pPr>
        <w:pStyle w:val="TextBody"/>
        <w:pBdr/>
        <w:bidi w:val="0"/>
        <w:spacing w:before="0" w:after="240"/>
        <w:ind w:left="0" w:right="0" w:hanging="0"/>
        <w:jc w:val="left"/>
        <w:rPr>
          <w:rFonts w:ascii="Times New Roman;Times;serif" w:hAnsi="Times New Roman;Times;serif"/>
          <w:sz w:val="20"/>
        </w:rPr>
      </w:pPr>
      <w:bookmarkStart w:id="700" w:name="ITEM6Exhibits_812943"/>
      <w:bookmarkStart w:id="701" w:name="_bbce409c_abd4_43f7_94a9_8c8b751b522e"/>
      <w:bookmarkEnd w:id="700"/>
      <w:bookmarkEnd w:id="701"/>
      <w:r>
        <w:rPr>
          <w:rFonts w:ascii="Times New Roman;Times;serif" w:hAnsi="Times New Roman;Times;serif"/>
          <w:b/>
          <w:i w:val="false"/>
          <w:caps w:val="false"/>
          <w:smallCaps w:val="false"/>
          <w:sz w:val="20"/>
        </w:rPr>
        <w:t>ITEM  6.</w:t>
      </w:r>
      <w:r>
        <w:rPr>
          <w:rFonts w:ascii="Times New Roman;Times;serif" w:hAnsi="Times New Roman;Times;serif"/>
          <w:b/>
          <w:sz w:val="20"/>
        </w:rPr>
        <w:t>Exhibits.</w:t>
      </w:r>
    </w:p>
    <w:tbl>
      <w:tblPr>
        <w:tblW w:w="10205" w:type="dxa"/>
        <w:jc w:val="left"/>
        <w:tblInd w:w="0" w:type="dxa"/>
        <w:tblLayout w:type="fixed"/>
        <w:tblCellMar>
          <w:top w:w="0" w:type="dxa"/>
          <w:left w:w="0" w:type="dxa"/>
          <w:bottom w:w="0" w:type="dxa"/>
          <w:right w:w="0" w:type="dxa"/>
        </w:tblCellMar>
      </w:tblPr>
      <w:tblGrid>
        <w:gridCol w:w="858"/>
        <w:gridCol w:w="346"/>
        <w:gridCol w:w="9001"/>
      </w:tblGrid>
      <w:tr>
        <w:trPr/>
        <w:tc>
          <w:tcPr>
            <w:tcW w:w="858"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72415" cy="175260"/>
                      <wp:effectExtent l="0" t="0" r="0" b="0"/>
                      <wp:wrapNone/>
                      <wp:docPr id="195" name="Frame195"/>
                      <a:graphic xmlns:a="http://schemas.openxmlformats.org/drawingml/2006/main">
                        <a:graphicData uri="http://schemas.microsoft.com/office/word/2010/wordprocessingShape">
                          <wps:wsp>
                            <wps:cNvSpPr txBox="1"/>
                            <wps:spPr>
                              <a:xfrm>
                                <a:off x="0" y="0"/>
                                <a:ext cx="27241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09855" cy="175260"/>
                      <wp:effectExtent l="0" t="0" r="0" b="0"/>
                      <wp:wrapNone/>
                      <wp:docPr id="196" name="Frame196"/>
                      <a:graphic xmlns:a="http://schemas.openxmlformats.org/drawingml/2006/main">
                        <a:graphicData uri="http://schemas.microsoft.com/office/word/2010/wordprocessingShape">
                          <wps:wsp>
                            <wps:cNvSpPr txBox="1"/>
                            <wps:spPr>
                              <a:xfrm>
                                <a:off x="0" y="0"/>
                                <a:ext cx="10985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900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857500" cy="175260"/>
                      <wp:effectExtent l="0" t="0" r="0" b="0"/>
                      <wp:wrapNone/>
                      <wp:docPr id="197" name="Frame197"/>
                      <a:graphic xmlns:a="http://schemas.openxmlformats.org/drawingml/2006/main">
                        <a:graphicData uri="http://schemas.microsoft.com/office/word/2010/wordprocessingShape">
                          <wps:wsp>
                            <wps:cNvSpPr txBox="1"/>
                            <wps:spPr>
                              <a:xfrm>
                                <a:off x="0" y="0"/>
                                <a:ext cx="285750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858" w:type="dxa"/>
            <w:tcBorders/>
            <w:vAlign w:val="center"/>
          </w:tcPr>
          <w:p>
            <w:pPr>
              <w:pStyle w:val="TableHeading"/>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No.</w:t>
            </w:r>
          </w:p>
        </w:tc>
        <w:tc>
          <w:tcPr>
            <w:tcW w:w="346" w:type="dxa"/>
            <w:tcBorders/>
            <w:vAlign w:val="center"/>
          </w:tcPr>
          <w:p>
            <w:pPr>
              <w:pStyle w:val="TableHeading"/>
              <w:bidi w:val="0"/>
              <w:spacing w:before="0" w:after="0"/>
              <w:ind w:left="0" w:right="0" w:hanging="0"/>
              <w:jc w:val="left"/>
              <w:rPr/>
            </w:pPr>
            <w:r>
              <w:rPr/>
              <w:t>  ​ ​ ​</w:t>
            </w:r>
          </w:p>
        </w:tc>
        <w:tc>
          <w:tcPr>
            <w:tcW w:w="9001" w:type="dxa"/>
            <w:tcBorders/>
            <w:vAlign w:val="center"/>
          </w:tcPr>
          <w:p>
            <w:pPr>
              <w:pStyle w:val="TableHeading"/>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Exhibit Index</w:t>
            </w:r>
          </w:p>
        </w:tc>
      </w:tr>
      <w:tr>
        <w:trPr/>
        <w:tc>
          <w:tcPr>
            <w:tcW w:w="8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01" w:type="dxa"/>
            <w:tcBorders/>
            <w:vAlign w:val="center"/>
          </w:tcPr>
          <w:p>
            <w:pPr>
              <w:pStyle w:val="TableContents"/>
              <w:bidi w:val="0"/>
              <w:spacing w:before="0" w:after="0"/>
              <w:ind w:left="0" w:right="0" w:hanging="0"/>
              <w:jc w:val="left"/>
              <w:rPr/>
            </w:pPr>
            <w:r>
              <w:rPr/>
              <w:t>​</w:t>
            </w:r>
          </w:p>
        </w:tc>
      </w:tr>
      <w:tr>
        <w:trPr/>
        <w:tc>
          <w:tcPr>
            <w:tcW w:w="85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0"/>
              <w:ind w:left="0" w:right="0" w:hanging="0"/>
              <w:jc w:val="left"/>
              <w:rPr/>
            </w:pPr>
            <w:r>
              <w:rPr/>
              <w:t>​</w:t>
            </w:r>
          </w:p>
        </w:tc>
        <w:tc>
          <w:tcPr>
            <w:tcW w:w="9001" w:type="dxa"/>
            <w:tcBorders/>
            <w:vAlign w:val="center"/>
          </w:tcPr>
          <w:p>
            <w:pPr>
              <w:pStyle w:val="TableContents"/>
              <w:bidi w:val="0"/>
              <w:spacing w:before="0" w:after="120"/>
              <w:ind w:left="0" w:right="0" w:hanging="0"/>
              <w:jc w:val="both"/>
              <w:rPr/>
            </w:pPr>
            <w:hyperlink w:anchor="cix-20260630xex31d1.htm">
              <w:r>
                <w:rPr>
                  <w:rStyle w:val="InternetLink"/>
                  <w:rFonts w:ascii="Times New Roman;Times;serif" w:hAnsi="Times New Roman;Times;serif"/>
                  <w:b w:val="false"/>
                  <w:i w:val="false"/>
                  <w:caps w:val="false"/>
                  <w:smallCaps w:val="false"/>
                  <w:sz w:val="20"/>
                </w:rPr>
                <w:t>Certification</w:t>
              </w:r>
            </w:hyperlink>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0"/>
              <w:ind w:left="0" w:right="0" w:hanging="0"/>
              <w:jc w:val="left"/>
              <w:rPr/>
            </w:pPr>
            <w:r>
              <w:rPr/>
              <w:t>​</w:t>
            </w:r>
          </w:p>
        </w:tc>
        <w:tc>
          <w:tcPr>
            <w:tcW w:w="9001" w:type="dxa"/>
            <w:tcBorders/>
            <w:vAlign w:val="center"/>
          </w:tcPr>
          <w:p>
            <w:pPr>
              <w:pStyle w:val="TableContents"/>
              <w:bidi w:val="0"/>
              <w:spacing w:before="0" w:after="120"/>
              <w:ind w:left="0" w:right="0" w:hanging="0"/>
              <w:jc w:val="both"/>
              <w:rPr/>
            </w:pPr>
            <w:hyperlink w:anchor="cix-20260630xex31d2.htm">
              <w:r>
                <w:rPr>
                  <w:rStyle w:val="InternetLink"/>
                  <w:rFonts w:ascii="Times New Roman;Times;serif" w:hAnsi="Times New Roman;Times;serif"/>
                  <w:b w:val="false"/>
                  <w:i w:val="false"/>
                  <w:caps w:val="false"/>
                  <w:smallCaps w:val="false"/>
                  <w:sz w:val="20"/>
                </w:rPr>
                <w:t>Certification</w:t>
              </w:r>
            </w:hyperlink>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before="0" w:after="0"/>
              <w:ind w:left="0" w:right="0" w:hanging="0"/>
              <w:jc w:val="left"/>
              <w:rPr/>
            </w:pPr>
            <w:r>
              <w:rPr/>
              <w:t>​</w:t>
            </w:r>
          </w:p>
        </w:tc>
        <w:tc>
          <w:tcPr>
            <w:tcW w:w="9001" w:type="dxa"/>
            <w:tcBorders/>
            <w:vAlign w:val="center"/>
          </w:tcPr>
          <w:p>
            <w:pPr>
              <w:pStyle w:val="TableContents"/>
              <w:bidi w:val="0"/>
              <w:spacing w:before="0" w:after="120"/>
              <w:ind w:left="0" w:right="0" w:hanging="0"/>
              <w:jc w:val="both"/>
              <w:rPr/>
            </w:pPr>
            <w:hyperlink w:anchor="cix-20260630xex32d1.htm">
              <w:r>
                <w:rPr>
                  <w:rStyle w:val="InternetLink"/>
                  <w:rFonts w:ascii="Times New Roman;Times;serif" w:hAnsi="Times New Roman;Times;serif"/>
                  <w:b w:val="false"/>
                  <w:i w:val="false"/>
                  <w:caps w:val="false"/>
                  <w:smallCaps w:val="false"/>
                  <w:sz w:val="20"/>
                </w:rPr>
                <w:t>Certification</w:t>
              </w:r>
            </w:hyperlink>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101.INS</w:t>
            </w:r>
          </w:p>
        </w:tc>
        <w:tc>
          <w:tcPr>
            <w:tcW w:w="346" w:type="dxa"/>
            <w:tcBorders/>
            <w:vAlign w:val="center"/>
          </w:tcPr>
          <w:p>
            <w:pPr>
              <w:pStyle w:val="TableContents"/>
              <w:bidi w:val="0"/>
              <w:spacing w:before="0" w:after="0"/>
              <w:ind w:left="0" w:right="0" w:hanging="0"/>
              <w:jc w:val="left"/>
              <w:rPr/>
            </w:pPr>
            <w:r>
              <w:rPr/>
              <w:t>​</w:t>
            </w:r>
          </w:p>
        </w:tc>
        <w:tc>
          <w:tcPr>
            <w:tcW w:w="900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101.SCH</w:t>
            </w:r>
          </w:p>
        </w:tc>
        <w:tc>
          <w:tcPr>
            <w:tcW w:w="346" w:type="dxa"/>
            <w:tcBorders/>
            <w:vAlign w:val="center"/>
          </w:tcPr>
          <w:p>
            <w:pPr>
              <w:pStyle w:val="TableContents"/>
              <w:bidi w:val="0"/>
              <w:spacing w:before="0" w:after="0"/>
              <w:ind w:left="0" w:right="0" w:hanging="0"/>
              <w:jc w:val="left"/>
              <w:rPr/>
            </w:pPr>
            <w:r>
              <w:rPr/>
              <w:t>​</w:t>
            </w:r>
          </w:p>
        </w:tc>
        <w:tc>
          <w:tcPr>
            <w:tcW w:w="900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Inline XBRL Taxonomy Extension Schema</w:t>
            </w:r>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101.CAL</w:t>
            </w:r>
          </w:p>
        </w:tc>
        <w:tc>
          <w:tcPr>
            <w:tcW w:w="346" w:type="dxa"/>
            <w:tcBorders/>
            <w:vAlign w:val="center"/>
          </w:tcPr>
          <w:p>
            <w:pPr>
              <w:pStyle w:val="TableContents"/>
              <w:bidi w:val="0"/>
              <w:spacing w:before="0" w:after="0"/>
              <w:ind w:left="0" w:right="0" w:hanging="0"/>
              <w:jc w:val="left"/>
              <w:rPr/>
            </w:pPr>
            <w:r>
              <w:rPr/>
              <w:t>​</w:t>
            </w:r>
          </w:p>
        </w:tc>
        <w:tc>
          <w:tcPr>
            <w:tcW w:w="900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w:t>
            </w:r>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101.DEF</w:t>
            </w:r>
          </w:p>
        </w:tc>
        <w:tc>
          <w:tcPr>
            <w:tcW w:w="346" w:type="dxa"/>
            <w:tcBorders/>
            <w:vAlign w:val="center"/>
          </w:tcPr>
          <w:p>
            <w:pPr>
              <w:pStyle w:val="TableContents"/>
              <w:bidi w:val="0"/>
              <w:spacing w:before="0" w:after="0"/>
              <w:ind w:left="0" w:right="0" w:hanging="0"/>
              <w:jc w:val="left"/>
              <w:rPr/>
            </w:pPr>
            <w:r>
              <w:rPr/>
              <w:t>​</w:t>
            </w:r>
          </w:p>
        </w:tc>
        <w:tc>
          <w:tcPr>
            <w:tcW w:w="900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 Linkbase</w:t>
            </w:r>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101.LAB</w:t>
            </w:r>
          </w:p>
        </w:tc>
        <w:tc>
          <w:tcPr>
            <w:tcW w:w="346" w:type="dxa"/>
            <w:tcBorders/>
            <w:vAlign w:val="center"/>
          </w:tcPr>
          <w:p>
            <w:pPr>
              <w:pStyle w:val="TableContents"/>
              <w:bidi w:val="0"/>
              <w:spacing w:before="0" w:after="0"/>
              <w:ind w:left="0" w:right="0" w:hanging="0"/>
              <w:jc w:val="left"/>
              <w:rPr/>
            </w:pPr>
            <w:r>
              <w:rPr/>
              <w:t>​</w:t>
            </w:r>
          </w:p>
        </w:tc>
        <w:tc>
          <w:tcPr>
            <w:tcW w:w="900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Inline XBRL Taxonomy Extension Label Linkbase</w:t>
            </w:r>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101.PRE</w:t>
            </w:r>
          </w:p>
        </w:tc>
        <w:tc>
          <w:tcPr>
            <w:tcW w:w="346" w:type="dxa"/>
            <w:tcBorders/>
            <w:vAlign w:val="center"/>
          </w:tcPr>
          <w:p>
            <w:pPr>
              <w:pStyle w:val="TableContents"/>
              <w:bidi w:val="0"/>
              <w:spacing w:before="0" w:after="0"/>
              <w:ind w:left="0" w:right="0" w:hanging="0"/>
              <w:jc w:val="left"/>
              <w:rPr/>
            </w:pPr>
            <w:r>
              <w:rPr/>
              <w:t>​</w:t>
            </w:r>
          </w:p>
        </w:tc>
        <w:tc>
          <w:tcPr>
            <w:tcW w:w="900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w:t>
            </w:r>
          </w:p>
        </w:tc>
      </w:tr>
      <w:tr>
        <w:trPr/>
        <w:tc>
          <w:tcPr>
            <w:tcW w:w="85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9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- 18 -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702" w:name="_172e3b41_096e_4572_84e2_b2cba0f7e023"/>
      <w:bookmarkEnd w:id="702"/>
      <w:r>
        <w:rPr>
          <w:rFonts w:ascii="Times New Roman;Times;serif" w:hAnsi="Times New Roman;Times;serif"/>
          <w:b/>
          <w:sz w:val="20"/>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7204" w:type="dxa"/>
        <w:jc w:val="left"/>
        <w:tblInd w:w="0" w:type="dxa"/>
        <w:tblLayout w:type="fixed"/>
        <w:tblCellMar>
          <w:top w:w="0" w:type="dxa"/>
          <w:left w:w="0" w:type="dxa"/>
          <w:bottom w:w="0" w:type="dxa"/>
          <w:right w:w="0" w:type="dxa"/>
        </w:tblCellMar>
      </w:tblPr>
      <w:tblGrid>
        <w:gridCol w:w="1891"/>
        <w:gridCol w:w="346"/>
        <w:gridCol w:w="406"/>
        <w:gridCol w:w="4561"/>
      </w:tblGrid>
      <w:tr>
        <w:trPr/>
        <w:tc>
          <w:tcPr>
            <w:tcW w:w="1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96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COMPX INTERNATIONAL INC.</w:t>
            </w:r>
          </w:p>
        </w:tc>
      </w:tr>
      <w:tr>
        <w:trPr/>
        <w:tc>
          <w:tcPr>
            <w:tcW w:w="1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6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(Registrant)</w:t>
            </w:r>
          </w:p>
        </w:tc>
      </w:tr>
      <w:tr>
        <w:trPr/>
        <w:tc>
          <w:tcPr>
            <w:tcW w:w="1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67" w:type="dxa"/>
            <w:gridSpan w:val="2"/>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4, 2026</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5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A. Samford</w:t>
            </w:r>
          </w:p>
        </w:tc>
      </w:tr>
      <w:tr>
        <w:trPr/>
        <w:tc>
          <w:tcPr>
            <w:tcW w:w="1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56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Amy A. Samford</w:t>
            </w:r>
          </w:p>
        </w:tc>
      </w:tr>
      <w:tr>
        <w:trPr/>
        <w:tc>
          <w:tcPr>
            <w:tcW w:w="1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r>
      <w:tr>
        <w:trPr/>
        <w:tc>
          <w:tcPr>
            <w:tcW w:w="1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561" w:type="dxa"/>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561" w:type="dxa"/>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5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E. Ruf</w:t>
            </w:r>
          </w:p>
        </w:tc>
      </w:tr>
      <w:tr>
        <w:trPr/>
        <w:tc>
          <w:tcPr>
            <w:tcW w:w="1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56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Amy E. Ruf</w:t>
            </w:r>
          </w:p>
        </w:tc>
      </w:tr>
      <w:tr>
        <w:trPr/>
        <w:tc>
          <w:tcPr>
            <w:tcW w:w="1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Controller)</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- 19 -</w:t>
      </w:r>
    </w:p>
    <w:p>
      <w:pPr>
        <w:pStyle w:val="TextBody"/>
        <w:bidi w:val="0"/>
        <w:spacing w:before="0" w:after="240"/>
        <w:ind w:left="0" w:right="0" w:hanging="0"/>
        <w:jc w:val="right"/>
        <w:rPr>
          <w:rFonts w:ascii="Times New Roman;Times;serif" w:hAnsi="Times New Roman;Times;serif"/>
          <w:b/>
          <w:sz w:val="20"/>
        </w:rPr>
      </w:pPr>
      <w:bookmarkStart w:id="703" w:name="cix-20260630xex31d1.htm"/>
      <w:bookmarkStart w:id="704" w:name="kscix20260630xex31d1"/>
      <w:bookmarkEnd w:id="703"/>
      <w:bookmarkEnd w:id="704"/>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Scott C. James, certify that:</w:t>
      </w:r>
    </w:p>
    <w:tbl>
      <w:tblPr>
        <w:tblW w:w="6685" w:type="dxa"/>
        <w:jc w:val="left"/>
        <w:tblInd w:w="0" w:type="dxa"/>
        <w:tblLayout w:type="fixed"/>
        <w:tblCellMar>
          <w:top w:w="0" w:type="dxa"/>
          <w:left w:w="0" w:type="dxa"/>
          <w:bottom w:w="0" w:type="dxa"/>
          <w:right w:w="0" w:type="dxa"/>
        </w:tblCellMar>
      </w:tblPr>
      <w:tblGrid>
        <w:gridCol w:w="185"/>
        <w:gridCol w:w="650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CompX International Inc.;</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August 4, 2026</w:t>
      </w:r>
    </w:p>
    <w:p>
      <w:pPr>
        <w:pStyle w:val="TextBody"/>
        <w:bidi w:val="0"/>
        <w:spacing w:before="0" w:after="0"/>
        <w:ind w:left="0" w:right="0" w:hanging="0"/>
        <w:jc w:val="left"/>
        <w:rPr/>
      </w:pPr>
      <w:r>
        <w:rPr/>
        <w:t>​</w:t>
      </w:r>
    </w:p>
    <w:tbl>
      <w:tblPr>
        <w:tblW w:w="3741" w:type="dxa"/>
        <w:jc w:val="center"/>
        <w:tblInd w:w="0" w:type="dxa"/>
        <w:tblLayout w:type="fixed"/>
        <w:tblCellMar>
          <w:top w:w="0" w:type="dxa"/>
          <w:left w:w="0" w:type="dxa"/>
          <w:bottom w:w="0" w:type="dxa"/>
          <w:right w:w="0" w:type="dxa"/>
        </w:tblCellMar>
      </w:tblPr>
      <w:tblGrid>
        <w:gridCol w:w="421"/>
        <w:gridCol w:w="3166"/>
        <w:gridCol w:w="154"/>
      </w:tblGrid>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Scott C. James</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31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Scott C. James</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705" w:name="cix-20260630xex31d2.htm"/>
      <w:bookmarkStart w:id="706" w:name="kscix20260630xex31d2"/>
      <w:bookmarkEnd w:id="705"/>
      <w:bookmarkEnd w:id="706"/>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Amy A. Samford, certify that:</w:t>
      </w:r>
    </w:p>
    <w:tbl>
      <w:tblPr>
        <w:tblW w:w="6685" w:type="dxa"/>
        <w:jc w:val="left"/>
        <w:tblInd w:w="0" w:type="dxa"/>
        <w:tblLayout w:type="fixed"/>
        <w:tblCellMar>
          <w:top w:w="0" w:type="dxa"/>
          <w:left w:w="0" w:type="dxa"/>
          <w:bottom w:w="0" w:type="dxa"/>
          <w:right w:w="0" w:type="dxa"/>
        </w:tblCellMar>
      </w:tblPr>
      <w:tblGrid>
        <w:gridCol w:w="185"/>
        <w:gridCol w:w="650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CompX International Inc.;</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13d-15(f))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4, 2026</w:t>
      </w:r>
    </w:p>
    <w:p>
      <w:pPr>
        <w:pStyle w:val="TextBody"/>
        <w:bidi w:val="0"/>
        <w:spacing w:before="0" w:after="0"/>
        <w:ind w:left="0" w:right="0" w:hanging="0"/>
        <w:jc w:val="left"/>
        <w:rPr/>
      </w:pPr>
      <w:r>
        <w:rPr/>
        <w:t>​</w:t>
      </w:r>
    </w:p>
    <w:tbl>
      <w:tblPr>
        <w:tblW w:w="4971" w:type="dxa"/>
        <w:jc w:val="center"/>
        <w:tblInd w:w="0" w:type="dxa"/>
        <w:tblLayout w:type="fixed"/>
        <w:tblCellMar>
          <w:top w:w="0" w:type="dxa"/>
          <w:left w:w="0" w:type="dxa"/>
          <w:bottom w:w="0" w:type="dxa"/>
          <w:right w:w="0" w:type="dxa"/>
        </w:tblCellMar>
      </w:tblPr>
      <w:tblGrid>
        <w:gridCol w:w="421"/>
        <w:gridCol w:w="4396"/>
        <w:gridCol w:w="154"/>
      </w:tblGrid>
      <w:tr>
        <w:trPr/>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67335" cy="175260"/>
                      <wp:effectExtent l="0" t="0" r="0" b="0"/>
                      <wp:wrapNone/>
                      <wp:docPr id="198" name="Frame19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791460" cy="175260"/>
                      <wp:effectExtent l="0" t="0" r="0" b="0"/>
                      <wp:wrapNone/>
                      <wp:docPr id="199" name="Frame199"/>
                      <a:graphic xmlns:a="http://schemas.openxmlformats.org/drawingml/2006/main">
                        <a:graphicData uri="http://schemas.microsoft.com/office/word/2010/wordprocessingShape">
                          <wps:wsp>
                            <wps:cNvSpPr txBox="1"/>
                            <wps:spPr>
                              <a:xfrm>
                                <a:off x="0" y="0"/>
                                <a:ext cx="2791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3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A. Samford</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43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Amy A. Samford</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439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707" w:name="cix-20260630xex32d1.htm"/>
      <w:bookmarkStart w:id="708" w:name="kscix20260630xex32d1"/>
      <w:bookmarkEnd w:id="707"/>
      <w:bookmarkEnd w:id="708"/>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CompX International Inc. (the Company) on Form 10-Q for the period ending June 30, 2026, as filed with the Securities and Exchange Commission on the date hereof (the Report), I, Scott C. James, President and Chief Executive Officer of the Company and I, Amy A. Samford, Executive Vice President and Chief Financial Officer of the Company, certify, pursuant to 18 U.S.C. §1350, as adopted pursuant to §906 of the Sarbanes-Oxley Act of 2002, that:</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 of operations of the Company.</w:t>
            </w:r>
          </w:p>
        </w:tc>
      </w:tr>
    </w:tbl>
    <w:p>
      <w:pPr>
        <w:pStyle w:val="TextBody"/>
        <w:bidi w:val="0"/>
        <w:spacing w:before="0" w:after="0"/>
        <w:ind w:left="0" w:right="0" w:hanging="0"/>
        <w:jc w:val="left"/>
        <w:rPr/>
      </w:pPr>
      <w:r>
        <w:rPr/>
        <w:t>​</w:t>
      </w:r>
    </w:p>
    <w:tbl>
      <w:tblPr>
        <w:tblW w:w="5016" w:type="dxa"/>
        <w:jc w:val="center"/>
        <w:tblInd w:w="0" w:type="dxa"/>
        <w:tblLayout w:type="fixed"/>
        <w:tblCellMar>
          <w:top w:w="0" w:type="dxa"/>
          <w:left w:w="0" w:type="dxa"/>
          <w:bottom w:w="0" w:type="dxa"/>
          <w:right w:w="0" w:type="dxa"/>
        </w:tblCellMar>
      </w:tblPr>
      <w:tblGrid>
        <w:gridCol w:w="421"/>
        <w:gridCol w:w="4441"/>
        <w:gridCol w:w="154"/>
      </w:tblGrid>
      <w:tr>
        <w:trPr/>
        <w:tc>
          <w:tcPr>
            <w:tcW w:w="421"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444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Scott C. James</w:t>
            </w:r>
          </w:p>
        </w:tc>
        <w:tc>
          <w:tcPr>
            <w:tcW w:w="154" w:type="dxa"/>
            <w:tcBorders/>
            <w:vAlign w:val="center"/>
          </w:tcPr>
          <w:p>
            <w:pPr>
              <w:pStyle w:val="TableContents"/>
              <w:bidi w:val="0"/>
              <w:spacing w:before="0" w:after="0"/>
              <w:ind w:left="0" w:right="0" w:hanging="0"/>
              <w:jc w:val="both"/>
              <w:rPr/>
            </w:pPr>
            <w:r>
              <w:rPr/>
              <w:t>​</w:t>
            </w:r>
          </w:p>
        </w:tc>
      </w:tr>
      <w:tr>
        <w:trPr/>
        <w:tc>
          <w:tcPr>
            <w:tcW w:w="421" w:type="dxa"/>
            <w:tcBorders/>
            <w:vAlign w:val="center"/>
          </w:tcPr>
          <w:p>
            <w:pPr>
              <w:pStyle w:val="TableContents"/>
              <w:bidi w:val="0"/>
              <w:spacing w:before="0" w:after="0"/>
              <w:ind w:left="0" w:right="0" w:hanging="0"/>
              <w:jc w:val="both"/>
              <w:rPr/>
            </w:pPr>
            <w:r>
              <w:rPr/>
              <w:t>​</w:t>
            </w:r>
          </w:p>
        </w:tc>
        <w:tc>
          <w:tcPr>
            <w:tcW w:w="444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Scott C. James</w:t>
            </w:r>
          </w:p>
        </w:tc>
        <w:tc>
          <w:tcPr>
            <w:tcW w:w="154" w:type="dxa"/>
            <w:tcBorders/>
            <w:vAlign w:val="center"/>
          </w:tcPr>
          <w:p>
            <w:pPr>
              <w:pStyle w:val="TableContents"/>
              <w:bidi w:val="0"/>
              <w:spacing w:before="0" w:after="0"/>
              <w:ind w:left="0" w:right="0" w:hanging="0"/>
              <w:jc w:val="both"/>
              <w:rPr/>
            </w:pPr>
            <w:r>
              <w:rPr/>
              <w:t>​</w:t>
            </w:r>
          </w:p>
        </w:tc>
      </w:tr>
      <w:tr>
        <w:trPr/>
        <w:tc>
          <w:tcPr>
            <w:tcW w:w="421" w:type="dxa"/>
            <w:tcBorders/>
            <w:vAlign w:val="center"/>
          </w:tcPr>
          <w:p>
            <w:pPr>
              <w:pStyle w:val="TableContents"/>
              <w:bidi w:val="0"/>
              <w:spacing w:before="0" w:after="0"/>
              <w:ind w:left="0" w:right="0" w:hanging="0"/>
              <w:jc w:val="both"/>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both"/>
              <w:rPr/>
            </w:pPr>
            <w:r>
              <w:rPr/>
              <w:t>​</w:t>
            </w:r>
          </w:p>
        </w:tc>
        <w:tc>
          <w:tcPr>
            <w:tcW w:w="4441"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4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444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Amy A. Samford</w:t>
            </w:r>
          </w:p>
        </w:tc>
        <w:tc>
          <w:tcPr>
            <w:tcW w:w="154" w:type="dxa"/>
            <w:tcBorders/>
            <w:vAlign w:val="center"/>
          </w:tcPr>
          <w:p>
            <w:pPr>
              <w:pStyle w:val="TableContents"/>
              <w:bidi w:val="0"/>
              <w:spacing w:before="0" w:after="0"/>
              <w:ind w:left="0" w:right="0" w:hanging="0"/>
              <w:jc w:val="both"/>
              <w:rPr/>
            </w:pPr>
            <w:r>
              <w:rPr/>
              <w:t>​</w:t>
            </w:r>
          </w:p>
        </w:tc>
      </w:tr>
      <w:tr>
        <w:trPr/>
        <w:tc>
          <w:tcPr>
            <w:tcW w:w="421" w:type="dxa"/>
            <w:tcBorders/>
            <w:vAlign w:val="center"/>
          </w:tcPr>
          <w:p>
            <w:pPr>
              <w:pStyle w:val="TableContents"/>
              <w:bidi w:val="0"/>
              <w:spacing w:before="0" w:after="0"/>
              <w:ind w:left="0" w:right="0" w:hanging="0"/>
              <w:jc w:val="both"/>
              <w:rPr/>
            </w:pPr>
            <w:r>
              <w:rPr/>
              <w:t>​</w:t>
            </w:r>
          </w:p>
        </w:tc>
        <w:tc>
          <w:tcPr>
            <w:tcW w:w="444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Amy A. Samford</w:t>
            </w:r>
          </w:p>
        </w:tc>
        <w:tc>
          <w:tcPr>
            <w:tcW w:w="154" w:type="dxa"/>
            <w:tcBorders/>
            <w:vAlign w:val="center"/>
          </w:tcPr>
          <w:p>
            <w:pPr>
              <w:pStyle w:val="TableContents"/>
              <w:bidi w:val="0"/>
              <w:spacing w:before="0" w:after="0"/>
              <w:ind w:left="0" w:right="0" w:hanging="0"/>
              <w:jc w:val="both"/>
              <w:rPr/>
            </w:pPr>
            <w:r>
              <w:rPr/>
              <w:t>​</w:t>
            </w:r>
          </w:p>
        </w:tc>
      </w:tr>
      <w:tr>
        <w:trPr/>
        <w:tc>
          <w:tcPr>
            <w:tcW w:w="421" w:type="dxa"/>
            <w:tcBorders/>
            <w:vAlign w:val="center"/>
          </w:tcPr>
          <w:p>
            <w:pPr>
              <w:pStyle w:val="TableContents"/>
              <w:bidi w:val="0"/>
              <w:spacing w:before="0" w:after="0"/>
              <w:ind w:left="0" w:right="0" w:hanging="0"/>
              <w:jc w:val="both"/>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Executive Vice President and Chief Financial Officer </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Date: August 4, 2026</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Note:  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8917</Words>
  <Characters>48230</Characters>
  <CharactersWithSpaces>58416</CharactersWithSpaces>
  <Paragraphs>3444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