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30)*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Class A Common Stock, par value $0.01 per share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20563P 10 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OBERT</w:t>
      </w:r>
      <w:r>
        <w:rPr>
          <w:rFonts w:ascii="Arial" w:cs="Arial" w:eastAsia="Arial" w:hAnsi="Arial"/>
          <w:sz w:val="22"/>
          <w:szCs w:val="22"/>
          <w:b w:val="1"/>
          <w:bCs w:val="1"/>
          <w:color w:val="auto"/>
        </w:rPr>
        <w:t xml:space="preserve"> D. G</w:t>
      </w:r>
      <w:r>
        <w:rPr>
          <w:rFonts w:ascii="Arial" w:cs="Arial" w:eastAsia="Arial" w:hAnsi="Arial"/>
          <w:sz w:val="14"/>
          <w:szCs w:val="14"/>
          <w:b w:val="1"/>
          <w:bCs w:val="1"/>
          <w:color w:val="auto"/>
        </w:rPr>
        <w:t>RAHAM</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HREE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INCOLN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ENTRE</w:t>
      </w:r>
    </w:p>
    <w:p>
      <w:pPr>
        <w:jc w:val="center"/>
        <w:spacing w:after="0" w:line="230" w:lineRule="auto"/>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UITE</w:t>
      </w:r>
      <w:r>
        <w:rPr>
          <w:rFonts w:ascii="Arial" w:cs="Arial" w:eastAsia="Arial" w:hAnsi="Arial"/>
          <w:sz w:val="22"/>
          <w:szCs w:val="22"/>
          <w:b w:val="1"/>
          <w:bCs w:val="1"/>
          <w:color w:val="auto"/>
        </w:rPr>
        <w:t xml:space="preserve"> 1700</w:t>
      </w:r>
    </w:p>
    <w:p>
      <w:pPr>
        <w:jc w:val="center"/>
        <w:spacing w:after="0" w:line="231" w:lineRule="auto"/>
        <w:rPr>
          <w:sz w:val="20"/>
          <w:szCs w:val="20"/>
          <w:color w:val="auto"/>
        </w:rPr>
      </w:pPr>
      <w:r>
        <w:rPr>
          <w:rFonts w:ascii="Arial" w:cs="Arial" w:eastAsia="Arial" w:hAnsi="Arial"/>
          <w:sz w:val="22"/>
          <w:szCs w:val="22"/>
          <w:b w:val="1"/>
          <w:bCs w:val="1"/>
          <w:color w:val="auto"/>
        </w:rPr>
        <w:t>5430 LBJ F</w:t>
      </w:r>
      <w:r>
        <w:rPr>
          <w:rFonts w:ascii="Arial" w:cs="Arial" w:eastAsia="Arial" w:hAnsi="Arial"/>
          <w:sz w:val="14"/>
          <w:szCs w:val="14"/>
          <w:b w:val="1"/>
          <w:bCs w:val="1"/>
          <w:color w:val="auto"/>
        </w:rPr>
        <w:t>REEWAY</w:t>
      </w:r>
    </w:p>
    <w:p>
      <w:pPr>
        <w:jc w:val="center"/>
        <w:spacing w:after="0" w:line="230" w:lineRule="auto"/>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ALLAS</w:t>
      </w:r>
      <w:r>
        <w:rPr>
          <w:rFonts w:ascii="Arial" w:cs="Arial" w:eastAsia="Arial" w:hAnsi="Arial"/>
          <w:sz w:val="22"/>
          <w:szCs w:val="22"/>
          <w:b w:val="1"/>
          <w:bCs w:val="1"/>
          <w:color w:val="auto"/>
        </w:rPr>
        <w:t>, T</w:t>
      </w:r>
      <w:r>
        <w:rPr>
          <w:rFonts w:ascii="Arial" w:cs="Arial" w:eastAsia="Arial" w:hAnsi="Arial"/>
          <w:sz w:val="14"/>
          <w:szCs w:val="14"/>
          <w:b w:val="1"/>
          <w:bCs w:val="1"/>
          <w:color w:val="auto"/>
        </w:rPr>
        <w:t>EXAS</w:t>
      </w:r>
      <w:r>
        <w:rPr>
          <w:rFonts w:ascii="Arial" w:cs="Arial" w:eastAsia="Arial" w:hAnsi="Arial"/>
          <w:sz w:val="22"/>
          <w:szCs w:val="22"/>
          <w:b w:val="1"/>
          <w:bCs w:val="1"/>
          <w:color w:val="auto"/>
        </w:rPr>
        <w:t xml:space="preserve">  75240-2620</w:t>
      </w:r>
    </w:p>
    <w:p>
      <w:pPr>
        <w:jc w:val="center"/>
        <w:spacing w:after="0" w:line="231" w:lineRule="auto"/>
        <w:rPr>
          <w:sz w:val="20"/>
          <w:szCs w:val="20"/>
          <w:color w:val="auto"/>
        </w:rPr>
      </w:pPr>
      <w:r>
        <w:rPr>
          <w:rFonts w:ascii="Arial" w:cs="Arial" w:eastAsia="Arial" w:hAnsi="Arial"/>
          <w:sz w:val="22"/>
          <w:szCs w:val="22"/>
          <w:b w:val="1"/>
          <w:bCs w:val="1"/>
          <w:color w:val="auto"/>
        </w:rPr>
        <w:t>(972) 233-1700</w:t>
      </w:r>
    </w:p>
    <w:p>
      <w:pPr>
        <w:jc w:val="center"/>
        <w:spacing w:after="0" w:line="231" w:lineRule="auto"/>
        <w:rPr>
          <w:sz w:val="20"/>
          <w:szCs w:val="20"/>
          <w:color w:val="auto"/>
        </w:rPr>
      </w:pPr>
      <w:r>
        <w:rPr>
          <w:rFonts w:ascii="Arial" w:cs="Arial" w:eastAsia="Arial" w:hAnsi="Arial"/>
          <w:sz w:val="22"/>
          <w:szCs w:val="22"/>
          <w:color w:val="auto"/>
        </w:rPr>
        <w:t>(Name, Address and Telephone Number of Person</w:t>
      </w:r>
    </w:p>
    <w:p>
      <w:pPr>
        <w:jc w:val="center"/>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September 3, 2019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w:t>
      </w:r>
    </w:p>
    <w:p>
      <w:pPr>
        <w:jc w:val="center"/>
        <w:spacing w:after="0"/>
        <w:rPr>
          <w:sz w:val="20"/>
          <w:szCs w:val="20"/>
          <w:color w:val="auto"/>
        </w:rPr>
      </w:pPr>
      <w:r>
        <w:rPr>
          <w:rFonts w:ascii="Arial" w:cs="Arial" w:eastAsia="Arial" w:hAnsi="Arial"/>
          <w:sz w:val="22"/>
          <w:szCs w:val="22"/>
          <w:color w:val="auto"/>
        </w:rPr>
        <w:t>of this Statement)</w:t>
      </w:r>
    </w:p>
    <w:p>
      <w:pPr>
        <w:spacing w:after="0" w:line="215" w:lineRule="exact"/>
        <w:rPr>
          <w:sz w:val="24"/>
          <w:szCs w:val="24"/>
          <w:color w:val="auto"/>
        </w:rPr>
      </w:pPr>
    </w:p>
    <w:p>
      <w:pPr>
        <w:jc w:val="both"/>
        <w:spacing w:after="0" w:line="281"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sections 240.13d-1(e), 240.13d-1(f) or 240.13d-1(g), check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the following box. </w:t>
      </w:r>
      <w:r>
        <w:rPr>
          <w:rFonts w:ascii="Arial" w:cs="Arial" w:eastAsia="Arial" w:hAnsi="Arial"/>
          <w:sz w:val="25"/>
          <w:szCs w:val="25"/>
          <w:color w:val="auto"/>
        </w:rPr>
        <w:t>□</w:t>
      </w:r>
    </w:p>
    <w:p>
      <w:pPr>
        <w:spacing w:after="0" w:line="22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spacing w:after="0" w:line="258" w:lineRule="auto"/>
        <w:rPr>
          <w:sz w:val="20"/>
          <w:szCs w:val="20"/>
          <w:color w:val="auto"/>
        </w:rPr>
      </w:pPr>
      <w:r>
        <w:rPr>
          <w:rFonts w:ascii="Arial" w:cs="Arial" w:eastAsia="Arial" w:hAnsi="Arial"/>
          <w:sz w:val="21"/>
          <w:szCs w:val="21"/>
          <w:color w:val="auto"/>
        </w:rPr>
        <w:t>The information required on the remainder of this cover page shall not be deemed to be “filed” for the purpose of Section 18 of the Securities Exchange Act of 1934 (“</w:t>
      </w:r>
      <w:r>
        <w:rPr>
          <w:rFonts w:ascii="Arial" w:cs="Arial" w:eastAsia="Arial" w:hAnsi="Arial"/>
          <w:sz w:val="21"/>
          <w:szCs w:val="21"/>
          <w:i w:val="1"/>
          <w:iCs w:val="1"/>
          <w:color w:val="auto"/>
        </w:rPr>
        <w:t>Act</w:t>
      </w:r>
      <w:r>
        <w:rPr>
          <w:rFonts w:ascii="Arial" w:cs="Arial" w:eastAsia="Arial" w:hAnsi="Arial"/>
          <w:sz w:val="21"/>
          <w:szCs w:val="21"/>
          <w:color w:val="auto"/>
        </w:rPr>
        <w:t>”) or otherwise subject to the liabilities of that section of the Act but shall be subject to all other provisions of the Act (however, see the Notes).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118745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00"/>
          </w:cols>
          <w:pgMar w:left="900" w:top="226" w:right="8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NL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New Jersey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ind w:left="1200" w:hanging="643"/>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Kronos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7" w:lineRule="exact"/>
        <w:rPr>
          <w:sz w:val="20"/>
          <w:szCs w:val="20"/>
          <w:color w:val="auto"/>
        </w:rPr>
      </w:pPr>
    </w:p>
    <w:p>
      <w:pPr>
        <w:ind w:left="1200" w:hanging="64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Valhi,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Dixie Rice Agricultural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Louisiana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10,758,104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10,758,104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7" w:lineRule="exact"/>
        <w:rPr>
          <w:sz w:val="20"/>
          <w:szCs w:val="20"/>
          <w:color w:val="auto"/>
        </w:rPr>
      </w:pPr>
    </w:p>
    <w:p>
      <w:pPr>
        <w:ind w:left="1200" w:hanging="643"/>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Contran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10,764,004</w:t>
      </w:r>
    </w:p>
    <w:p>
      <w:pPr>
        <w:spacing w:after="0" w:line="21" w:lineRule="exact"/>
        <w:rPr>
          <w:rFonts w:ascii="Arial" w:cs="Arial" w:eastAsia="Arial" w:hAnsi="Arial"/>
          <w:sz w:val="18"/>
          <w:szCs w:val="18"/>
          <w:color w:val="auto"/>
        </w:rPr>
      </w:pPr>
    </w:p>
    <w:p>
      <w:pPr>
        <w:ind w:left="1200" w:hanging="68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w:t>
      </w:r>
    </w:p>
    <w:p>
      <w:pPr>
        <w:spacing w:after="0" w:line="252" w:lineRule="exact"/>
        <w:rPr>
          <w:rFonts w:ascii="Arial" w:cs="Arial" w:eastAsia="Arial" w:hAnsi="Arial"/>
          <w:sz w:val="18"/>
          <w:szCs w:val="18"/>
          <w:color w:val="auto"/>
        </w:rPr>
      </w:pPr>
    </w:p>
    <w:p>
      <w:pPr>
        <w:ind w:left="1200" w:hanging="68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7" w:lineRule="exact"/>
        <w:rPr>
          <w:sz w:val="20"/>
          <w:szCs w:val="20"/>
          <w:color w:val="auto"/>
        </w:rPr>
      </w:pPr>
    </w:p>
    <w:p>
      <w:pPr>
        <w:ind w:left="1200" w:hanging="643"/>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Lisa 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Serena Simmons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2,000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20563P 10 1</w:t>
      </w:r>
    </w:p>
    <w:p>
      <w:pPr>
        <w:spacing w:after="0" w:line="246" w:lineRule="exact"/>
        <w:rPr>
          <w:sz w:val="20"/>
          <w:szCs w:val="20"/>
          <w:color w:val="auto"/>
        </w:rPr>
      </w:pPr>
    </w:p>
    <w:p>
      <w:pPr>
        <w:ind w:left="1200" w:hanging="643"/>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Harold C. Simmons Family Trust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480" w:hanging="283"/>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00" w:hanging="303"/>
        <w:spacing w:after="0"/>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43"/>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hanging="643"/>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00" w:right="4900" w:hanging="643"/>
        <w:spacing w:after="0" w:line="277" w:lineRule="auto"/>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200" w:hanging="643"/>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Texas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10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9"/>
              </w:rPr>
              <w:t>7</w:t>
            </w:r>
          </w:p>
        </w:tc>
        <w:tc>
          <w:tcPr>
            <w:tcW w:w="77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580" w:type="dxa"/>
            <w:vAlign w:val="bottom"/>
          </w:tcPr>
          <w:p>
            <w:pPr>
              <w:jc w:val="center"/>
              <w:spacing w:after="0" w:line="198" w:lineRule="exact"/>
              <w:rPr>
                <w:sz w:val="20"/>
                <w:szCs w:val="20"/>
                <w:color w:val="auto"/>
              </w:rPr>
            </w:pPr>
            <w:r>
              <w:rPr>
                <w:rFonts w:ascii="Arial" w:cs="Arial" w:eastAsia="Arial" w:hAnsi="Arial"/>
                <w:sz w:val="18"/>
                <w:szCs w:val="18"/>
                <w:color w:val="auto"/>
                <w:w w:val="99"/>
              </w:rPr>
              <w:t>BENEFICIALLY</w:t>
            </w:r>
          </w:p>
        </w:tc>
        <w:tc>
          <w:tcPr>
            <w:tcW w:w="1080" w:type="dxa"/>
            <w:vAlign w:val="bottom"/>
          </w:tcPr>
          <w:p>
            <w:pPr>
              <w:jc w:val="center"/>
              <w:ind w:left="210"/>
              <w:spacing w:after="0" w:line="198" w:lineRule="exact"/>
              <w:rPr>
                <w:sz w:val="20"/>
                <w:szCs w:val="20"/>
                <w:color w:val="auto"/>
              </w:rPr>
            </w:pPr>
            <w:r>
              <w:rPr>
                <w:rFonts w:ascii="Arial" w:cs="Arial" w:eastAsia="Arial" w:hAnsi="Arial"/>
                <w:sz w:val="18"/>
                <w:szCs w:val="18"/>
                <w:color w:val="auto"/>
                <w:w w:val="99"/>
              </w:rPr>
              <w:t>8</w:t>
            </w:r>
          </w:p>
        </w:tc>
        <w:tc>
          <w:tcPr>
            <w:tcW w:w="7760" w:type="dxa"/>
            <w:vAlign w:val="bottom"/>
          </w:tcPr>
          <w:p>
            <w:pPr>
              <w:ind w:left="300"/>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10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r>
        <w:trPr>
          <w:trHeight w:val="188"/>
        </w:trPr>
        <w:tc>
          <w:tcPr>
            <w:tcW w:w="25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8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9"/>
              </w:rPr>
              <w:t>9</w:t>
            </w:r>
          </w:p>
        </w:tc>
        <w:tc>
          <w:tcPr>
            <w:tcW w:w="7760" w:type="dxa"/>
            <w:vAlign w:val="bottom"/>
          </w:tcPr>
          <w:p>
            <w:pPr>
              <w:ind w:left="3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080" w:type="dxa"/>
            <w:vAlign w:val="bottom"/>
          </w:tcPr>
          <w:p>
            <w:pPr>
              <w:spacing w:after="0"/>
              <w:rPr>
                <w:sz w:val="18"/>
                <w:szCs w:val="18"/>
                <w:color w:val="auto"/>
              </w:rPr>
            </w:pPr>
          </w:p>
        </w:tc>
        <w:tc>
          <w:tcPr>
            <w:tcW w:w="7760" w:type="dxa"/>
            <w:vAlign w:val="bottom"/>
          </w:tcPr>
          <w:p>
            <w:pPr>
              <w:jc w:val="right"/>
              <w:ind w:right="59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8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080" w:type="dxa"/>
            <w:vAlign w:val="bottom"/>
          </w:tcPr>
          <w:p>
            <w:pPr>
              <w:jc w:val="center"/>
              <w:ind w:left="210"/>
              <w:spacing w:after="0" w:line="162" w:lineRule="exact"/>
              <w:rPr>
                <w:sz w:val="20"/>
                <w:szCs w:val="20"/>
                <w:color w:val="auto"/>
              </w:rPr>
            </w:pPr>
            <w:r>
              <w:rPr>
                <w:rFonts w:ascii="Arial" w:cs="Arial" w:eastAsia="Arial" w:hAnsi="Arial"/>
                <w:sz w:val="18"/>
                <w:szCs w:val="18"/>
                <w:color w:val="auto"/>
                <w:w w:val="89"/>
              </w:rPr>
              <w:t>10</w:t>
            </w:r>
          </w:p>
        </w:tc>
        <w:tc>
          <w:tcPr>
            <w:tcW w:w="7760" w:type="dxa"/>
            <w:vAlign w:val="bottom"/>
          </w:tcPr>
          <w:p>
            <w:pPr>
              <w:ind w:left="300"/>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25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1080" w:type="dxa"/>
            <w:vAlign w:val="bottom"/>
          </w:tcPr>
          <w:p>
            <w:pPr>
              <w:spacing w:after="0"/>
              <w:rPr>
                <w:sz w:val="23"/>
                <w:szCs w:val="23"/>
                <w:color w:val="auto"/>
              </w:rPr>
            </w:pPr>
          </w:p>
        </w:tc>
        <w:tc>
          <w:tcPr>
            <w:tcW w:w="7760" w:type="dxa"/>
            <w:vAlign w:val="bottom"/>
          </w:tcPr>
          <w:p>
            <w:pPr>
              <w:jc w:val="right"/>
              <w:ind w:right="5910"/>
              <w:spacing w:after="0"/>
              <w:rPr>
                <w:sz w:val="20"/>
                <w:szCs w:val="20"/>
                <w:color w:val="auto"/>
              </w:rPr>
            </w:pPr>
            <w:r>
              <w:rPr>
                <w:rFonts w:ascii="Arial" w:cs="Arial" w:eastAsia="Arial" w:hAnsi="Arial"/>
                <w:sz w:val="18"/>
                <w:szCs w:val="18"/>
                <w:b w:val="1"/>
                <w:bCs w:val="1"/>
                <w:color w:val="auto"/>
              </w:rPr>
              <w:t>10,764,004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0" w:hanging="684"/>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200" w:hanging="688"/>
        <w:spacing w:after="0" w:line="207" w:lineRule="exact"/>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200" w:hanging="688"/>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00" w:hanging="688"/>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AMENDMENT NO. 30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SCHEDULE 13D</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This Amendment No. 30 to this Statement on Schedule 13D (this “</w:t>
      </w:r>
      <w:r>
        <w:rPr>
          <w:rFonts w:ascii="Arial" w:cs="Arial" w:eastAsia="Arial" w:hAnsi="Arial"/>
          <w:sz w:val="21"/>
          <w:szCs w:val="21"/>
          <w:i w:val="1"/>
          <w:iCs w:val="1"/>
          <w:color w:val="auto"/>
        </w:rPr>
        <w:t>Statement</w:t>
      </w:r>
      <w:r>
        <w:rPr>
          <w:rFonts w:ascii="Arial" w:cs="Arial" w:eastAsia="Arial" w:hAnsi="Arial"/>
          <w:sz w:val="21"/>
          <w:szCs w:val="21"/>
          <w:color w:val="auto"/>
        </w:rPr>
        <w:t>”) relates to the class A common stock, par value $0.01 per share (the “</w:t>
      </w:r>
      <w:r>
        <w:rPr>
          <w:rFonts w:ascii="Arial" w:cs="Arial" w:eastAsia="Arial" w:hAnsi="Arial"/>
          <w:sz w:val="21"/>
          <w:szCs w:val="21"/>
          <w:i w:val="1"/>
          <w:iCs w:val="1"/>
          <w:color w:val="auto"/>
        </w:rPr>
        <w:t>Class A Shares</w:t>
      </w:r>
      <w:r>
        <w:rPr>
          <w:rFonts w:ascii="Arial" w:cs="Arial" w:eastAsia="Arial" w:hAnsi="Arial"/>
          <w:sz w:val="21"/>
          <w:szCs w:val="21"/>
          <w:color w:val="auto"/>
        </w:rPr>
        <w:t>”), of CompX International Inc., a Delaware corporation (“</w:t>
      </w:r>
      <w:r>
        <w:rPr>
          <w:rFonts w:ascii="Arial" w:cs="Arial" w:eastAsia="Arial" w:hAnsi="Arial"/>
          <w:sz w:val="21"/>
          <w:szCs w:val="21"/>
          <w:i w:val="1"/>
          <w:iCs w:val="1"/>
          <w:color w:val="auto"/>
        </w:rPr>
        <w:t>CompX</w:t>
      </w:r>
      <w:r>
        <w:rPr>
          <w:rFonts w:ascii="Arial" w:cs="Arial" w:eastAsia="Arial" w:hAnsi="Arial"/>
          <w:sz w:val="21"/>
          <w:szCs w:val="21"/>
          <w:color w:val="auto"/>
        </w:rPr>
        <w:t>”). Items 2, 4, 5 and 7 of this Statement are hereby amended as set forth below. The Reporting Persons (as defined below) are filing this amendment as a result of the appointment of a successor trustee of the Family Trust (as defined below).</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2 is amended and supplemented as follows.</w:t>
      </w:r>
    </w:p>
    <w:p>
      <w:pPr>
        <w:spacing w:after="0" w:line="233" w:lineRule="exact"/>
        <w:rPr>
          <w:sz w:val="20"/>
          <w:szCs w:val="20"/>
          <w:color w:val="auto"/>
        </w:rPr>
      </w:pPr>
    </w:p>
    <w:p>
      <w:pPr>
        <w:ind w:left="1560" w:hanging="904"/>
        <w:spacing w:after="0"/>
        <w:tabs>
          <w:tab w:leader="none" w:pos="1560"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The following entities or persons are filing this Statement (collectively, the “</w:t>
      </w:r>
      <w:r>
        <w:rPr>
          <w:rFonts w:ascii="Arial" w:cs="Arial" w:eastAsia="Arial" w:hAnsi="Arial"/>
          <w:sz w:val="22"/>
          <w:szCs w:val="22"/>
          <w:i w:val="1"/>
          <w:iCs w:val="1"/>
          <w:color w:val="auto"/>
        </w:rPr>
        <w:t>Reporting Persons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19"/>
          <w:szCs w:val="19"/>
          <w:color w:val="auto"/>
        </w:rPr>
        <w:t>NL Industries, Inc. (“</w:t>
      </w:r>
      <w:r>
        <w:rPr>
          <w:rFonts w:ascii="Arial" w:cs="Arial" w:eastAsia="Arial" w:hAnsi="Arial"/>
          <w:sz w:val="19"/>
          <w:szCs w:val="19"/>
          <w:i w:val="1"/>
          <w:iCs w:val="1"/>
          <w:color w:val="auto"/>
        </w:rPr>
        <w:t>NL</w:t>
      </w:r>
      <w:r>
        <w:rPr>
          <w:rFonts w:ascii="Arial" w:cs="Arial" w:eastAsia="Arial" w:hAnsi="Arial"/>
          <w:sz w:val="19"/>
          <w:szCs w:val="19"/>
          <w:color w:val="auto"/>
        </w:rPr>
        <w:t>”) as a direct holder of Class A Shares;</w:t>
      </w:r>
    </w:p>
    <w:p>
      <w:pPr>
        <w:spacing w:after="0" w:line="233" w:lineRule="exact"/>
        <w:rPr>
          <w:sz w:val="20"/>
          <w:szCs w:val="20"/>
          <w:color w:val="auto"/>
        </w:rPr>
      </w:pPr>
    </w:p>
    <w:p>
      <w:pPr>
        <w:ind w:left="1300" w:hanging="644"/>
        <w:spacing w:after="0" w:line="25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Kronos Worldwide, Inc. (“</w:t>
      </w:r>
      <w:r>
        <w:rPr>
          <w:rFonts w:ascii="Arial" w:cs="Arial" w:eastAsia="Arial" w:hAnsi="Arial"/>
          <w:sz w:val="22"/>
          <w:szCs w:val="22"/>
          <w:i w:val="1"/>
          <w:iCs w:val="1"/>
          <w:color w:val="auto"/>
        </w:rPr>
        <w:t>Kronos Worldwide</w:t>
      </w:r>
      <w:r>
        <w:rPr>
          <w:rFonts w:ascii="Arial" w:cs="Arial" w:eastAsia="Arial" w:hAnsi="Arial"/>
          <w:sz w:val="22"/>
          <w:szCs w:val="22"/>
          <w:color w:val="auto"/>
        </w:rPr>
        <w:t>”), Valhi, Inc. (“</w:t>
      </w:r>
      <w:r>
        <w:rPr>
          <w:rFonts w:ascii="Arial" w:cs="Arial" w:eastAsia="Arial" w:hAnsi="Arial"/>
          <w:sz w:val="22"/>
          <w:szCs w:val="22"/>
          <w:i w:val="1"/>
          <w:iCs w:val="1"/>
          <w:color w:val="auto"/>
        </w:rPr>
        <w:t>Valhi</w:t>
      </w:r>
      <w:r>
        <w:rPr>
          <w:rFonts w:ascii="Arial" w:cs="Arial" w:eastAsia="Arial" w:hAnsi="Arial"/>
          <w:sz w:val="22"/>
          <w:szCs w:val="22"/>
          <w:color w:val="auto"/>
        </w:rPr>
        <w:t>”), Dixie Rice Agricultural L.L.C. (“</w:t>
      </w:r>
      <w:r>
        <w:rPr>
          <w:rFonts w:ascii="Arial" w:cs="Arial" w:eastAsia="Arial" w:hAnsi="Arial"/>
          <w:sz w:val="22"/>
          <w:szCs w:val="22"/>
          <w:i w:val="1"/>
          <w:iCs w:val="1"/>
          <w:color w:val="auto"/>
        </w:rPr>
        <w:t>Dixie Rice</w:t>
      </w:r>
      <w:r>
        <w:rPr>
          <w:rFonts w:ascii="Arial" w:cs="Arial" w:eastAsia="Arial" w:hAnsi="Arial"/>
          <w:sz w:val="22"/>
          <w:szCs w:val="22"/>
          <w:color w:val="auto"/>
        </w:rPr>
        <w:t>”) and Contran Corporation (“</w:t>
      </w:r>
      <w:r>
        <w:rPr>
          <w:rFonts w:ascii="Arial" w:cs="Arial" w:eastAsia="Arial" w:hAnsi="Arial"/>
          <w:sz w:val="22"/>
          <w:szCs w:val="22"/>
          <w:i w:val="1"/>
          <w:iCs w:val="1"/>
          <w:color w:val="auto"/>
        </w:rPr>
        <w:t>Contran</w:t>
      </w:r>
      <w:r>
        <w:rPr>
          <w:rFonts w:ascii="Arial" w:cs="Arial" w:eastAsia="Arial" w:hAnsi="Arial"/>
          <w:sz w:val="22"/>
          <w:szCs w:val="22"/>
          <w:color w:val="auto"/>
        </w:rPr>
        <w:t>”) by virtue of their direct or indirect ownership of NL;</w:t>
      </w:r>
    </w:p>
    <w:p>
      <w:pPr>
        <w:spacing w:after="0" w:line="200" w:lineRule="exact"/>
        <w:rPr>
          <w:rFonts w:ascii="Arial" w:cs="Arial" w:eastAsia="Arial" w:hAnsi="Arial"/>
          <w:sz w:val="22"/>
          <w:szCs w:val="22"/>
          <w:color w:val="auto"/>
        </w:rPr>
      </w:pPr>
    </w:p>
    <w:p>
      <w:pPr>
        <w:ind w:left="1300" w:hanging="644"/>
        <w:spacing w:after="0" w:line="25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Lisa K. Simmons by virtue of ownership of outstanding voting stock of Contran by her and entities related to her, and her position as co-chair of the Contran board of directors (the “</w:t>
      </w:r>
      <w:r>
        <w:rPr>
          <w:rFonts w:ascii="Arial" w:cs="Arial" w:eastAsia="Arial" w:hAnsi="Arial"/>
          <w:sz w:val="22"/>
          <w:szCs w:val="22"/>
          <w:i w:val="1"/>
          <w:iCs w:val="1"/>
          <w:color w:val="auto"/>
        </w:rPr>
        <w:t>Contran Board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300" w:hanging="644"/>
        <w:spacing w:after="0" w:line="25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Serena Simmons Connelly by virtue of ownership of outstanding voting stock of Contran by her and entities related to her, and her position as co-chair of the Contran Board; and</w:t>
      </w:r>
    </w:p>
    <w:p>
      <w:pPr>
        <w:spacing w:after="0" w:line="200" w:lineRule="exact"/>
        <w:rPr>
          <w:rFonts w:ascii="Arial" w:cs="Arial" w:eastAsia="Arial" w:hAnsi="Arial"/>
          <w:sz w:val="22"/>
          <w:szCs w:val="22"/>
          <w:color w:val="auto"/>
        </w:rPr>
      </w:pPr>
    </w:p>
    <w:p>
      <w:pPr>
        <w:ind w:left="1300" w:right="20" w:hanging="644"/>
        <w:spacing w:after="0" w:line="251"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Harold C. Simmons Family Trust No. 2 (the “</w:t>
      </w:r>
      <w:r>
        <w:rPr>
          <w:rFonts w:ascii="Arial" w:cs="Arial" w:eastAsia="Arial" w:hAnsi="Arial"/>
          <w:sz w:val="22"/>
          <w:szCs w:val="22"/>
          <w:i w:val="1"/>
          <w:iCs w:val="1"/>
          <w:color w:val="auto"/>
        </w:rPr>
        <w:t>Family Trust</w:t>
      </w:r>
      <w:r>
        <w:rPr>
          <w:rFonts w:ascii="Arial" w:cs="Arial" w:eastAsia="Arial" w:hAnsi="Arial"/>
          <w:sz w:val="22"/>
          <w:szCs w:val="22"/>
          <w:color w:val="auto"/>
        </w:rPr>
        <w:t>”), by virtue of its ownership of outstanding voting stock of Contran.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Statement, each Reporting Person agrees that this Statement is filed on its or her behalf.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is a description of the relationships among the Reporting Persons.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 majority of Contran’s outstanding voting stock is held directly by Ms. Simmons and Ms. Connelly and various family trusts established for the benefit of Ms. Simmons and Ms. Connelly and their children and for which Ms. Simmons or Ms. Connelly, as applicable, serves as trustee (collectively, the “</w:t>
      </w:r>
      <w:r>
        <w:rPr>
          <w:rFonts w:ascii="Arial" w:cs="Arial" w:eastAsia="Arial" w:hAnsi="Arial"/>
          <w:sz w:val="22"/>
          <w:szCs w:val="22"/>
          <w:i w:val="1"/>
          <w:iCs w:val="1"/>
          <w:color w:val="auto"/>
        </w:rPr>
        <w:t>Other Trusts</w:t>
      </w:r>
      <w:r>
        <w:rPr>
          <w:rFonts w:ascii="Arial" w:cs="Arial" w:eastAsia="Arial" w:hAnsi="Arial"/>
          <w:sz w:val="22"/>
          <w:szCs w:val="22"/>
          <w:color w:val="auto"/>
        </w:rPr>
        <w:t>”). The remainder of Contran’s outstanding voting stock is held by the Family Trust, for which Ms. Simmons and Ms. Connelly previously served as co-trustees. Ms. Simmons and Ms. Connelly are sisters.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0" w:name="page11"/>
    <w:bookmarkEnd w:id="10"/>
    <w:p>
      <w:pPr>
        <w:jc w:val="both"/>
        <w:ind w:firstLine="648"/>
        <w:spacing w:after="0" w:line="234" w:lineRule="auto"/>
        <w:rPr>
          <w:sz w:val="20"/>
          <w:szCs w:val="20"/>
          <w:color w:val="auto"/>
        </w:rPr>
      </w:pPr>
      <w:r>
        <w:rPr>
          <w:rFonts w:ascii="Arial" w:cs="Arial" w:eastAsia="Arial" w:hAnsi="Arial"/>
          <w:sz w:val="22"/>
          <w:szCs w:val="22"/>
          <w:color w:val="auto"/>
        </w:rPr>
        <w:t>Effective July 16, 2019, and upon entry of an agreed final judgment by the probate court of Dallas County in the state of Texas (the “</w:t>
      </w:r>
      <w:r>
        <w:rPr>
          <w:rFonts w:ascii="Arial" w:cs="Arial" w:eastAsia="Arial" w:hAnsi="Arial"/>
          <w:sz w:val="22"/>
          <w:szCs w:val="22"/>
          <w:i w:val="1"/>
          <w:iCs w:val="1"/>
          <w:color w:val="auto"/>
        </w:rPr>
        <w:t>Final Judgment</w:t>
      </w:r>
      <w:r>
        <w:rPr>
          <w:rFonts w:ascii="Arial" w:cs="Arial" w:eastAsia="Arial" w:hAnsi="Arial"/>
          <w:sz w:val="22"/>
          <w:szCs w:val="22"/>
          <w:color w:val="auto"/>
        </w:rPr>
        <w:t>”), Ms. Simmons and Ms. Connelly appointed Terri Lacy and Kalita Blessing, respectively, as successor co-trustees of the Family Trust. Effective September 3, 2019, each of Ms. Lacy and Ms. Blessing resigned as a trustee of the Family Trust. Effective September 3, 2019, each of Ms. Simmons and Ms. Connelly appointed Tolleson Private Bank (the “</w:t>
      </w:r>
      <w:r>
        <w:rPr>
          <w:rFonts w:ascii="Arial" w:cs="Arial" w:eastAsia="Arial" w:hAnsi="Arial"/>
          <w:sz w:val="22"/>
          <w:szCs w:val="22"/>
          <w:i w:val="1"/>
          <w:iCs w:val="1"/>
          <w:color w:val="auto"/>
        </w:rPr>
        <w:t>Trustee</w:t>
      </w:r>
      <w:r>
        <w:rPr>
          <w:rFonts w:ascii="Arial" w:cs="Arial" w:eastAsia="Arial" w:hAnsi="Arial"/>
          <w:sz w:val="22"/>
          <w:szCs w:val="22"/>
          <w:color w:val="auto"/>
        </w:rPr>
        <w:t>”) as successor trustee of the Family Trust. Pursuant to the Final Judgment, Ms. Simmons and Ms. Connelly retain the ability to appoint qualifying successor trustees of the Family Trust if the then-serving trustee resigns or otherwise does not serve as trustee.</w:t>
      </w:r>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Ms. Simmons and Ms. Connelly serve as co-chairs of the Contran Board, and one other member of Contran management also serves on the Contran Board. The Trustee of the Family Trust has the power to vote and direct the disposition of the shares of Contran stock held by the Family Trust. Ms. Simmons and Ms. Connelly each has the power to vote and direct the disposition of shares of Contran stock they hold directly or which is held by the Other Trusts for which they serve as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Contran is the holder of the sole membership interest of Dixie Rice and may be deemed to control Dixie Rice.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Ms. Simmons, Ms. Connelly and the Family Trust directly hold, or are related to the following persons or entities that directly hold, the following percentages of the 12,443,057 Class A Shares outstanding as of the close of business on August 30, 2019 based on information from CompX (the “</w:t>
      </w:r>
      <w:r>
        <w:rPr>
          <w:rFonts w:ascii="Arial" w:cs="Arial" w:eastAsia="Arial" w:hAnsi="Arial"/>
          <w:sz w:val="22"/>
          <w:szCs w:val="22"/>
          <w:i w:val="1"/>
          <w:iCs w:val="1"/>
          <w:color w:val="auto"/>
        </w:rPr>
        <w:t>Outstanding Class A Shares</w:t>
      </w:r>
      <w:r>
        <w:rPr>
          <w:rFonts w:ascii="Arial" w:cs="Arial" w:eastAsia="Arial" w:hAnsi="Arial"/>
          <w:sz w:val="22"/>
          <w:szCs w:val="22"/>
          <w:color w:val="auto"/>
        </w:rPr>
        <w:t>”):</w:t>
      </w:r>
    </w:p>
    <w:p>
      <w:pPr>
        <w:sectPr>
          <w:pgSz w:w="11900" w:h="16838" w:orient="portrait"/>
          <w:cols w:equalWidth="0" w:num="1">
            <w:col w:w="11420"/>
          </w:cols>
          <w:pgMar w:left="240" w:top="361" w:right="2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NL</w:t>
      </w:r>
    </w:p>
    <w:p>
      <w:pPr>
        <w:spacing w:after="0" w:line="238" w:lineRule="auto"/>
        <w:rPr>
          <w:sz w:val="20"/>
          <w:szCs w:val="20"/>
          <w:color w:val="auto"/>
        </w:rPr>
      </w:pPr>
      <w:r>
        <w:rPr>
          <w:rFonts w:ascii="Arial" w:cs="Arial" w:eastAsia="Arial" w:hAnsi="Arial"/>
          <w:sz w:val="22"/>
          <w:szCs w:val="22"/>
          <w:color w:val="auto"/>
        </w:rPr>
        <w:t>Contran</w:t>
      </w:r>
    </w:p>
    <w:p>
      <w:pPr>
        <w:spacing w:after="0"/>
        <w:rPr>
          <w:sz w:val="20"/>
          <w:szCs w:val="20"/>
          <w:color w:val="auto"/>
        </w:rPr>
      </w:pPr>
      <w:r>
        <w:rPr>
          <w:rFonts w:ascii="Arial" w:cs="Arial" w:eastAsia="Arial" w:hAnsi="Arial"/>
          <w:sz w:val="19"/>
          <w:szCs w:val="19"/>
          <w:color w:val="auto"/>
        </w:rPr>
        <w:t>Kronos Worldwide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Serena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Simmons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Connelly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86.4%</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34" w:lineRule="exact"/>
        <w:rPr>
          <w:sz w:val="20"/>
          <w:szCs w:val="20"/>
          <w:color w:val="auto"/>
        </w:rPr>
      </w:pPr>
    </w:p>
    <w:p>
      <w:pPr>
        <w:sectPr>
          <w:pgSz w:w="11900" w:h="16838" w:orient="portrait"/>
          <w:cols w:equalWidth="0" w:num="4">
            <w:col w:w="3280" w:space="720"/>
            <w:col w:w="3480" w:space="720"/>
            <w:col w:w="800" w:space="220"/>
            <w:col w:w="2200"/>
          </w:cols>
          <w:pgMar w:left="240" w:top="361" w:right="239" w:bottom="1440" w:gutter="0" w:footer="0" w:header="0"/>
          <w:type w:val="continuous"/>
        </w:sectPr>
      </w:pPr>
    </w:p>
    <w:p>
      <w:pPr>
        <w:spacing w:after="0" w:line="2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Ms. Simmons, Ms. Connelly and the Family Trust directly hold, or are related to the following persons or entities that directly hold, the following percentages of the outstanding shares of NL common stock:</w:t>
      </w:r>
    </w:p>
    <w:p>
      <w:pPr>
        <w:sectPr>
          <w:pgSz w:w="11900" w:h="16838" w:orient="portrait"/>
          <w:cols w:equalWidth="0" w:num="1">
            <w:col w:w="11420"/>
          </w:cols>
          <w:pgMar w:left="240" w:top="361" w:right="2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Valhi</w:t>
      </w:r>
    </w:p>
    <w:p>
      <w:pPr>
        <w:spacing w:after="0" w:line="238" w:lineRule="auto"/>
        <w:rPr>
          <w:sz w:val="20"/>
          <w:szCs w:val="20"/>
          <w:color w:val="auto"/>
        </w:rPr>
      </w:pPr>
      <w:r>
        <w:rPr>
          <w:rFonts w:ascii="Arial" w:cs="Arial" w:eastAsia="Arial" w:hAnsi="Arial"/>
          <w:sz w:val="22"/>
          <w:szCs w:val="22"/>
          <w:color w:val="auto"/>
        </w:rPr>
        <w:t>Kronos Worldwide</w:t>
      </w:r>
    </w:p>
    <w:p>
      <w:pPr>
        <w:spacing w:after="0"/>
        <w:rPr>
          <w:sz w:val="20"/>
          <w:szCs w:val="20"/>
          <w:color w:val="auto"/>
        </w:rPr>
      </w:pPr>
      <w:r>
        <w:rPr>
          <w:rFonts w:ascii="Arial" w:cs="Arial" w:eastAsia="Arial" w:hAnsi="Arial"/>
          <w:sz w:val="19"/>
          <w:szCs w:val="19"/>
          <w:color w:val="auto"/>
        </w:rPr>
        <w:t>Serena Simmons Connelly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82.8%</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00" w:lineRule="exact"/>
        <w:rPr>
          <w:sz w:val="20"/>
          <w:szCs w:val="20"/>
          <w:color w:val="auto"/>
        </w:rPr>
      </w:pPr>
    </w:p>
    <w:p>
      <w:pPr>
        <w:sectPr>
          <w:pgSz w:w="11900" w:h="16838" w:orient="portrait"/>
          <w:cols w:equalWidth="0" w:num="2">
            <w:col w:w="8620" w:space="720"/>
            <w:col w:w="2080"/>
          </w:cols>
          <w:pgMar w:left="240" w:top="361" w:right="2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Together, Valhi and Kronos Worldwide may be deemed to control NL.</w:t>
      </w:r>
    </w:p>
    <w:p>
      <w:pPr>
        <w:sectPr>
          <w:pgSz w:w="11900" w:h="16838" w:orient="portrait"/>
          <w:cols w:equalWidth="0" w:num="1">
            <w:col w:w="11420"/>
          </w:cols>
          <w:pgMar w:left="240" w:top="361" w:right="239" w:bottom="1440" w:gutter="0" w:footer="0" w:header="0"/>
          <w:type w:val="continuous"/>
        </w:sectPr>
      </w:pPr>
    </w:p>
    <w:p>
      <w:pPr>
        <w:spacing w:after="0" w:line="26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Ms. Simmons, Ms. Connelly and the Family Trust directly hold, or are related to the following persons or entities that directly hold, the following percentages of the outstanding shares of Kronos Worldwide common stock:</w:t>
      </w:r>
    </w:p>
    <w:p>
      <w:pPr>
        <w:sectPr>
          <w:pgSz w:w="11900" w:h="16838" w:orient="portrait"/>
          <w:cols w:equalWidth="0" w:num="1">
            <w:col w:w="11420"/>
          </w:cols>
          <w:pgMar w:left="240" w:top="361" w:right="2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Valhi</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NLKW Holding LLC (“</w:t>
      </w:r>
      <w:r>
        <w:rPr>
          <w:rFonts w:ascii="Arial" w:cs="Arial" w:eastAsia="Arial" w:hAnsi="Arial"/>
          <w:sz w:val="21"/>
          <w:szCs w:val="21"/>
          <w:i w:val="1"/>
          <w:iCs w:val="1"/>
          <w:color w:val="auto"/>
        </w:rPr>
        <w:t>NLKW</w:t>
      </w:r>
      <w:r>
        <w:rPr>
          <w:rFonts w:ascii="Arial" w:cs="Arial" w:eastAsia="Arial" w:hAnsi="Arial"/>
          <w:sz w:val="21"/>
          <w:szCs w:val="21"/>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Contran</w:t>
      </w:r>
    </w:p>
    <w:p>
      <w:pPr>
        <w:spacing w:after="0"/>
        <w:rPr>
          <w:sz w:val="20"/>
          <w:szCs w:val="20"/>
          <w:color w:val="auto"/>
        </w:rPr>
      </w:pPr>
      <w:r>
        <w:rPr>
          <w:rFonts w:ascii="Arial" w:cs="Arial" w:eastAsia="Arial" w:hAnsi="Arial"/>
          <w:sz w:val="22"/>
          <w:szCs w:val="22"/>
          <w:color w:val="auto"/>
        </w:rPr>
        <w:t>Serena Simmons Connelly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50.1%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30.4%</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34" w:lineRule="exact"/>
        <w:rPr>
          <w:sz w:val="20"/>
          <w:szCs w:val="20"/>
          <w:color w:val="auto"/>
        </w:rPr>
      </w:pPr>
    </w:p>
    <w:p>
      <w:pPr>
        <w:sectPr>
          <w:pgSz w:w="11900" w:h="16838" w:orient="portrait"/>
          <w:cols w:equalWidth="0" w:num="2">
            <w:col w:w="8620" w:space="720"/>
            <w:col w:w="2080"/>
          </w:cols>
          <w:pgMar w:left="240" w:top="361"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Together, Valhi, NL (and its wholly owned subsidiary NLKW) and Contran may be deemed to control Kronos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1" w:name="page12"/>
    <w:bookmarkEnd w:id="11"/>
    <w:p>
      <w:pPr>
        <w:ind w:firstLine="648"/>
        <w:spacing w:after="0" w:line="251" w:lineRule="auto"/>
        <w:rPr>
          <w:sz w:val="20"/>
          <w:szCs w:val="20"/>
          <w:color w:val="auto"/>
        </w:rPr>
      </w:pPr>
      <w:r>
        <w:rPr>
          <w:rFonts w:ascii="Arial" w:cs="Arial" w:eastAsia="Arial" w:hAnsi="Arial"/>
          <w:sz w:val="22"/>
          <w:szCs w:val="22"/>
          <w:color w:val="auto"/>
        </w:rPr>
        <w:t>Ms. Simmons, Ms. Connelly and the Family Trust directly hold, or related to the following persons or entities that directly hold, the following percentages of the outstanding shares of Valhi common stock:</w:t>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Dixie Rice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Serena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Simmons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Connelly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91.5%</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Less than 1%</w:t>
      </w:r>
    </w:p>
    <w:p>
      <w:pPr>
        <w:spacing w:after="0" w:line="234" w:lineRule="exact"/>
        <w:rPr>
          <w:sz w:val="20"/>
          <w:szCs w:val="20"/>
          <w:color w:val="auto"/>
        </w:rPr>
      </w:pPr>
    </w:p>
    <w:p>
      <w:pPr>
        <w:sectPr>
          <w:pgSz w:w="11900" w:h="16838" w:orient="portrait"/>
          <w:cols w:equalWidth="0" w:num="4">
            <w:col w:w="3280" w:space="720"/>
            <w:col w:w="3480" w:space="720"/>
            <w:col w:w="800" w:space="220"/>
            <w:col w:w="2200"/>
          </w:cols>
          <w:pgMar w:left="240" w:top="361"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Dixie Rice may be deemed to control Valhi.</w:t>
      </w:r>
    </w:p>
    <w:p>
      <w:pPr>
        <w:sectPr>
          <w:pgSz w:w="11900" w:h="16838" w:orient="portrait"/>
          <w:cols w:equalWidth="0" w:num="1">
            <w:col w:w="11420"/>
          </w:cols>
          <w:pgMar w:left="240" w:top="361" w:right="239" w:bottom="1440" w:gutter="0" w:footer="0" w:header="0"/>
          <w:type w:val="continuous"/>
        </w:sectPr>
      </w:pPr>
    </w:p>
    <w:p>
      <w:pPr>
        <w:spacing w:after="0" w:line="268" w:lineRule="exact"/>
        <w:rPr>
          <w:sz w:val="20"/>
          <w:szCs w:val="20"/>
          <w:color w:val="auto"/>
        </w:rPr>
      </w:pPr>
    </w:p>
    <w:p>
      <w:pPr>
        <w:jc w:val="both"/>
        <w:ind w:firstLine="830"/>
        <w:spacing w:after="0" w:line="279" w:lineRule="auto"/>
        <w:rPr>
          <w:sz w:val="20"/>
          <w:szCs w:val="20"/>
          <w:color w:val="auto"/>
        </w:rPr>
      </w:pPr>
      <w:r>
        <w:rPr>
          <w:rFonts w:ascii="Arial" w:cs="Arial" w:eastAsia="Arial" w:hAnsi="Arial"/>
          <w:sz w:val="19"/>
          <w:szCs w:val="19"/>
          <w:color w:val="auto"/>
        </w:rPr>
        <w:t>NL (including a wholly-owned subsidiary of NL) and Kronos Worldwide own 14,372,970 shares and 1,724,916 shares, respectively, of Valhi common stock. As already stated, Valhi is the direct holder of approximately 82.8% of the outstanding shares of common stock of NL and 50.1% of the outstanding shares of Kronos Worldwide common stock. As a result of Valhi’s direct and indirect ownership of NL and Kronos Worldwide and pursuant to Delaware law and Section 13(d)(4) of the Exchange Act, Valhi treats the shares of Valhi common stock that NL and Kronos Worldwide own as treasury stock for voting purposes. For the purposes of this statement, such shares of Valhi common stock that NL and Kronos Worldwide hold are not deemed outstanding.</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By virtue of the stock ownership of each of Kronos Worldwide, NL, Valhi, Dixie Rice and Contran, Ms. Simmons and Ms. Connelly being beneficiaries of the Family Trust, the direct holdings of Contran voting stock by each of Ms. Simmons, Ms. Connelly and the Other Trusts, the positions as co-chairs of the Contran Board by each of Ms. Simmons and Ms. Connelly, and the Family Trust’s ownership of Contran voting stock, in each case as described above, </w:t>
      </w:r>
      <w:r>
        <w:rPr>
          <w:rFonts w:ascii="Arial" w:cs="Arial" w:eastAsia="Arial" w:hAnsi="Arial"/>
          <w:sz w:val="21"/>
          <w:szCs w:val="21"/>
          <w:b w:val="1"/>
          <w:bCs w:val="1"/>
          <w:color w:val="auto"/>
        </w:rPr>
        <w:t>(a)</w:t>
      </w:r>
      <w:r>
        <w:rPr>
          <w:rFonts w:ascii="Arial" w:cs="Arial" w:eastAsia="Arial" w:hAnsi="Arial"/>
          <w:sz w:val="21"/>
          <w:szCs w:val="21"/>
          <w:color w:val="auto"/>
        </w:rPr>
        <w:t xml:space="preserve"> Ms. Simmons, Ms. Connelly and the Family Trust (and the Trustee, in its capacity as trustee of the Family Trust) may be deemed to control Contran, Dixie Rice, Valhi, NL, Kronos Worldwide and CompX and </w:t>
      </w:r>
      <w:r>
        <w:rPr>
          <w:rFonts w:ascii="Arial" w:cs="Arial" w:eastAsia="Arial" w:hAnsi="Arial"/>
          <w:sz w:val="21"/>
          <w:szCs w:val="21"/>
          <w:b w:val="1"/>
          <w:bCs w:val="1"/>
          <w:color w:val="auto"/>
        </w:rPr>
        <w:t>(b)</w:t>
      </w:r>
      <w:r>
        <w:rPr>
          <w:rFonts w:ascii="Arial" w:cs="Arial" w:eastAsia="Arial" w:hAnsi="Arial"/>
          <w:sz w:val="21"/>
          <w:szCs w:val="21"/>
          <w:color w:val="auto"/>
        </w:rPr>
        <w:t xml:space="preserve"> Ms. Simmons, Ms. Connelly, the Family Trust (and the Trustee, in its capacity as trustee of the Family Trust), Contran, Dixie Rice, Valhi, NL and Kronos Worldwide may be deemed to possess indirect beneficial ownership of, and a pecuniary interest in, shares of common stock directly held by such entities, including any Class A Shares. However, Ms. Simmons, Ms. Connelly and the Family Trust (and the Trustee) each disclaims beneficial ownership of, and such pecuniary interest in, such shares beneficially owned, directly or indirectly, by any of such entities, except to the extent of their direct beneficial ownership, if any, in shares of such entities.</w:t>
      </w:r>
    </w:p>
    <w:p>
      <w:pPr>
        <w:spacing w:after="0" w:line="2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Certain information concerning the directors and executive officers of Kronos Worldwide, NL, Valhi, Dixie Rice and Contran is set forth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attached hereto and incorporated herein by reference.</w:t>
      </w:r>
    </w:p>
    <w:p>
      <w:pPr>
        <w:spacing w:after="0" w:line="200" w:lineRule="exact"/>
        <w:rPr>
          <w:sz w:val="20"/>
          <w:szCs w:val="20"/>
          <w:color w:val="auto"/>
        </w:rPr>
      </w:pPr>
    </w:p>
    <w:p>
      <w:pPr>
        <w:jc w:val="both"/>
        <w:ind w:firstLine="656"/>
        <w:spacing w:after="0" w:line="236" w:lineRule="auto"/>
        <w:tabs>
          <w:tab w:leader="none" w:pos="1561"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 xml:space="preserve">The principal offices of Kronos Worldwide, NL, Valhi, Dixie Rice and Contran are located at, and the business address of, Lisa K. Simmons and Serena Simmons Connelly is, Three Lincoln Centre, 5430 LBJ Freeway, Suite 1700, Dallas, Texas 75240. The business address of the Family Trust is 5550 Preston Road, Suite B, Dallas, Texas 75205. The business addresses of the remaining directors and executive officers of NL, Kronos Worldwide, Valhi, Dixie Rice and Contran are set forth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to this Statement and incorporated herein by reference.</w:t>
      </w:r>
    </w:p>
    <w:p>
      <w:pPr>
        <w:spacing w:after="0" w:line="214" w:lineRule="exact"/>
        <w:rPr>
          <w:rFonts w:ascii="Arial" w:cs="Arial" w:eastAsia="Arial" w:hAnsi="Arial"/>
          <w:sz w:val="22"/>
          <w:szCs w:val="22"/>
          <w:b w:val="1"/>
          <w:bCs w:val="1"/>
          <w:color w:val="auto"/>
        </w:rPr>
      </w:pPr>
    </w:p>
    <w:p>
      <w:pPr>
        <w:ind w:left="1540" w:hanging="884"/>
        <w:spacing w:after="0"/>
        <w:tabs>
          <w:tab w:leader="none" w:pos="154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Kronos Worldwide is principally engaged in the international production of titanium dioxide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2" w:name="page13"/>
    <w:bookmarkEnd w:id="12"/>
    <w:p>
      <w:pPr>
        <w:jc w:val="both"/>
        <w:ind w:firstLine="648"/>
        <w:spacing w:after="0"/>
        <w:rPr>
          <w:sz w:val="20"/>
          <w:szCs w:val="20"/>
          <w:color w:val="auto"/>
        </w:rPr>
      </w:pPr>
      <w:r>
        <w:rPr>
          <w:rFonts w:ascii="Arial" w:cs="Arial" w:eastAsia="Arial" w:hAnsi="Arial"/>
          <w:sz w:val="22"/>
          <w:szCs w:val="22"/>
          <w:color w:val="auto"/>
        </w:rPr>
        <w:t>In addition to the manufacturing of security products and recreational marine components engaged in through CompX and the holding of the securities described above as directly held by NL (or one of its wholly owned subsidiaries), NL is principally engaged through a subsidiary in reinsurance brokerage and risk management.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addition to the activities engaged in through Kronos Worldwide and NL, Valhi is engaged through certain of its subsidiaries in real estate management and development.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activities engaged in through Valhi and the other companies it may be deemed to control, as described above, Dixie Rice is principally engaged in holding the securities described above as directly held by Dixie Rice and in land management and oil and gas activities.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Contran is principally engaged in the activities engaged in through Dixie Rice and Valhi.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Family Trust is a trust organized under the laws of the state of Texas.</w:t>
      </w:r>
    </w:p>
    <w:p>
      <w:pPr>
        <w:spacing w:after="0" w:line="227" w:lineRule="exact"/>
        <w:rPr>
          <w:sz w:val="20"/>
          <w:szCs w:val="20"/>
          <w:color w:val="auto"/>
        </w:rPr>
      </w:pPr>
    </w:p>
    <w:p>
      <w:pPr>
        <w:jc w:val="both"/>
        <w:ind w:firstLine="656"/>
        <w:spacing w:after="0" w:line="243" w:lineRule="auto"/>
        <w:tabs>
          <w:tab w:leader="none" w:pos="1561"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 xml:space="preserve">None of the Reporting Persons or, to the best knowledge of such persons, any of the persons named in </w:t>
      </w:r>
      <w:r>
        <w:rPr>
          <w:rFonts w:ascii="Arial" w:cs="Arial" w:eastAsia="Arial" w:hAnsi="Arial"/>
          <w:sz w:val="22"/>
          <w:szCs w:val="22"/>
          <w:b w:val="1"/>
          <w:bCs w:val="1"/>
          <w:color w:val="auto"/>
        </w:rPr>
        <w:t>Schedule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B </w:t>
      </w:r>
      <w:r>
        <w:rPr>
          <w:rFonts w:ascii="Arial" w:cs="Arial" w:eastAsia="Arial" w:hAnsi="Arial"/>
          <w:sz w:val="22"/>
          <w:szCs w:val="22"/>
          <w:color w:val="auto"/>
        </w:rPr>
        <w:t>to this Statement has been convicted in a criminal proceeding in the past five years (excluding traffic violations or similar</w:t>
      </w:r>
      <w:r>
        <w:rPr>
          <w:rFonts w:ascii="Arial" w:cs="Arial" w:eastAsia="Arial" w:hAnsi="Arial"/>
          <w:sz w:val="22"/>
          <w:szCs w:val="22"/>
          <w:b w:val="1"/>
          <w:bCs w:val="1"/>
          <w:color w:val="auto"/>
        </w:rPr>
        <w:t xml:space="preserve"> </w:t>
      </w:r>
      <w:r>
        <w:rPr>
          <w:rFonts w:ascii="Arial" w:cs="Arial" w:eastAsia="Arial" w:hAnsi="Arial"/>
          <w:sz w:val="22"/>
          <w:szCs w:val="22"/>
          <w:color w:val="auto"/>
        </w:rPr>
        <w:t>misdemeanors).</w:t>
      </w:r>
    </w:p>
    <w:p>
      <w:pPr>
        <w:spacing w:after="0" w:line="203" w:lineRule="exact"/>
        <w:rPr>
          <w:rFonts w:ascii="Arial" w:cs="Arial" w:eastAsia="Arial" w:hAnsi="Arial"/>
          <w:sz w:val="22"/>
          <w:szCs w:val="22"/>
          <w:b w:val="1"/>
          <w:bCs w:val="1"/>
          <w:color w:val="auto"/>
        </w:rPr>
      </w:pPr>
    </w:p>
    <w:p>
      <w:pPr>
        <w:jc w:val="both"/>
        <w:ind w:firstLine="656"/>
        <w:spacing w:after="0" w:line="289" w:lineRule="auto"/>
        <w:tabs>
          <w:tab w:leader="none" w:pos="1536"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 xml:space="preserve">None of the Reporting Persons or, to the best knowledge of such persons, any person named in </w:t>
      </w:r>
      <w:r>
        <w:rPr>
          <w:rFonts w:ascii="Arial" w:cs="Arial" w:eastAsia="Arial" w:hAnsi="Arial"/>
          <w:sz w:val="19"/>
          <w:szCs w:val="19"/>
          <w:b w:val="1"/>
          <w:bCs w:val="1"/>
          <w:color w:val="auto"/>
        </w:rPr>
        <w:t>Schedule B</w:t>
      </w:r>
      <w:r>
        <w:rPr>
          <w:rFonts w:ascii="Arial" w:cs="Arial" w:eastAsia="Arial" w:hAnsi="Arial"/>
          <w:sz w:val="19"/>
          <w:szCs w:val="19"/>
          <w:color w:val="auto"/>
        </w:rPr>
        <w:t xml:space="preserve"> to this Statement,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69" w:lineRule="exact"/>
        <w:rPr>
          <w:rFonts w:ascii="Arial" w:cs="Arial" w:eastAsia="Arial" w:hAnsi="Arial"/>
          <w:sz w:val="19"/>
          <w:szCs w:val="19"/>
          <w:b w:val="1"/>
          <w:bCs w:val="1"/>
          <w:color w:val="auto"/>
        </w:rPr>
      </w:pPr>
    </w:p>
    <w:p>
      <w:pPr>
        <w:jc w:val="both"/>
        <w:ind w:firstLine="656"/>
        <w:spacing w:after="0" w:line="238" w:lineRule="auto"/>
        <w:tabs>
          <w:tab w:leader="none" w:pos="1512"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 xml:space="preserve">Kronos Worldwide, Valhi and Contran are Delaware corporations. NL is a New Jersey corporation. Dixie Rice is a Louisiana limited liability company. The Family Trust is a trust created under the laws of the state of Texas. Except as noted in </w:t>
      </w:r>
      <w:r>
        <w:rPr>
          <w:rFonts w:ascii="Arial" w:cs="Arial" w:eastAsia="Arial" w:hAnsi="Arial"/>
          <w:sz w:val="22"/>
          <w:szCs w:val="22"/>
          <w:b w:val="1"/>
          <w:bCs w:val="1"/>
          <w:color w:val="auto"/>
        </w:rPr>
        <w:t xml:space="preserve">Schedule B, </w:t>
      </w:r>
      <w:r>
        <w:rPr>
          <w:rFonts w:ascii="Arial" w:cs="Arial" w:eastAsia="Arial" w:hAnsi="Arial"/>
          <w:sz w:val="22"/>
          <w:szCs w:val="22"/>
          <w:color w:val="auto"/>
        </w:rPr>
        <w:t>Lisa K. Simmons, Serena Simmons Connelly and all the persons named on</w:t>
      </w:r>
      <w:r>
        <w:rPr>
          <w:rFonts w:ascii="Arial" w:cs="Arial" w:eastAsia="Arial" w:hAnsi="Arial"/>
          <w:sz w:val="22"/>
          <w:szCs w:val="22"/>
          <w:b w:val="1"/>
          <w:bCs w:val="1"/>
          <w:color w:val="auto"/>
        </w:rPr>
        <w:t xml:space="preserve"> Schedule B </w:t>
      </w:r>
      <w:r>
        <w:rPr>
          <w:rFonts w:ascii="Arial" w:cs="Arial" w:eastAsia="Arial" w:hAnsi="Arial"/>
          <w:sz w:val="22"/>
          <w:szCs w:val="22"/>
          <w:color w:val="auto"/>
        </w:rPr>
        <w:t>to this Statement are citizens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United States.</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is amended and supplemented as follows.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Depending upon their evaluation of CompX’s business and prospects, and upon future developments (including, but not limited to, performance of the Class A Shares in the market, availability of funds, alternative uses of funds, and money, stock market and general economic conditions), any of the Reporting Persons or other entities that may be deemed to be related to Contran may from time to time purchase Class A Shares, and any of the Reporting Persons or other entities that may be deemed to be related to Contran may from time to time dispose of all or a portion of the Class A Shares held by such person, or cease buying or selling Class A Shares. Any such additional purchases or sales of Class A Shares may be in open market or privately negotiated transactions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 w:name="page14"/>
    <w:bookmarkEnd w:id="13"/>
    <w:p>
      <w:pPr>
        <w:jc w:val="both"/>
        <w:ind w:firstLine="648"/>
        <w:spacing w:after="0" w:line="328" w:lineRule="auto"/>
        <w:rPr>
          <w:sz w:val="20"/>
          <w:szCs w:val="20"/>
          <w:color w:val="auto"/>
        </w:rPr>
      </w:pPr>
      <w:r>
        <w:rPr>
          <w:rFonts w:ascii="Arial" w:cs="Arial" w:eastAsia="Arial" w:hAnsi="Arial"/>
          <w:sz w:val="19"/>
          <w:szCs w:val="19"/>
          <w:color w:val="auto"/>
        </w:rPr>
        <w:t>On the day of each annual stockholder meeting of CompX, each of its eligible directors elected on that date receives a grant of Class A Shares pursuant to a formula based on the closing price of a Class A Share on the date of the meeting.</w:t>
      </w:r>
    </w:p>
    <w:p>
      <w:pPr>
        <w:spacing w:after="0" w:line="13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Except as described in this Item 4, none of the Reporting Persons nor, to the best knowledge of such persons, any other person named in </w:t>
      </w:r>
      <w:r>
        <w:rPr>
          <w:rFonts w:ascii="Arial" w:cs="Arial" w:eastAsia="Arial" w:hAnsi="Arial"/>
          <w:sz w:val="21"/>
          <w:szCs w:val="21"/>
          <w:b w:val="1"/>
          <w:bCs w:val="1"/>
          <w:color w:val="auto"/>
        </w:rPr>
        <w:t>Schedule B</w:t>
      </w:r>
      <w:r>
        <w:rPr>
          <w:rFonts w:ascii="Arial" w:cs="Arial" w:eastAsia="Arial" w:hAnsi="Arial"/>
          <w:sz w:val="21"/>
          <w:szCs w:val="21"/>
          <w:color w:val="auto"/>
        </w:rPr>
        <w:t xml:space="preserve"> to this Statement has formulated any plans or proposals which relate to or would result in any matter required to be disclosed in response to paragraphs (a) through (j) of Item 4 of Schedule 13D.</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is amended and supplemented as follows.</w:t>
      </w:r>
    </w:p>
    <w:p>
      <w:pPr>
        <w:spacing w:after="0" w:line="233" w:lineRule="exact"/>
        <w:rPr>
          <w:sz w:val="20"/>
          <w:szCs w:val="20"/>
          <w:color w:val="auto"/>
        </w:rPr>
      </w:pPr>
    </w:p>
    <w:p>
      <w:pPr>
        <w:ind w:left="1560" w:hanging="904"/>
        <w:spacing w:after="0"/>
        <w:tabs>
          <w:tab w:leader="none" w:pos="1560"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The following entities or persons directly hold the following Class A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16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6"/>
              </w:rPr>
              <w:t>Class 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tcPr>
          <w:p>
            <w:pPr>
              <w:spacing w:after="0"/>
              <w:rPr>
                <w:sz w:val="21"/>
                <w:szCs w:val="21"/>
                <w:color w:val="auto"/>
              </w:rPr>
            </w:pPr>
          </w:p>
        </w:tc>
        <w:tc>
          <w:tcPr>
            <w:tcW w:w="124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4"/>
              </w:rPr>
              <w:t>Shares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tcPr>
          <w:p>
            <w:pPr>
              <w:spacing w:after="0"/>
              <w:rPr>
                <w:sz w:val="21"/>
                <w:szCs w:val="21"/>
                <w:color w:val="auto"/>
              </w:rPr>
            </w:pPr>
          </w:p>
        </w:tc>
        <w:tc>
          <w:tcPr>
            <w:tcW w:w="124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91"/>
              </w:rPr>
              <w:t>Directly</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160" w:type="dxa"/>
            <w:vAlign w:val="bottom"/>
          </w:tcPr>
          <w:p>
            <w:pPr>
              <w:ind w:left="4160"/>
              <w:spacing w:after="0"/>
              <w:rPr>
                <w:sz w:val="20"/>
                <w:szCs w:val="20"/>
                <w:color w:val="auto"/>
              </w:rPr>
            </w:pPr>
            <w:r>
              <w:rPr>
                <w:rFonts w:ascii="Arial" w:cs="Arial" w:eastAsia="Arial" w:hAnsi="Arial"/>
                <w:sz w:val="22"/>
                <w:szCs w:val="22"/>
                <w:b w:val="1"/>
                <w:bCs w:val="1"/>
                <w:color w:val="auto"/>
              </w:rPr>
              <w:t>Reporting Persons</w:t>
            </w:r>
          </w:p>
        </w:tc>
        <w:tc>
          <w:tcPr>
            <w:tcW w:w="124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2"/>
              </w:rPr>
              <w:t>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NL</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10,755,104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rPr>
              <w:t>Contran</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5,900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Kronos Worldwide</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rPr>
              <w:t>Serena Simmons Connelly</w:t>
            </w: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160" w:type="dxa"/>
            <w:vAlign w:val="bottom"/>
            <w:tcBorders>
              <w:bottom w:val="single" w:sz="8" w:color="CCEEFF"/>
            </w:tcBorders>
            <w:shd w:val="clear" w:color="auto" w:fill="CCEEFF"/>
          </w:tcPr>
          <w:p>
            <w:pPr>
              <w:ind w:left="300"/>
              <w:spacing w:after="0" w:line="243" w:lineRule="exact"/>
              <w:rPr>
                <w:sz w:val="20"/>
                <w:szCs w:val="20"/>
                <w:color w:val="auto"/>
              </w:rPr>
            </w:pPr>
            <w:r>
              <w:rPr>
                <w:rFonts w:ascii="Arial" w:cs="Arial" w:eastAsia="Arial" w:hAnsi="Arial"/>
                <w:sz w:val="22"/>
                <w:szCs w:val="22"/>
                <w:b w:val="1"/>
                <w:bCs w:val="1"/>
                <w:color w:val="auto"/>
              </w:rPr>
              <w:t>Total</w:t>
            </w:r>
          </w:p>
        </w:tc>
        <w:tc>
          <w:tcPr>
            <w:tcW w:w="11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10,766,004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virtue of the relationships described under Item 2 of this Statement:</w:t>
      </w:r>
    </w:p>
    <w:p>
      <w:pPr>
        <w:spacing w:after="0" w:line="233" w:lineRule="exact"/>
        <w:rPr>
          <w:sz w:val="20"/>
          <w:szCs w:val="20"/>
          <w:color w:val="auto"/>
        </w:rPr>
      </w:pPr>
    </w:p>
    <w:p>
      <w:pPr>
        <w:jc w:val="both"/>
        <w:ind w:left="660" w:firstLine="645"/>
        <w:spacing w:after="0"/>
        <w:tabs>
          <w:tab w:leader="none" w:pos="2209"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NL, Kronos Worldwide, Valhi and Dixie Rice may each be deemed to be the beneficial owner of the 10,758,104 Class A Shares (approximately 86.5% of the Outstanding Class A Shares) that NL and Kronos Worldwide hold directly;</w:t>
      </w:r>
    </w:p>
    <w:p>
      <w:pPr>
        <w:spacing w:after="0" w:line="213" w:lineRule="exact"/>
        <w:rPr>
          <w:rFonts w:ascii="Arial" w:cs="Arial" w:eastAsia="Arial" w:hAnsi="Arial"/>
          <w:sz w:val="22"/>
          <w:szCs w:val="22"/>
          <w:b w:val="1"/>
          <w:bCs w:val="1"/>
          <w:color w:val="auto"/>
        </w:rPr>
      </w:pPr>
    </w:p>
    <w:p>
      <w:pPr>
        <w:jc w:val="both"/>
        <w:ind w:left="660" w:firstLine="645"/>
        <w:spacing w:after="0"/>
        <w:tabs>
          <w:tab w:leader="none" w:pos="2209"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Contran, Ms. Simmons and the Family Trust (and the Trustee, in its capacity as trustee of the Family Trust) may be deemed to be the beneficial owner of the 10,764,004 Class A Shares (approximately 86.5% of the Outstanding Class A Shares) that NL, Contran and Kronos Worldwide hold directly; and</w:t>
      </w:r>
    </w:p>
    <w:p>
      <w:pPr>
        <w:spacing w:after="0" w:line="213" w:lineRule="exact"/>
        <w:rPr>
          <w:rFonts w:ascii="Arial" w:cs="Arial" w:eastAsia="Arial" w:hAnsi="Arial"/>
          <w:sz w:val="22"/>
          <w:szCs w:val="22"/>
          <w:b w:val="1"/>
          <w:bCs w:val="1"/>
          <w:color w:val="auto"/>
        </w:rPr>
      </w:pPr>
    </w:p>
    <w:p>
      <w:pPr>
        <w:ind w:left="660" w:firstLine="645"/>
        <w:spacing w:after="0" w:line="251" w:lineRule="auto"/>
        <w:tabs>
          <w:tab w:leader="none" w:pos="2209"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Ms. Connelly may be deemed to be the beneficial owner of the 10,766,004 Class A Shares that she, NL, Contran and Kronos Worldwide hold directly.</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Each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 except (with respect to the applicable Reporting Person only) for the Class A Shares such Reporting Person holds directly.</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addition, each Reporting Person declares that neither the filing of this Schedule 13D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Valhi, NL, Kronos Worldwide and/or CompX (collectively, the “Companies”) or any securities of any of the Companies or (ii) a member of any syndicate or group with respect to any of the Companies or any securities of any of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p>
      <w:pPr>
        <w:ind w:left="1560" w:hanging="904"/>
        <w:spacing w:after="0"/>
        <w:tabs>
          <w:tab w:leader="none" w:pos="156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By virtue of the relationships described in Item 2 of this Statement:</w:t>
      </w:r>
    </w:p>
    <w:p>
      <w:pPr>
        <w:spacing w:after="0" w:line="233" w:lineRule="exact"/>
        <w:rPr>
          <w:rFonts w:ascii="Arial" w:cs="Arial" w:eastAsia="Arial" w:hAnsi="Arial"/>
          <w:sz w:val="22"/>
          <w:szCs w:val="22"/>
          <w:b w:val="1"/>
          <w:bCs w:val="1"/>
          <w:color w:val="auto"/>
        </w:rPr>
      </w:pPr>
    </w:p>
    <w:p>
      <w:pPr>
        <w:jc w:val="both"/>
        <w:ind w:left="660" w:firstLine="645"/>
        <w:spacing w:after="0"/>
        <w:tabs>
          <w:tab w:leader="none" w:pos="2209"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NL, Kronos Worldwide, Valhi and Dixie Rice may each be deemed to share the power to vote and direct the disposition of the 10,758,104 Class A Shares (approximately 86.5% of the Outstanding Class A Shares) that NL and Kronos Worldwide hold directly;</w:t>
      </w:r>
    </w:p>
    <w:p>
      <w:pPr>
        <w:spacing w:after="0" w:line="213" w:lineRule="exact"/>
        <w:rPr>
          <w:rFonts w:ascii="Arial" w:cs="Arial" w:eastAsia="Arial" w:hAnsi="Arial"/>
          <w:sz w:val="22"/>
          <w:szCs w:val="22"/>
          <w:b w:val="1"/>
          <w:bCs w:val="1"/>
          <w:color w:val="auto"/>
        </w:rPr>
      </w:pPr>
    </w:p>
    <w:p>
      <w:pPr>
        <w:jc w:val="both"/>
        <w:ind w:left="660" w:firstLine="645"/>
        <w:spacing w:after="0" w:line="297" w:lineRule="auto"/>
        <w:tabs>
          <w:tab w:leader="none" w:pos="2209"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Contran, Ms. Simmons, Ms. Connelly and the Family Trust (and the Trustee, in its capacity as trustee of the Family Trust) may be deemed to share the power to vote and direct the disposition of the 10,764,004 Class A Shares (approximately 86.5% of the Outstanding Class A Shares) that NL, Contran and Kronos Worldwide hold directly; and</w:t>
      </w:r>
    </w:p>
    <w:p>
      <w:pPr>
        <w:spacing w:after="0" w:line="161" w:lineRule="exact"/>
        <w:rPr>
          <w:rFonts w:ascii="Arial" w:cs="Arial" w:eastAsia="Arial" w:hAnsi="Arial"/>
          <w:sz w:val="19"/>
          <w:szCs w:val="19"/>
          <w:b w:val="1"/>
          <w:bCs w:val="1"/>
          <w:color w:val="auto"/>
        </w:rPr>
      </w:pPr>
    </w:p>
    <w:p>
      <w:pPr>
        <w:ind w:left="660" w:firstLine="645"/>
        <w:spacing w:after="0" w:line="251" w:lineRule="auto"/>
        <w:tabs>
          <w:tab w:leader="none" w:pos="2209"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Ms. Connelly may be deemed to have the sole power to vote and direct the disposition of the 2,000 Class A Shares (approximately 0.0% of the Outstanding Class A Shares) that she directly holds.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Reporting Persons understand, based on ownership filings with the SEC or upon information provided by the persons listed on </w:t>
      </w:r>
      <w:r>
        <w:rPr>
          <w:rFonts w:ascii="Arial" w:cs="Arial" w:eastAsia="Arial" w:hAnsi="Arial"/>
          <w:sz w:val="22"/>
          <w:szCs w:val="22"/>
          <w:b w:val="1"/>
          <w:bCs w:val="1"/>
          <w:color w:val="auto"/>
        </w:rPr>
        <w:t>Schedule B</w:t>
      </w:r>
      <w:r>
        <w:rPr>
          <w:rFonts w:ascii="Arial" w:cs="Arial" w:eastAsia="Arial" w:hAnsi="Arial"/>
          <w:sz w:val="22"/>
          <w:szCs w:val="22"/>
          <w:color w:val="auto"/>
        </w:rPr>
        <w:t xml:space="preserve"> to this Statement, that such persons may be deemed to own beneficially the Class A Shares as indicated on </w:t>
      </w:r>
      <w:r>
        <w:rPr>
          <w:rFonts w:ascii="Arial" w:cs="Arial" w:eastAsia="Arial" w:hAnsi="Arial"/>
          <w:sz w:val="22"/>
          <w:szCs w:val="22"/>
          <w:b w:val="1"/>
          <w:bCs w:val="1"/>
          <w:color w:val="auto"/>
        </w:rPr>
        <w:t xml:space="preserve">Schedule C </w:t>
      </w:r>
      <w:r>
        <w:rPr>
          <w:rFonts w:ascii="Arial" w:cs="Arial" w:eastAsia="Arial" w:hAnsi="Arial"/>
          <w:sz w:val="22"/>
          <w:szCs w:val="22"/>
          <w:color w:val="auto"/>
        </w:rPr>
        <w:t>to this Statement.</w:t>
      </w:r>
    </w:p>
    <w:p>
      <w:pPr>
        <w:spacing w:after="0" w:line="213" w:lineRule="exact"/>
        <w:rPr>
          <w:sz w:val="20"/>
          <w:szCs w:val="20"/>
          <w:color w:val="auto"/>
        </w:rPr>
      </w:pPr>
    </w:p>
    <w:p>
      <w:pPr>
        <w:ind w:firstLine="656"/>
        <w:spacing w:after="0" w:line="274" w:lineRule="auto"/>
        <w:tabs>
          <w:tab w:leader="none" w:pos="1561" w:val="left"/>
        </w:tabs>
        <w:numPr>
          <w:ilvl w:val="0"/>
          <w:numId w:val="72"/>
        </w:numPr>
        <w:rPr>
          <w:rFonts w:ascii="Arial" w:cs="Arial" w:eastAsia="Arial" w:hAnsi="Arial"/>
          <w:sz w:val="21"/>
          <w:szCs w:val="21"/>
          <w:b w:val="1"/>
          <w:bCs w:val="1"/>
          <w:color w:val="auto"/>
        </w:rPr>
      </w:pPr>
      <w:r>
        <w:rPr>
          <w:rFonts w:ascii="Arial" w:cs="Arial" w:eastAsia="Arial" w:hAnsi="Arial"/>
          <w:sz w:val="21"/>
          <w:szCs w:val="21"/>
          <w:color w:val="auto"/>
        </w:rPr>
        <w:t>NL, Contran, Kronos Worldwide and Ms. Connelly each has the right to receive and the power to direct the receipt of dividends from, and proceeds from the sale of, the Class A Shares directly held by such entity or person.</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Material to be Filed as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7 is amended and supplemented as follows.</w:t>
      </w:r>
    </w:p>
    <w:p>
      <w:pPr>
        <w:spacing w:after="0" w:line="206" w:lineRule="exact"/>
        <w:rPr>
          <w:sz w:val="20"/>
          <w:szCs w:val="20"/>
          <w:color w:val="auto"/>
        </w:rPr>
      </w:pPr>
    </w:p>
    <w:p>
      <w:pPr>
        <w:spacing w:after="0"/>
        <w:tabs>
          <w:tab w:leader="none" w:pos="2700" w:val="left"/>
        </w:tabs>
        <w:rPr>
          <w:sz w:val="20"/>
          <w:szCs w:val="20"/>
          <w:color w:val="auto"/>
        </w:rPr>
      </w:pPr>
      <w:r>
        <w:rPr>
          <w:rFonts w:ascii="Arial" w:cs="Arial" w:eastAsia="Arial" w:hAnsi="Arial"/>
          <w:sz w:val="22"/>
          <w:szCs w:val="22"/>
          <w:color w:val="auto"/>
        </w:rPr>
        <w:t>Exhibit 1*</w:t>
      </w:r>
      <w:r>
        <w:rPr>
          <w:sz w:val="20"/>
          <w:szCs w:val="20"/>
          <w:color w:val="auto"/>
        </w:rPr>
        <w:tab/>
      </w:r>
      <w:r>
        <w:rPr>
          <w:rFonts w:ascii="Arial" w:cs="Arial" w:eastAsia="Arial" w:hAnsi="Arial"/>
          <w:sz w:val="19"/>
          <w:szCs w:val="19"/>
          <w:color w:val="auto"/>
        </w:rPr>
        <w:t>Joint Filing Agreement dated as of September 4, 2019,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240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2402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Lisa K. Simmons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Lisa 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2"/>
          <w:szCs w:val="22"/>
          <w:color w:val="auto"/>
        </w:rPr>
        <w:t>Signature</w:t>
      </w:r>
    </w:p>
    <w:p>
      <w:pPr>
        <w:spacing w:after="0" w:line="23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Serena Simmons Connelly</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Serena Simmons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color w:val="auto"/>
        </w:rPr>
        <w:t>Signature</w:t>
      </w:r>
    </w:p>
    <w:p>
      <w:pPr>
        <w:spacing w:after="0" w:line="23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Robert D. Graham</w:t>
      </w:r>
    </w:p>
    <w:p>
      <w:pPr>
        <w:spacing w:after="0" w:line="8" w:lineRule="exact"/>
        <w:rPr>
          <w:sz w:val="20"/>
          <w:szCs w:val="20"/>
          <w:color w:val="auto"/>
        </w:rPr>
      </w:pPr>
    </w:p>
    <w:p>
      <w:pPr>
        <w:ind w:left="4220"/>
        <w:spacing w:after="0" w:line="237" w:lineRule="auto"/>
        <w:rPr>
          <w:sz w:val="20"/>
          <w:szCs w:val="20"/>
          <w:color w:val="auto"/>
        </w:rPr>
      </w:pPr>
      <w:r>
        <w:rPr>
          <w:rFonts w:ascii="Arial" w:cs="Arial" w:eastAsia="Arial" w:hAnsi="Arial"/>
          <w:sz w:val="22"/>
          <w:szCs w:val="22"/>
          <w:i w:val="1"/>
          <w:iCs w:val="1"/>
          <w:color w:val="auto"/>
        </w:rPr>
        <w:t>Robert D. Graham, Signing in the capacities listed on Schedule “A” attached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4, 2019</w:t>
      </w: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Harold C. Simmons Family Trust No. 2</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ind w:left="3900"/>
              <w:spacing w:after="0"/>
              <w:rPr>
                <w:sz w:val="20"/>
                <w:szCs w:val="20"/>
                <w:color w:val="auto"/>
              </w:rPr>
            </w:pPr>
            <w:r>
              <w:rPr>
                <w:rFonts w:ascii="Arial" w:cs="Arial" w:eastAsia="Arial" w:hAnsi="Arial"/>
                <w:sz w:val="22"/>
                <w:szCs w:val="22"/>
                <w:color w:val="auto"/>
              </w:rPr>
              <w:t>By:</w:t>
            </w:r>
          </w:p>
        </w:tc>
        <w:tc>
          <w:tcPr>
            <w:tcW w:w="6920" w:type="dxa"/>
            <w:vAlign w:val="bottom"/>
            <w:gridSpan w:val="3"/>
          </w:tcPr>
          <w:p>
            <w:pPr>
              <w:ind w:left="40"/>
              <w:spacing w:after="0"/>
              <w:rPr>
                <w:sz w:val="20"/>
                <w:szCs w:val="20"/>
                <w:color w:val="auto"/>
              </w:rPr>
            </w:pPr>
            <w:r>
              <w:rPr>
                <w:rFonts w:ascii="Arial" w:cs="Arial" w:eastAsia="Arial" w:hAnsi="Arial"/>
                <w:sz w:val="22"/>
                <w:szCs w:val="22"/>
                <w:color w:val="auto"/>
                <w:w w:val="90"/>
              </w:rPr>
              <w:t>Tolleson Private Bank, not in its individual capacity but solely as trustee of the</w:t>
            </w:r>
          </w:p>
        </w:tc>
        <w:tc>
          <w:tcPr>
            <w:tcW w:w="0" w:type="dxa"/>
            <w:vAlign w:val="bottom"/>
          </w:tcPr>
          <w:p>
            <w:pPr>
              <w:spacing w:after="0"/>
              <w:rPr>
                <w:sz w:val="1"/>
                <w:szCs w:val="1"/>
                <w:color w:val="auto"/>
              </w:rPr>
            </w:pPr>
          </w:p>
        </w:tc>
      </w:tr>
      <w:tr>
        <w:trPr>
          <w:trHeight w:val="275"/>
        </w:trPr>
        <w:tc>
          <w:tcPr>
            <w:tcW w:w="4500" w:type="dxa"/>
            <w:vAlign w:val="bottom"/>
          </w:tcPr>
          <w:p>
            <w:pPr>
              <w:spacing w:after="0"/>
              <w:rPr>
                <w:sz w:val="23"/>
                <w:szCs w:val="23"/>
                <w:color w:val="auto"/>
              </w:rPr>
            </w:pPr>
          </w:p>
        </w:tc>
        <w:tc>
          <w:tcPr>
            <w:tcW w:w="6920" w:type="dxa"/>
            <w:vAlign w:val="bottom"/>
            <w:gridSpan w:val="3"/>
          </w:tcPr>
          <w:p>
            <w:pPr>
              <w:ind w:left="40"/>
              <w:spacing w:after="0"/>
              <w:rPr>
                <w:sz w:val="20"/>
                <w:szCs w:val="20"/>
                <w:color w:val="auto"/>
              </w:rPr>
            </w:pPr>
            <w:r>
              <w:rPr>
                <w:rFonts w:ascii="Arial" w:cs="Arial" w:eastAsia="Arial" w:hAnsi="Arial"/>
                <w:sz w:val="22"/>
                <w:szCs w:val="22"/>
                <w:color w:val="auto"/>
              </w:rPr>
              <w:t>Harold C. Simmons Family Trust No. 2</w:t>
            </w:r>
          </w:p>
        </w:tc>
        <w:tc>
          <w:tcPr>
            <w:tcW w:w="0" w:type="dxa"/>
            <w:vAlign w:val="bottom"/>
          </w:tcPr>
          <w:p>
            <w:pPr>
              <w:spacing w:after="0"/>
              <w:rPr>
                <w:sz w:val="1"/>
                <w:szCs w:val="1"/>
                <w:color w:val="auto"/>
              </w:rPr>
            </w:pPr>
          </w:p>
        </w:tc>
      </w:tr>
      <w:tr>
        <w:trPr>
          <w:trHeight w:val="679"/>
        </w:trPr>
        <w:tc>
          <w:tcPr>
            <w:tcW w:w="4500" w:type="dxa"/>
            <w:vAlign w:val="bottom"/>
          </w:tcPr>
          <w:p>
            <w:pPr>
              <w:ind w:left="3900"/>
              <w:spacing w:after="0"/>
              <w:rPr>
                <w:sz w:val="20"/>
                <w:szCs w:val="20"/>
                <w:color w:val="auto"/>
              </w:rPr>
            </w:pPr>
            <w:r>
              <w:rPr>
                <w:rFonts w:ascii="Arial" w:cs="Arial" w:eastAsia="Arial" w:hAnsi="Arial"/>
                <w:sz w:val="22"/>
                <w:szCs w:val="22"/>
                <w:color w:val="auto"/>
              </w:rPr>
              <w:t>By:</w:t>
            </w:r>
          </w:p>
        </w:tc>
        <w:tc>
          <w:tcPr>
            <w:tcW w:w="360" w:type="dxa"/>
            <w:vAlign w:val="bottom"/>
          </w:tcPr>
          <w:p>
            <w:pPr>
              <w:spacing w:after="0"/>
              <w:rPr>
                <w:sz w:val="24"/>
                <w:szCs w:val="24"/>
                <w:color w:val="auto"/>
              </w:rPr>
            </w:pP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/s/ Tracey L. Reyes</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3900"/>
              <w:spacing w:after="0"/>
              <w:rPr>
                <w:sz w:val="20"/>
                <w:szCs w:val="20"/>
                <w:color w:val="auto"/>
              </w:rPr>
            </w:pPr>
            <w:r>
              <w:rPr>
                <w:rFonts w:ascii="Arial" w:cs="Arial" w:eastAsia="Arial" w:hAnsi="Arial"/>
                <w:sz w:val="22"/>
                <w:szCs w:val="22"/>
                <w:color w:val="auto"/>
                <w:w w:val="89"/>
              </w:rPr>
              <w:t>Name:</w:t>
            </w: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5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6560" w:type="dxa"/>
            <w:vAlign w:val="bottom"/>
            <w:gridSpan w:val="2"/>
          </w:tcPr>
          <w:p>
            <w:pPr>
              <w:ind w:left="340"/>
              <w:spacing w:after="0" w:line="242" w:lineRule="exact"/>
              <w:rPr>
                <w:sz w:val="20"/>
                <w:szCs w:val="20"/>
                <w:color w:val="auto"/>
              </w:rPr>
            </w:pPr>
            <w:r>
              <w:rPr>
                <w:rFonts w:ascii="Arial" w:cs="Arial" w:eastAsia="Arial" w:hAnsi="Arial"/>
                <w:sz w:val="22"/>
                <w:szCs w:val="22"/>
                <w:color w:val="auto"/>
              </w:rPr>
              <w:t>Tracey L. Reyes</w:t>
            </w:r>
          </w:p>
        </w:tc>
        <w:tc>
          <w:tcPr>
            <w:tcW w:w="0" w:type="dxa"/>
            <w:vAlign w:val="bottom"/>
          </w:tcPr>
          <w:p>
            <w:pPr>
              <w:spacing w:after="0"/>
              <w:rPr>
                <w:sz w:val="1"/>
                <w:szCs w:val="1"/>
                <w:color w:val="auto"/>
              </w:rPr>
            </w:pPr>
          </w:p>
        </w:tc>
      </w:tr>
      <w:tr>
        <w:trPr>
          <w:trHeight w:val="275"/>
        </w:trPr>
        <w:tc>
          <w:tcPr>
            <w:tcW w:w="4500" w:type="dxa"/>
            <w:vAlign w:val="bottom"/>
          </w:tcPr>
          <w:p>
            <w:pPr>
              <w:ind w:left="3900"/>
              <w:spacing w:after="0"/>
              <w:rPr>
                <w:sz w:val="20"/>
                <w:szCs w:val="20"/>
                <w:color w:val="auto"/>
              </w:rPr>
            </w:pPr>
            <w:r>
              <w:rPr>
                <w:rFonts w:ascii="Arial" w:cs="Arial" w:eastAsia="Arial" w:hAnsi="Arial"/>
                <w:sz w:val="22"/>
                <w:szCs w:val="22"/>
                <w:color w:val="auto"/>
              </w:rPr>
              <w:t>Title:</w:t>
            </w:r>
          </w:p>
        </w:tc>
        <w:tc>
          <w:tcPr>
            <w:tcW w:w="360" w:type="dxa"/>
            <w:vAlign w:val="bottom"/>
          </w:tcPr>
          <w:p>
            <w:pPr>
              <w:spacing w:after="0"/>
              <w:rPr>
                <w:sz w:val="23"/>
                <w:szCs w:val="23"/>
                <w:color w:val="auto"/>
              </w:rPr>
            </w:pPr>
          </w:p>
        </w:tc>
        <w:tc>
          <w:tcPr>
            <w:tcW w:w="6560" w:type="dxa"/>
            <w:vAlign w:val="bottom"/>
            <w:gridSpan w:val="2"/>
          </w:tcPr>
          <w:p>
            <w:pPr>
              <w:ind w:left="340"/>
              <w:spacing w:after="0"/>
              <w:rPr>
                <w:sz w:val="20"/>
                <w:szCs w:val="20"/>
                <w:color w:val="auto"/>
              </w:rPr>
            </w:pPr>
            <w:r>
              <w:rPr>
                <w:rFonts w:ascii="Arial" w:cs="Arial" w:eastAsia="Arial" w:hAnsi="Arial"/>
                <w:sz w:val="22"/>
                <w:szCs w:val="22"/>
                <w:color w:val="auto"/>
              </w:rPr>
              <w:t>Vice President, Director of Private Trust</w:t>
            </w:r>
          </w:p>
        </w:tc>
        <w:tc>
          <w:tcPr>
            <w:tcW w:w="0" w:type="dxa"/>
            <w:vAlign w:val="bottom"/>
          </w:tcPr>
          <w:p>
            <w:pPr>
              <w:spacing w:after="0"/>
              <w:rPr>
                <w:sz w:val="1"/>
                <w:szCs w:val="1"/>
                <w:color w:val="auto"/>
              </w:rPr>
            </w:pPr>
          </w:p>
        </w:tc>
      </w:tr>
      <w:tr>
        <w:trPr>
          <w:trHeight w:val="416"/>
        </w:trPr>
        <w:tc>
          <w:tcPr>
            <w:tcW w:w="4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ROBERT D. GRAHAM, for the entities set forth below, as the officer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5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Entity</w:t>
            </w:r>
          </w:p>
        </w:tc>
        <w:tc>
          <w:tcPr>
            <w:tcW w:w="7880" w:type="dxa"/>
            <w:vAlign w:val="bottom"/>
            <w:tcBorders>
              <w:bottom w:val="single" w:sz="8" w:color="auto"/>
            </w:tcBorders>
          </w:tcPr>
          <w:p>
            <w:pPr>
              <w:ind w:left="880"/>
              <w:spacing w:after="0"/>
              <w:rPr>
                <w:sz w:val="20"/>
                <w:szCs w:val="20"/>
                <w:color w:val="auto"/>
              </w:rPr>
            </w:pPr>
            <w:r>
              <w:rPr>
                <w:rFonts w:ascii="Arial" w:cs="Arial" w:eastAsia="Arial" w:hAnsi="Arial"/>
                <w:sz w:val="22"/>
                <w:szCs w:val="22"/>
                <w:b w:val="1"/>
                <w:bCs w:val="1"/>
                <w:color w:val="auto"/>
              </w:rPr>
              <w:t>Officer positions</w:t>
            </w:r>
          </w:p>
        </w:tc>
      </w:tr>
      <w:tr>
        <w:trPr>
          <w:trHeight w:val="250"/>
        </w:trPr>
        <w:tc>
          <w:tcPr>
            <w:tcW w:w="35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Contran Corporation</w:t>
            </w:r>
          </w:p>
        </w:tc>
        <w:tc>
          <w:tcPr>
            <w:tcW w:w="7880" w:type="dxa"/>
            <w:vAlign w:val="bottom"/>
            <w:tcBorders>
              <w:bottom w:val="single" w:sz="8" w:color="auto"/>
            </w:tcBorders>
          </w:tcPr>
          <w:p>
            <w:pPr>
              <w:ind w:left="880"/>
              <w:spacing w:after="0" w:line="243" w:lineRule="exact"/>
              <w:rPr>
                <w:sz w:val="20"/>
                <w:szCs w:val="20"/>
                <w:color w:val="auto"/>
              </w:rPr>
            </w:pPr>
            <w:r>
              <w:rPr>
                <w:rFonts w:ascii="Arial" w:cs="Arial" w:eastAsia="Arial" w:hAnsi="Arial"/>
                <w:sz w:val="22"/>
                <w:szCs w:val="22"/>
                <w:color w:val="auto"/>
              </w:rPr>
              <w:t>President and Chief Executive Officer</w:t>
            </w:r>
          </w:p>
        </w:tc>
      </w:tr>
      <w:tr>
        <w:trPr>
          <w:trHeight w:val="250"/>
        </w:trPr>
        <w:tc>
          <w:tcPr>
            <w:tcW w:w="35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Dixie Rice Agricultural L.L.C.</w:t>
            </w:r>
          </w:p>
        </w:tc>
        <w:tc>
          <w:tcPr>
            <w:tcW w:w="7880" w:type="dxa"/>
            <w:vAlign w:val="bottom"/>
            <w:tcBorders>
              <w:bottom w:val="single" w:sz="8" w:color="auto"/>
            </w:tcBorders>
          </w:tcPr>
          <w:p>
            <w:pPr>
              <w:ind w:left="880"/>
              <w:spacing w:after="0" w:line="243" w:lineRule="exact"/>
              <w:rPr>
                <w:sz w:val="20"/>
                <w:szCs w:val="20"/>
                <w:color w:val="auto"/>
              </w:rPr>
            </w:pPr>
            <w:r>
              <w:rPr>
                <w:rFonts w:ascii="Arial" w:cs="Arial" w:eastAsia="Arial" w:hAnsi="Arial"/>
                <w:sz w:val="22"/>
                <w:szCs w:val="22"/>
                <w:color w:val="auto"/>
              </w:rPr>
              <w:t>President and Chief Executive Officer</w:t>
            </w:r>
          </w:p>
        </w:tc>
      </w:tr>
      <w:tr>
        <w:trPr>
          <w:trHeight w:val="250"/>
        </w:trPr>
        <w:tc>
          <w:tcPr>
            <w:tcW w:w="35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Valhi, Inc.</w:t>
            </w:r>
          </w:p>
        </w:tc>
        <w:tc>
          <w:tcPr>
            <w:tcW w:w="7880" w:type="dxa"/>
            <w:vAlign w:val="bottom"/>
            <w:tcBorders>
              <w:bottom w:val="single" w:sz="8" w:color="auto"/>
            </w:tcBorders>
          </w:tcPr>
          <w:p>
            <w:pPr>
              <w:ind w:left="880"/>
              <w:spacing w:after="0" w:line="243" w:lineRule="exact"/>
              <w:rPr>
                <w:sz w:val="20"/>
                <w:szCs w:val="20"/>
                <w:color w:val="auto"/>
              </w:rPr>
            </w:pPr>
            <w:r>
              <w:rPr>
                <w:rFonts w:ascii="Arial" w:cs="Arial" w:eastAsia="Arial" w:hAnsi="Arial"/>
                <w:sz w:val="22"/>
                <w:szCs w:val="22"/>
                <w:color w:val="auto"/>
              </w:rPr>
              <w:t>Vice Chairman of the Board, President and Chief Executive Officer</w:t>
            </w:r>
          </w:p>
        </w:tc>
      </w:tr>
      <w:tr>
        <w:trPr>
          <w:trHeight w:val="250"/>
        </w:trPr>
        <w:tc>
          <w:tcPr>
            <w:tcW w:w="35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Kronos Worldwide, Inc.</w:t>
            </w:r>
          </w:p>
        </w:tc>
        <w:tc>
          <w:tcPr>
            <w:tcW w:w="7880" w:type="dxa"/>
            <w:vAlign w:val="bottom"/>
            <w:tcBorders>
              <w:bottom w:val="single" w:sz="8" w:color="auto"/>
            </w:tcBorders>
          </w:tcPr>
          <w:p>
            <w:pPr>
              <w:ind w:left="880"/>
              <w:spacing w:after="0" w:line="243" w:lineRule="exact"/>
              <w:rPr>
                <w:sz w:val="20"/>
                <w:szCs w:val="20"/>
                <w:color w:val="auto"/>
              </w:rPr>
            </w:pPr>
            <w:r>
              <w:rPr>
                <w:rFonts w:ascii="Arial" w:cs="Arial" w:eastAsia="Arial" w:hAnsi="Arial"/>
                <w:sz w:val="22"/>
                <w:szCs w:val="22"/>
                <w:color w:val="auto"/>
              </w:rPr>
              <w:t>Vice Chairman of the Board, President and Chief Executive Officer</w:t>
            </w:r>
          </w:p>
        </w:tc>
      </w:tr>
      <w:tr>
        <w:trPr>
          <w:trHeight w:val="250"/>
        </w:trPr>
        <w:tc>
          <w:tcPr>
            <w:tcW w:w="35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NL Industries, Inc.</w:t>
            </w:r>
          </w:p>
        </w:tc>
        <w:tc>
          <w:tcPr>
            <w:tcW w:w="7880" w:type="dxa"/>
            <w:vAlign w:val="bottom"/>
            <w:tcBorders>
              <w:bottom w:val="single" w:sz="8" w:color="auto"/>
            </w:tcBorders>
          </w:tcPr>
          <w:p>
            <w:pPr>
              <w:ind w:left="880"/>
              <w:spacing w:after="0" w:line="243" w:lineRule="exact"/>
              <w:rPr>
                <w:sz w:val="20"/>
                <w:szCs w:val="20"/>
                <w:color w:val="auto"/>
              </w:rPr>
            </w:pPr>
            <w:r>
              <w:rPr>
                <w:rFonts w:ascii="Arial" w:cs="Arial" w:eastAsia="Arial" w:hAnsi="Arial"/>
                <w:sz w:val="22"/>
                <w:szCs w:val="22"/>
                <w:color w:val="auto"/>
              </w:rPr>
              <w:t>Vice Chairman of the Board and Chief Executive Officer</w:t>
            </w:r>
          </w:p>
        </w:tc>
      </w:tr>
      <w:tr>
        <w:trPr>
          <w:trHeight w:val="669"/>
        </w:trPr>
        <w:tc>
          <w:tcPr>
            <w:tcW w:w="35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SCHEDULE B</w:t>
      </w:r>
    </w:p>
    <w:p>
      <w:pPr>
        <w:spacing w:after="0" w:line="24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names of the directors and executive officers of Kronos Worldwide, NL, Valhi, Dixie Rice and Contran and their present principal occupations are set forth below. Except as otherwise indicated, each such person is a citizen of the United States of America and the business address of each such person is 5430 LBJ Freeway, Suite 1700, Dallas, Texas 75240.</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180" w:type="dxa"/>
            <w:vAlign w:val="bottom"/>
            <w:tcBorders>
              <w:bottom w:val="single" w:sz="8" w:color="auto"/>
            </w:tcBorders>
          </w:tcPr>
          <w:p>
            <w:pPr>
              <w:ind w:left="2440"/>
              <w:spacing w:after="0"/>
              <w:rPr>
                <w:sz w:val="20"/>
                <w:szCs w:val="20"/>
                <w:color w:val="auto"/>
              </w:rPr>
            </w:pPr>
            <w:r>
              <w:rPr>
                <w:rFonts w:ascii="Arial" w:cs="Arial" w:eastAsia="Arial" w:hAnsi="Arial"/>
                <w:sz w:val="22"/>
                <w:szCs w:val="22"/>
                <w:b w:val="1"/>
                <w:bCs w:val="1"/>
                <w:color w:val="auto"/>
              </w:rPr>
              <w:t>Name</w:t>
            </w:r>
          </w:p>
        </w:tc>
        <w:tc>
          <w:tcPr>
            <w:tcW w:w="7240" w:type="dxa"/>
            <w:vAlign w:val="bottom"/>
            <w:tcBorders>
              <w:bottom w:val="single" w:sz="8" w:color="auto"/>
            </w:tcBorders>
          </w:tcPr>
          <w:p>
            <w:pPr>
              <w:ind w:left="2860"/>
              <w:spacing w:after="0"/>
              <w:rPr>
                <w:sz w:val="20"/>
                <w:szCs w:val="20"/>
                <w:color w:val="auto"/>
              </w:rPr>
            </w:pPr>
            <w:r>
              <w:rPr>
                <w:rFonts w:ascii="Arial" w:cs="Arial" w:eastAsia="Arial" w:hAnsi="Arial"/>
                <w:sz w:val="22"/>
                <w:szCs w:val="22"/>
                <w:b w:val="1"/>
                <w:bCs w:val="1"/>
                <w:color w:val="auto"/>
              </w:rPr>
              <w:t>Present Principal Occupation</w:t>
            </w:r>
          </w:p>
        </w:tc>
      </w:tr>
      <w:tr>
        <w:trPr>
          <w:trHeight w:val="438"/>
        </w:trPr>
        <w:tc>
          <w:tcPr>
            <w:tcW w:w="4180" w:type="dxa"/>
            <w:vAlign w:val="bottom"/>
          </w:tcPr>
          <w:p>
            <w:pPr>
              <w:spacing w:after="0"/>
              <w:rPr>
                <w:sz w:val="20"/>
                <w:szCs w:val="20"/>
                <w:color w:val="auto"/>
              </w:rPr>
            </w:pPr>
            <w:r>
              <w:rPr>
                <w:rFonts w:ascii="Arial" w:cs="Arial" w:eastAsia="Arial" w:hAnsi="Arial"/>
                <w:sz w:val="22"/>
                <w:szCs w:val="22"/>
                <w:color w:val="auto"/>
              </w:rPr>
              <w:t>Thomas E. Barry</w:t>
            </w:r>
          </w:p>
        </w:tc>
        <w:tc>
          <w:tcPr>
            <w:tcW w:w="7240" w:type="dxa"/>
            <w:vAlign w:val="bottom"/>
          </w:tcPr>
          <w:p>
            <w:pPr>
              <w:ind w:left="1220"/>
              <w:spacing w:after="0"/>
              <w:rPr>
                <w:sz w:val="20"/>
                <w:szCs w:val="20"/>
                <w:color w:val="auto"/>
              </w:rPr>
            </w:pPr>
            <w:r>
              <w:rPr>
                <w:rFonts w:ascii="Arial" w:cs="Arial" w:eastAsia="Arial" w:hAnsi="Arial"/>
                <w:sz w:val="22"/>
                <w:szCs w:val="22"/>
                <w:color w:val="auto"/>
                <w:w w:val="97"/>
              </w:rPr>
              <w:t>Professor of marketing, emeritus at the Edwin L. Cox School of</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90"/>
              </w:rPr>
              <w:t>Business at Southern Methodist University; and a director of CompX</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and Valhi</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Patty S. Brinda</w:t>
            </w:r>
          </w:p>
        </w:tc>
        <w:tc>
          <w:tcPr>
            <w:tcW w:w="7240" w:type="dxa"/>
            <w:vAlign w:val="bottom"/>
          </w:tcPr>
          <w:p>
            <w:pPr>
              <w:ind w:left="1220"/>
              <w:spacing w:after="0"/>
              <w:rPr>
                <w:sz w:val="20"/>
                <w:szCs w:val="20"/>
                <w:color w:val="auto"/>
              </w:rPr>
            </w:pPr>
            <w:r>
              <w:rPr>
                <w:rFonts w:ascii="Arial" w:cs="Arial" w:eastAsia="Arial" w:hAnsi="Arial"/>
                <w:sz w:val="22"/>
                <w:szCs w:val="22"/>
                <w:color w:val="auto"/>
              </w:rPr>
              <w:t>Vice president and controller of NL</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James W. Brown</w:t>
            </w:r>
          </w:p>
        </w:tc>
        <w:tc>
          <w:tcPr>
            <w:tcW w:w="7240" w:type="dxa"/>
            <w:vAlign w:val="bottom"/>
          </w:tcPr>
          <w:p>
            <w:pPr>
              <w:ind w:left="1220"/>
              <w:spacing w:after="0"/>
              <w:rPr>
                <w:sz w:val="20"/>
                <w:szCs w:val="20"/>
                <w:color w:val="auto"/>
              </w:rPr>
            </w:pPr>
            <w:r>
              <w:rPr>
                <w:rFonts w:ascii="Arial" w:cs="Arial" w:eastAsia="Arial" w:hAnsi="Arial"/>
                <w:sz w:val="22"/>
                <w:szCs w:val="22"/>
                <w:color w:val="auto"/>
                <w:w w:val="99"/>
              </w:rPr>
              <w:t>Senior  vice  president  and  chief  financial  officer  of  Kronos</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Worldwide and Valhi</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Clarence B. Brown, III</w:t>
            </w:r>
          </w:p>
        </w:tc>
        <w:tc>
          <w:tcPr>
            <w:tcW w:w="7240" w:type="dxa"/>
            <w:vAlign w:val="bottom"/>
          </w:tcPr>
          <w:p>
            <w:pPr>
              <w:ind w:left="1220"/>
              <w:spacing w:after="0"/>
              <w:rPr>
                <w:sz w:val="20"/>
                <w:szCs w:val="20"/>
                <w:color w:val="auto"/>
              </w:rPr>
            </w:pPr>
            <w:r>
              <w:rPr>
                <w:rFonts w:ascii="Arial" w:cs="Arial" w:eastAsia="Arial" w:hAnsi="Arial"/>
                <w:sz w:val="22"/>
                <w:szCs w:val="22"/>
                <w:color w:val="auto"/>
                <w:w w:val="90"/>
              </w:rPr>
              <w:t>Vice president, general counsel and secretary of Kronos Worldwide;</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and vice president and secretary of NL</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James Buch</w:t>
            </w:r>
          </w:p>
        </w:tc>
        <w:tc>
          <w:tcPr>
            <w:tcW w:w="7240" w:type="dxa"/>
            <w:vAlign w:val="bottom"/>
          </w:tcPr>
          <w:p>
            <w:pPr>
              <w:ind w:left="1220"/>
              <w:spacing w:after="0"/>
              <w:rPr>
                <w:sz w:val="20"/>
                <w:szCs w:val="20"/>
                <w:color w:val="auto"/>
              </w:rPr>
            </w:pPr>
            <w:r>
              <w:rPr>
                <w:rFonts w:ascii="Arial" w:cs="Arial" w:eastAsia="Arial" w:hAnsi="Arial"/>
                <w:sz w:val="22"/>
                <w:szCs w:val="22"/>
                <w:color w:val="auto"/>
              </w:rPr>
              <w:t>Chief operating officer of Kronos Worldwide</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Brian W. Christian</w:t>
            </w:r>
          </w:p>
        </w:tc>
        <w:tc>
          <w:tcPr>
            <w:tcW w:w="7240" w:type="dxa"/>
            <w:vAlign w:val="bottom"/>
          </w:tcPr>
          <w:p>
            <w:pPr>
              <w:ind w:left="1220"/>
              <w:spacing w:after="0"/>
              <w:rPr>
                <w:sz w:val="20"/>
                <w:szCs w:val="20"/>
                <w:color w:val="auto"/>
              </w:rPr>
            </w:pPr>
            <w:r>
              <w:rPr>
                <w:rFonts w:ascii="Arial" w:cs="Arial" w:eastAsia="Arial" w:hAnsi="Arial"/>
                <w:sz w:val="22"/>
                <w:szCs w:val="22"/>
                <w:color w:val="auto"/>
                <w:w w:val="98"/>
              </w:rPr>
              <w:t>Executive vice president of Kronos Worldwide; and senior vice</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president of Contran</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Benjamin R. Corona</w:t>
            </w:r>
          </w:p>
        </w:tc>
        <w:tc>
          <w:tcPr>
            <w:tcW w:w="7240" w:type="dxa"/>
            <w:vAlign w:val="bottom"/>
          </w:tcPr>
          <w:p>
            <w:pPr>
              <w:ind w:left="1220"/>
              <w:spacing w:after="0"/>
              <w:rPr>
                <w:sz w:val="20"/>
                <w:szCs w:val="20"/>
                <w:color w:val="auto"/>
              </w:rPr>
            </w:pPr>
            <w:r>
              <w:rPr>
                <w:rFonts w:ascii="Arial" w:cs="Arial" w:eastAsia="Arial" w:hAnsi="Arial"/>
                <w:sz w:val="22"/>
                <w:szCs w:val="22"/>
                <w:color w:val="auto"/>
              </w:rPr>
              <w:t>President, global sales management of Kronos Worldwide</w:t>
            </w:r>
          </w:p>
        </w:tc>
      </w:tr>
      <w:tr>
        <w:trPr>
          <w:trHeight w:val="473"/>
        </w:trPr>
        <w:tc>
          <w:tcPr>
            <w:tcW w:w="4180" w:type="dxa"/>
            <w:vAlign w:val="bottom"/>
          </w:tcPr>
          <w:p>
            <w:pPr>
              <w:spacing w:after="0"/>
              <w:rPr>
                <w:sz w:val="20"/>
                <w:szCs w:val="20"/>
                <w:color w:val="auto"/>
              </w:rPr>
            </w:pPr>
            <w:r>
              <w:rPr>
                <w:rFonts w:ascii="Arial" w:cs="Arial" w:eastAsia="Arial" w:hAnsi="Arial"/>
                <w:sz w:val="22"/>
                <w:szCs w:val="22"/>
                <w:color w:val="auto"/>
              </w:rPr>
              <w:t>Serena S. Connelly</w:t>
            </w:r>
          </w:p>
        </w:tc>
        <w:tc>
          <w:tcPr>
            <w:tcW w:w="7240" w:type="dxa"/>
            <w:vAlign w:val="bottom"/>
          </w:tcPr>
          <w:p>
            <w:pPr>
              <w:ind w:left="1220"/>
              <w:spacing w:after="0"/>
              <w:rPr>
                <w:sz w:val="20"/>
                <w:szCs w:val="20"/>
                <w:color w:val="auto"/>
              </w:rPr>
            </w:pPr>
            <w:r>
              <w:rPr>
                <w:rFonts w:ascii="Arial" w:cs="Arial" w:eastAsia="Arial" w:hAnsi="Arial"/>
                <w:sz w:val="22"/>
                <w:szCs w:val="22"/>
                <w:color w:val="auto"/>
              </w:rPr>
              <w:t>Co-chair of the board of Contran</w:t>
            </w:r>
          </w:p>
        </w:tc>
      </w:tr>
      <w:tr>
        <w:trPr>
          <w:trHeight w:val="441"/>
        </w:trPr>
        <w:tc>
          <w:tcPr>
            <w:tcW w:w="4180" w:type="dxa"/>
            <w:vAlign w:val="bottom"/>
          </w:tcPr>
          <w:p>
            <w:pPr>
              <w:spacing w:after="0"/>
              <w:rPr>
                <w:sz w:val="20"/>
                <w:szCs w:val="20"/>
                <w:color w:val="auto"/>
              </w:rPr>
            </w:pPr>
            <w:r>
              <w:rPr>
                <w:rFonts w:ascii="Arial" w:cs="Arial" w:eastAsia="Arial" w:hAnsi="Arial"/>
                <w:sz w:val="22"/>
                <w:szCs w:val="22"/>
                <w:color w:val="auto"/>
              </w:rPr>
              <w:t>Steven S. Eaton</w:t>
            </w:r>
          </w:p>
        </w:tc>
        <w:tc>
          <w:tcPr>
            <w:tcW w:w="7240" w:type="dxa"/>
            <w:vAlign w:val="bottom"/>
          </w:tcPr>
          <w:p>
            <w:pPr>
              <w:ind w:left="1220"/>
              <w:spacing w:after="0"/>
              <w:rPr>
                <w:sz w:val="20"/>
                <w:szCs w:val="20"/>
                <w:color w:val="auto"/>
              </w:rPr>
            </w:pPr>
            <w:r>
              <w:rPr>
                <w:rFonts w:ascii="Arial" w:cs="Arial" w:eastAsia="Arial" w:hAnsi="Arial"/>
                <w:sz w:val="22"/>
                <w:szCs w:val="22"/>
                <w:color w:val="auto"/>
                <w:w w:val="94"/>
              </w:rPr>
              <w:t>Vice president, internal control over financial reporting of CompX,</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Kronos Worldwide, NL and Valhi</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Loretta J. Feehan</w:t>
            </w:r>
          </w:p>
        </w:tc>
        <w:tc>
          <w:tcPr>
            <w:tcW w:w="7240" w:type="dxa"/>
            <w:vAlign w:val="bottom"/>
          </w:tcPr>
          <w:p>
            <w:pPr>
              <w:ind w:left="1220"/>
              <w:spacing w:after="0"/>
              <w:rPr>
                <w:sz w:val="20"/>
                <w:szCs w:val="20"/>
                <w:color w:val="auto"/>
              </w:rPr>
            </w:pPr>
            <w:r>
              <w:rPr>
                <w:rFonts w:ascii="Arial" w:cs="Arial" w:eastAsia="Arial" w:hAnsi="Arial"/>
                <w:sz w:val="22"/>
                <w:szCs w:val="22"/>
                <w:color w:val="auto"/>
                <w:w w:val="94"/>
              </w:rPr>
              <w:t>Chair of the board (non-executive) of CompX, Kronos Worldwide,</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rPr>
              <w:t>NL and Valhi; and certified public accountant who consults on</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financial and tax matters</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Robert D. Graham</w:t>
            </w:r>
          </w:p>
        </w:tc>
        <w:tc>
          <w:tcPr>
            <w:tcW w:w="7240" w:type="dxa"/>
            <w:vAlign w:val="bottom"/>
          </w:tcPr>
          <w:p>
            <w:pPr>
              <w:ind w:left="1220"/>
              <w:spacing w:after="0"/>
              <w:rPr>
                <w:sz w:val="20"/>
                <w:szCs w:val="20"/>
                <w:color w:val="auto"/>
              </w:rPr>
            </w:pPr>
            <w:r>
              <w:rPr>
                <w:rFonts w:ascii="Arial" w:cs="Arial" w:eastAsia="Arial" w:hAnsi="Arial"/>
                <w:sz w:val="22"/>
                <w:szCs w:val="22"/>
                <w:color w:val="auto"/>
                <w:w w:val="93"/>
              </w:rPr>
              <w:t>Vice chairman of the board of CompX; vice chairman of the board</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rPr>
              <w:t>and chief executive officer of NL; vice chairman of the board,</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90"/>
              </w:rPr>
              <w:t>president and chief executive officer of Kronos Worldwide and Valhi;</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91"/>
              </w:rPr>
              <w:t>chairman of the board, president and chief executive officer of Dixie</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w w:val="93"/>
              </w:rPr>
              <w:t>Rice; and director, president and chief executive officer of Contran</w:t>
            </w:r>
          </w:p>
        </w:tc>
      </w:tr>
      <w:tr>
        <w:trPr>
          <w:trHeight w:val="173"/>
        </w:trPr>
        <w:tc>
          <w:tcPr>
            <w:tcW w:w="4180" w:type="dxa"/>
            <w:vAlign w:val="bottom"/>
            <w:tcBorders>
              <w:bottom w:val="single" w:sz="8" w:color="auto"/>
            </w:tcBorders>
          </w:tcPr>
          <w:p>
            <w:pPr>
              <w:spacing w:after="0"/>
              <w:rPr>
                <w:sz w:val="15"/>
                <w:szCs w:val="15"/>
                <w:color w:val="auto"/>
              </w:rPr>
            </w:pPr>
          </w:p>
        </w:tc>
        <w:tc>
          <w:tcPr>
            <w:tcW w:w="72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11"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180" w:type="dxa"/>
            <w:vAlign w:val="bottom"/>
            <w:tcBorders>
              <w:bottom w:val="single" w:sz="8" w:color="auto"/>
            </w:tcBorders>
          </w:tcPr>
          <w:p>
            <w:pPr>
              <w:ind w:left="2440"/>
              <w:spacing w:after="0"/>
              <w:rPr>
                <w:sz w:val="20"/>
                <w:szCs w:val="20"/>
                <w:color w:val="auto"/>
              </w:rPr>
            </w:pPr>
            <w:r>
              <w:rPr>
                <w:rFonts w:ascii="Arial" w:cs="Arial" w:eastAsia="Arial" w:hAnsi="Arial"/>
                <w:sz w:val="22"/>
                <w:szCs w:val="22"/>
                <w:b w:val="1"/>
                <w:bCs w:val="1"/>
                <w:color w:val="auto"/>
              </w:rPr>
              <w:t>Name</w:t>
            </w:r>
          </w:p>
        </w:tc>
        <w:tc>
          <w:tcPr>
            <w:tcW w:w="7240" w:type="dxa"/>
            <w:vAlign w:val="bottom"/>
            <w:tcBorders>
              <w:bottom w:val="single" w:sz="8" w:color="auto"/>
            </w:tcBorders>
          </w:tcPr>
          <w:p>
            <w:pPr>
              <w:ind w:left="2860"/>
              <w:spacing w:after="0"/>
              <w:rPr>
                <w:sz w:val="20"/>
                <w:szCs w:val="20"/>
                <w:color w:val="auto"/>
              </w:rPr>
            </w:pPr>
            <w:r>
              <w:rPr>
                <w:rFonts w:ascii="Arial" w:cs="Arial" w:eastAsia="Arial" w:hAnsi="Arial"/>
                <w:sz w:val="22"/>
                <w:szCs w:val="22"/>
                <w:b w:val="1"/>
                <w:bCs w:val="1"/>
                <w:color w:val="auto"/>
              </w:rPr>
              <w:t>Present Principal Occupation</w:t>
            </w:r>
          </w:p>
        </w:tc>
      </w:tr>
      <w:tr>
        <w:trPr>
          <w:trHeight w:val="685"/>
        </w:trPr>
        <w:tc>
          <w:tcPr>
            <w:tcW w:w="4180" w:type="dxa"/>
            <w:vAlign w:val="bottom"/>
          </w:tcPr>
          <w:p>
            <w:pPr>
              <w:spacing w:after="0"/>
              <w:rPr>
                <w:sz w:val="20"/>
                <w:szCs w:val="20"/>
                <w:color w:val="auto"/>
              </w:rPr>
            </w:pPr>
            <w:r>
              <w:rPr>
                <w:rFonts w:ascii="Arial" w:cs="Arial" w:eastAsia="Arial" w:hAnsi="Arial"/>
                <w:sz w:val="22"/>
                <w:szCs w:val="22"/>
                <w:color w:val="auto"/>
              </w:rPr>
              <w:t>Jane R. Grimm</w:t>
            </w:r>
          </w:p>
        </w:tc>
        <w:tc>
          <w:tcPr>
            <w:tcW w:w="7240" w:type="dxa"/>
            <w:vAlign w:val="bottom"/>
          </w:tcPr>
          <w:p>
            <w:pPr>
              <w:ind w:left="1220"/>
              <w:spacing w:after="0"/>
              <w:rPr>
                <w:sz w:val="20"/>
                <w:szCs w:val="20"/>
                <w:color w:val="auto"/>
              </w:rPr>
            </w:pPr>
            <w:r>
              <w:rPr>
                <w:rFonts w:ascii="Arial" w:cs="Arial" w:eastAsia="Arial" w:hAnsi="Arial"/>
                <w:sz w:val="22"/>
                <w:szCs w:val="22"/>
                <w:color w:val="auto"/>
              </w:rPr>
              <w:t>Vice president and secretary of CompX and Valhi</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Tim C. Hafer</w:t>
            </w:r>
          </w:p>
        </w:tc>
        <w:tc>
          <w:tcPr>
            <w:tcW w:w="7240" w:type="dxa"/>
            <w:vAlign w:val="bottom"/>
          </w:tcPr>
          <w:p>
            <w:pPr>
              <w:ind w:left="1220"/>
              <w:spacing w:after="0"/>
              <w:rPr>
                <w:sz w:val="20"/>
                <w:szCs w:val="20"/>
                <w:color w:val="auto"/>
              </w:rPr>
            </w:pPr>
            <w:r>
              <w:rPr>
                <w:rFonts w:ascii="Arial" w:cs="Arial" w:eastAsia="Arial" w:hAnsi="Arial"/>
                <w:sz w:val="22"/>
                <w:szCs w:val="22"/>
                <w:color w:val="auto"/>
              </w:rPr>
              <w:t>Senior vice president and controller of Kronos Worldwide</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Bryan A. Hanley</w:t>
            </w:r>
          </w:p>
        </w:tc>
        <w:tc>
          <w:tcPr>
            <w:tcW w:w="7240" w:type="dxa"/>
            <w:vAlign w:val="bottom"/>
          </w:tcPr>
          <w:p>
            <w:pPr>
              <w:ind w:left="1220"/>
              <w:spacing w:after="0"/>
              <w:rPr>
                <w:sz w:val="20"/>
                <w:szCs w:val="20"/>
                <w:color w:val="auto"/>
              </w:rPr>
            </w:pPr>
            <w:r>
              <w:rPr>
                <w:rFonts w:ascii="Arial" w:cs="Arial" w:eastAsia="Arial" w:hAnsi="Arial"/>
                <w:sz w:val="22"/>
                <w:szCs w:val="22"/>
                <w:color w:val="auto"/>
                <w:w w:val="97"/>
              </w:rPr>
              <w:t>Vice president and treasurer of CompX, NL, Kronos Worldwide,</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Valhi and Contran</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John E. Harper</w:t>
            </w:r>
          </w:p>
        </w:tc>
        <w:tc>
          <w:tcPr>
            <w:tcW w:w="7240" w:type="dxa"/>
            <w:vAlign w:val="bottom"/>
          </w:tcPr>
          <w:p>
            <w:pPr>
              <w:ind w:left="1220"/>
              <w:spacing w:after="0"/>
              <w:rPr>
                <w:sz w:val="20"/>
                <w:szCs w:val="20"/>
                <w:color w:val="auto"/>
              </w:rPr>
            </w:pPr>
            <w:r>
              <w:rPr>
                <w:rFonts w:ascii="Arial" w:cs="Arial" w:eastAsia="Arial" w:hAnsi="Arial"/>
                <w:sz w:val="22"/>
                <w:szCs w:val="22"/>
                <w:color w:val="auto"/>
              </w:rPr>
              <w:t>Private investor; and a director of Kronos Worldwide and NL</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Terri L. Herrington</w:t>
            </w:r>
          </w:p>
        </w:tc>
        <w:tc>
          <w:tcPr>
            <w:tcW w:w="7240" w:type="dxa"/>
            <w:vAlign w:val="bottom"/>
          </w:tcPr>
          <w:p>
            <w:pPr>
              <w:ind w:left="1220"/>
              <w:spacing w:after="0"/>
              <w:rPr>
                <w:sz w:val="20"/>
                <w:szCs w:val="20"/>
                <w:color w:val="auto"/>
              </w:rPr>
            </w:pPr>
            <w:r>
              <w:rPr>
                <w:rFonts w:ascii="Arial" w:cs="Arial" w:eastAsia="Arial" w:hAnsi="Arial"/>
                <w:sz w:val="22"/>
                <w:szCs w:val="22"/>
                <w:color w:val="auto"/>
              </w:rPr>
              <w:t>Private investor; and a director of CompX and Valhi</w:t>
            </w:r>
          </w:p>
        </w:tc>
      </w:tr>
      <w:tr>
        <w:trPr>
          <w:trHeight w:val="441"/>
        </w:trPr>
        <w:tc>
          <w:tcPr>
            <w:tcW w:w="4180" w:type="dxa"/>
            <w:vAlign w:val="bottom"/>
          </w:tcPr>
          <w:p>
            <w:pPr>
              <w:spacing w:after="0"/>
              <w:rPr>
                <w:sz w:val="20"/>
                <w:szCs w:val="20"/>
                <w:color w:val="auto"/>
              </w:rPr>
            </w:pPr>
            <w:r>
              <w:rPr>
                <w:rFonts w:ascii="Arial" w:cs="Arial" w:eastAsia="Arial" w:hAnsi="Arial"/>
                <w:sz w:val="22"/>
                <w:szCs w:val="22"/>
                <w:color w:val="auto"/>
              </w:rPr>
              <w:t>Janet G. Keckeisen</w:t>
            </w:r>
          </w:p>
        </w:tc>
        <w:tc>
          <w:tcPr>
            <w:tcW w:w="7240" w:type="dxa"/>
            <w:vAlign w:val="bottom"/>
          </w:tcPr>
          <w:p>
            <w:pPr>
              <w:ind w:left="1220"/>
              <w:spacing w:after="0"/>
              <w:rPr>
                <w:sz w:val="20"/>
                <w:szCs w:val="20"/>
                <w:color w:val="auto"/>
              </w:rPr>
            </w:pPr>
            <w:r>
              <w:rPr>
                <w:rFonts w:ascii="Arial" w:cs="Arial" w:eastAsia="Arial" w:hAnsi="Arial"/>
                <w:sz w:val="22"/>
                <w:szCs w:val="22"/>
                <w:color w:val="auto"/>
                <w:w w:val="93"/>
              </w:rPr>
              <w:t>Vice president, corporate strategy and investor relations of Kronos</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Worldwide and Valhi</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Patricia A. Kropp</w:t>
            </w:r>
          </w:p>
        </w:tc>
        <w:tc>
          <w:tcPr>
            <w:tcW w:w="7240" w:type="dxa"/>
            <w:vAlign w:val="bottom"/>
          </w:tcPr>
          <w:p>
            <w:pPr>
              <w:ind w:left="1220"/>
              <w:spacing w:after="0"/>
              <w:rPr>
                <w:sz w:val="20"/>
                <w:szCs w:val="20"/>
                <w:color w:val="auto"/>
              </w:rPr>
            </w:pPr>
            <w:r>
              <w:rPr>
                <w:rFonts w:ascii="Arial" w:cs="Arial" w:eastAsia="Arial" w:hAnsi="Arial"/>
                <w:sz w:val="22"/>
                <w:szCs w:val="22"/>
                <w:color w:val="auto"/>
                <w:w w:val="92"/>
              </w:rPr>
              <w:t>Vice president, global human resources of Kronos Worldwide; vice</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98"/>
              </w:rPr>
              <w:t>president, employee benefits of NL; and vice president, human</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resources of Contran</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Kelly D. Luttmer</w:t>
            </w:r>
          </w:p>
        </w:tc>
        <w:tc>
          <w:tcPr>
            <w:tcW w:w="7240" w:type="dxa"/>
            <w:vAlign w:val="bottom"/>
          </w:tcPr>
          <w:p>
            <w:pPr>
              <w:ind w:left="1220"/>
              <w:spacing w:after="0"/>
              <w:rPr>
                <w:sz w:val="20"/>
                <w:szCs w:val="20"/>
                <w:color w:val="auto"/>
              </w:rPr>
            </w:pPr>
            <w:r>
              <w:rPr>
                <w:rFonts w:ascii="Arial" w:cs="Arial" w:eastAsia="Arial" w:hAnsi="Arial"/>
                <w:sz w:val="22"/>
                <w:szCs w:val="22"/>
                <w:color w:val="auto"/>
                <w:w w:val="96"/>
              </w:rPr>
              <w:t>Executive vice president and chief tax officer of CompX, Kronos</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Worldwide, NL, Valhi, Dixie Rice and Contran</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W. Hayden McIlroy (1)</w:t>
            </w:r>
          </w:p>
        </w:tc>
        <w:tc>
          <w:tcPr>
            <w:tcW w:w="7240" w:type="dxa"/>
            <w:vAlign w:val="bottom"/>
          </w:tcPr>
          <w:p>
            <w:pPr>
              <w:ind w:left="1220"/>
              <w:spacing w:after="0"/>
              <w:rPr>
                <w:sz w:val="20"/>
                <w:szCs w:val="20"/>
                <w:color w:val="auto"/>
              </w:rPr>
            </w:pPr>
            <w:r>
              <w:rPr>
                <w:rFonts w:ascii="Arial" w:cs="Arial" w:eastAsia="Arial" w:hAnsi="Arial"/>
                <w:sz w:val="22"/>
                <w:szCs w:val="22"/>
                <w:color w:val="auto"/>
              </w:rPr>
              <w:t>Private investor primarily in real estate; and a director of Valhi</w:t>
            </w:r>
          </w:p>
        </w:tc>
      </w:tr>
      <w:tr>
        <w:trPr>
          <w:trHeight w:val="441"/>
        </w:trPr>
        <w:tc>
          <w:tcPr>
            <w:tcW w:w="4180" w:type="dxa"/>
            <w:vAlign w:val="bottom"/>
          </w:tcPr>
          <w:p>
            <w:pPr>
              <w:spacing w:after="0"/>
              <w:rPr>
                <w:sz w:val="20"/>
                <w:szCs w:val="20"/>
                <w:color w:val="auto"/>
              </w:rPr>
            </w:pPr>
            <w:r>
              <w:rPr>
                <w:rFonts w:ascii="Arial" w:cs="Arial" w:eastAsia="Arial" w:hAnsi="Arial"/>
                <w:sz w:val="22"/>
                <w:szCs w:val="22"/>
                <w:color w:val="auto"/>
              </w:rPr>
              <w:t>Meredith W. Mendes</w:t>
            </w:r>
          </w:p>
        </w:tc>
        <w:tc>
          <w:tcPr>
            <w:tcW w:w="7240" w:type="dxa"/>
            <w:vAlign w:val="bottom"/>
          </w:tcPr>
          <w:p>
            <w:pPr>
              <w:ind w:left="1220"/>
              <w:spacing w:after="0"/>
              <w:rPr>
                <w:sz w:val="20"/>
                <w:szCs w:val="20"/>
                <w:color w:val="auto"/>
              </w:rPr>
            </w:pPr>
            <w:r>
              <w:rPr>
                <w:rFonts w:ascii="Arial" w:cs="Arial" w:eastAsia="Arial" w:hAnsi="Arial"/>
                <w:sz w:val="22"/>
                <w:szCs w:val="22"/>
                <w:color w:val="auto"/>
                <w:w w:val="97"/>
              </w:rPr>
              <w:t>Executive director and chief operating officer of Jenner &amp; Block</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LLP; and a director of Kronos Worldwide and NL</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Cecil H. Moore, Jr.</w:t>
            </w:r>
          </w:p>
        </w:tc>
        <w:tc>
          <w:tcPr>
            <w:tcW w:w="7240" w:type="dxa"/>
            <w:vAlign w:val="bottom"/>
          </w:tcPr>
          <w:p>
            <w:pPr>
              <w:ind w:left="1220"/>
              <w:spacing w:after="0"/>
              <w:rPr>
                <w:sz w:val="20"/>
                <w:szCs w:val="20"/>
                <w:color w:val="auto"/>
              </w:rPr>
            </w:pPr>
            <w:r>
              <w:rPr>
                <w:rFonts w:ascii="Arial" w:cs="Arial" w:eastAsia="Arial" w:hAnsi="Arial"/>
                <w:sz w:val="22"/>
                <w:szCs w:val="22"/>
                <w:color w:val="auto"/>
              </w:rPr>
              <w:t>Private investor; and a director of Kronos Worldwide and NL</w:t>
            </w:r>
          </w:p>
        </w:tc>
      </w:tr>
      <w:tr>
        <w:trPr>
          <w:trHeight w:val="441"/>
        </w:trPr>
        <w:tc>
          <w:tcPr>
            <w:tcW w:w="4180" w:type="dxa"/>
            <w:vAlign w:val="bottom"/>
          </w:tcPr>
          <w:p>
            <w:pPr>
              <w:spacing w:after="0"/>
              <w:rPr>
                <w:sz w:val="20"/>
                <w:szCs w:val="20"/>
                <w:color w:val="auto"/>
              </w:rPr>
            </w:pPr>
            <w:r>
              <w:rPr>
                <w:rFonts w:ascii="Arial" w:cs="Arial" w:eastAsia="Arial" w:hAnsi="Arial"/>
                <w:sz w:val="22"/>
                <w:szCs w:val="22"/>
                <w:color w:val="auto"/>
              </w:rPr>
              <w:t>Andrew B. Nace</w:t>
            </w:r>
          </w:p>
        </w:tc>
        <w:tc>
          <w:tcPr>
            <w:tcW w:w="7240" w:type="dxa"/>
            <w:vAlign w:val="bottom"/>
          </w:tcPr>
          <w:p>
            <w:pPr>
              <w:ind w:left="1220"/>
              <w:spacing w:after="0"/>
              <w:rPr>
                <w:sz w:val="20"/>
                <w:szCs w:val="20"/>
                <w:color w:val="auto"/>
              </w:rPr>
            </w:pPr>
            <w:r>
              <w:rPr>
                <w:rFonts w:ascii="Arial" w:cs="Arial" w:eastAsia="Arial" w:hAnsi="Arial"/>
                <w:sz w:val="22"/>
                <w:szCs w:val="22"/>
                <w:color w:val="auto"/>
                <w:w w:val="97"/>
              </w:rPr>
              <w:t>Executive vice president of CompX, Kronos Worldwide and NL;</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89"/>
              </w:rPr>
              <w:t>executive vice president, general counsel and secretary of Valhi; and</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89"/>
              </w:rPr>
              <w:t>executive vice president, general counsel and secretary of Dixie Rice</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and Contran</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John R. Powers, III</w:t>
            </w:r>
          </w:p>
        </w:tc>
        <w:tc>
          <w:tcPr>
            <w:tcW w:w="7240" w:type="dxa"/>
            <w:vAlign w:val="bottom"/>
          </w:tcPr>
          <w:p>
            <w:pPr>
              <w:ind w:left="1220"/>
              <w:spacing w:after="0"/>
              <w:rPr>
                <w:sz w:val="20"/>
                <w:szCs w:val="20"/>
                <w:color w:val="auto"/>
              </w:rPr>
            </w:pPr>
            <w:r>
              <w:rPr>
                <w:rFonts w:ascii="Arial" w:cs="Arial" w:eastAsia="Arial" w:hAnsi="Arial"/>
                <w:sz w:val="22"/>
                <w:szCs w:val="22"/>
                <w:color w:val="auto"/>
              </w:rPr>
              <w:t>Vice president and general counsel of NL</w:t>
            </w:r>
          </w:p>
        </w:tc>
      </w:tr>
      <w:tr>
        <w:trPr>
          <w:trHeight w:val="186"/>
        </w:trPr>
        <w:tc>
          <w:tcPr>
            <w:tcW w:w="4180" w:type="dxa"/>
            <w:vAlign w:val="bottom"/>
            <w:tcBorders>
              <w:bottom w:val="single" w:sz="8" w:color="auto"/>
            </w:tcBorders>
          </w:tcPr>
          <w:p>
            <w:pPr>
              <w:spacing w:after="0"/>
              <w:rPr>
                <w:sz w:val="16"/>
                <w:szCs w:val="16"/>
                <w:color w:val="auto"/>
              </w:rPr>
            </w:pPr>
          </w:p>
        </w:tc>
        <w:tc>
          <w:tcPr>
            <w:tcW w:w="7240" w:type="dxa"/>
            <w:vAlign w:val="bottom"/>
            <w:tcBorders>
              <w:bottom w:val="single" w:sz="8" w:color="auto"/>
            </w:tcBorders>
          </w:tcPr>
          <w:p>
            <w:pPr>
              <w:spacing w:after="0"/>
              <w:rPr>
                <w:sz w:val="16"/>
                <w:szCs w:val="16"/>
                <w:color w:val="auto"/>
              </w:rPr>
            </w:pPr>
          </w:p>
        </w:tc>
      </w:tr>
    </w:tbl>
    <w:p>
      <w:pPr>
        <w:sectPr>
          <w:pgSz w:w="11900" w:h="16838" w:orient="portrait"/>
          <w:cols w:equalWidth="0" w:num="1">
            <w:col w:w="11420"/>
          </w:cols>
          <w:pgMar w:left="240" w:top="355"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180" w:type="dxa"/>
            <w:vAlign w:val="bottom"/>
            <w:tcBorders>
              <w:bottom w:val="single" w:sz="8" w:color="auto"/>
            </w:tcBorders>
          </w:tcPr>
          <w:p>
            <w:pPr>
              <w:ind w:left="2440"/>
              <w:spacing w:after="0"/>
              <w:rPr>
                <w:sz w:val="20"/>
                <w:szCs w:val="20"/>
                <w:color w:val="auto"/>
              </w:rPr>
            </w:pPr>
            <w:r>
              <w:rPr>
                <w:rFonts w:ascii="Arial" w:cs="Arial" w:eastAsia="Arial" w:hAnsi="Arial"/>
                <w:sz w:val="22"/>
                <w:szCs w:val="22"/>
                <w:b w:val="1"/>
                <w:bCs w:val="1"/>
                <w:color w:val="auto"/>
              </w:rPr>
              <w:t>Name</w:t>
            </w:r>
          </w:p>
        </w:tc>
        <w:tc>
          <w:tcPr>
            <w:tcW w:w="7240" w:type="dxa"/>
            <w:vAlign w:val="bottom"/>
            <w:tcBorders>
              <w:bottom w:val="single" w:sz="8" w:color="auto"/>
            </w:tcBorders>
          </w:tcPr>
          <w:p>
            <w:pPr>
              <w:ind w:left="2860"/>
              <w:spacing w:after="0"/>
              <w:rPr>
                <w:sz w:val="20"/>
                <w:szCs w:val="20"/>
                <w:color w:val="auto"/>
              </w:rPr>
            </w:pPr>
            <w:r>
              <w:rPr>
                <w:rFonts w:ascii="Arial" w:cs="Arial" w:eastAsia="Arial" w:hAnsi="Arial"/>
                <w:sz w:val="22"/>
                <w:szCs w:val="22"/>
                <w:b w:val="1"/>
                <w:bCs w:val="1"/>
                <w:color w:val="auto"/>
              </w:rPr>
              <w:t>Present Principal Occupation</w:t>
            </w:r>
          </w:p>
        </w:tc>
      </w:tr>
      <w:tr>
        <w:trPr>
          <w:trHeight w:val="438"/>
        </w:trPr>
        <w:tc>
          <w:tcPr>
            <w:tcW w:w="4180" w:type="dxa"/>
            <w:vAlign w:val="bottom"/>
          </w:tcPr>
          <w:p>
            <w:pPr>
              <w:spacing w:after="0"/>
              <w:rPr>
                <w:sz w:val="20"/>
                <w:szCs w:val="20"/>
                <w:color w:val="auto"/>
              </w:rPr>
            </w:pPr>
            <w:r>
              <w:rPr>
                <w:rFonts w:ascii="Arial" w:cs="Arial" w:eastAsia="Arial" w:hAnsi="Arial"/>
                <w:sz w:val="22"/>
                <w:szCs w:val="22"/>
                <w:color w:val="auto"/>
              </w:rPr>
              <w:t>Courtney J. Riley</w:t>
            </w:r>
          </w:p>
        </w:tc>
        <w:tc>
          <w:tcPr>
            <w:tcW w:w="7240" w:type="dxa"/>
            <w:vAlign w:val="bottom"/>
          </w:tcPr>
          <w:p>
            <w:pPr>
              <w:ind w:left="1220"/>
              <w:spacing w:after="0"/>
              <w:rPr>
                <w:sz w:val="20"/>
                <w:szCs w:val="20"/>
                <w:color w:val="auto"/>
              </w:rPr>
            </w:pPr>
            <w:r>
              <w:rPr>
                <w:rFonts w:ascii="Arial" w:cs="Arial" w:eastAsia="Arial" w:hAnsi="Arial"/>
                <w:sz w:val="22"/>
                <w:szCs w:val="22"/>
                <w:color w:val="auto"/>
                <w:w w:val="98"/>
              </w:rPr>
              <w:t>Vice  president,  environmental  affairs  of  Kronos  Worldwide;</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94"/>
              </w:rPr>
              <w:t>president of NL; executive vice president, environmental affairs of</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w w:val="95"/>
              </w:rPr>
              <w:t>Valhi; and senior vice president, environmental affairs of Contran</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Amy Allbach Samford</w:t>
            </w:r>
          </w:p>
        </w:tc>
        <w:tc>
          <w:tcPr>
            <w:tcW w:w="7240" w:type="dxa"/>
            <w:vAlign w:val="bottom"/>
          </w:tcPr>
          <w:p>
            <w:pPr>
              <w:ind w:left="1220"/>
              <w:spacing w:after="0"/>
              <w:rPr>
                <w:sz w:val="20"/>
                <w:szCs w:val="20"/>
                <w:color w:val="auto"/>
              </w:rPr>
            </w:pPr>
            <w:r>
              <w:rPr>
                <w:rFonts w:ascii="Arial" w:cs="Arial" w:eastAsia="Arial" w:hAnsi="Arial"/>
                <w:sz w:val="22"/>
                <w:szCs w:val="22"/>
                <w:color w:val="auto"/>
                <w:w w:val="97"/>
              </w:rPr>
              <w:t>Vice president and chief financial officer of CompX and NL; and</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vice president and controller of Valhi and Contran</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Michael S. Simmons</w:t>
            </w:r>
          </w:p>
        </w:tc>
        <w:tc>
          <w:tcPr>
            <w:tcW w:w="7240" w:type="dxa"/>
            <w:vAlign w:val="bottom"/>
          </w:tcPr>
          <w:p>
            <w:pPr>
              <w:ind w:left="1220"/>
              <w:spacing w:after="0"/>
              <w:rPr>
                <w:sz w:val="20"/>
                <w:szCs w:val="20"/>
                <w:color w:val="auto"/>
              </w:rPr>
            </w:pPr>
            <w:r>
              <w:rPr>
                <w:rFonts w:ascii="Arial" w:cs="Arial" w:eastAsia="Arial" w:hAnsi="Arial"/>
                <w:sz w:val="22"/>
                <w:szCs w:val="22"/>
                <w:color w:val="auto"/>
                <w:w w:val="95"/>
              </w:rPr>
              <w:t>Vice president, finance of Kronos Worldwide; and  vice president</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and chief accounting officer of Valhi</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Lisa K. Simmons</w:t>
            </w:r>
          </w:p>
        </w:tc>
        <w:tc>
          <w:tcPr>
            <w:tcW w:w="7240" w:type="dxa"/>
            <w:vAlign w:val="bottom"/>
          </w:tcPr>
          <w:p>
            <w:pPr>
              <w:ind w:left="1220"/>
              <w:spacing w:after="0"/>
              <w:rPr>
                <w:sz w:val="20"/>
                <w:szCs w:val="20"/>
                <w:color w:val="auto"/>
              </w:rPr>
            </w:pPr>
            <w:r>
              <w:rPr>
                <w:rFonts w:ascii="Arial" w:cs="Arial" w:eastAsia="Arial" w:hAnsi="Arial"/>
                <w:sz w:val="22"/>
                <w:szCs w:val="22"/>
                <w:color w:val="auto"/>
              </w:rPr>
              <w:t>Co-chair of the board of Contran</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Thomas P. Stafford</w:t>
            </w:r>
          </w:p>
        </w:tc>
        <w:tc>
          <w:tcPr>
            <w:tcW w:w="7240" w:type="dxa"/>
            <w:vAlign w:val="bottom"/>
          </w:tcPr>
          <w:p>
            <w:pPr>
              <w:ind w:left="1220"/>
              <w:spacing w:after="0"/>
              <w:rPr>
                <w:sz w:val="20"/>
                <w:szCs w:val="20"/>
                <w:color w:val="auto"/>
              </w:rPr>
            </w:pPr>
            <w:r>
              <w:rPr>
                <w:rFonts w:ascii="Arial" w:cs="Arial" w:eastAsia="Arial" w:hAnsi="Arial"/>
                <w:sz w:val="22"/>
                <w:szCs w:val="22"/>
                <w:color w:val="auto"/>
                <w:w w:val="95"/>
              </w:rPr>
              <w:t>Chairman  of  the  NASA  Advisory  Council  Task  Force  on  the</w:t>
            </w:r>
          </w:p>
        </w:tc>
      </w:tr>
      <w:tr>
        <w:trPr>
          <w:trHeight w:val="243"/>
        </w:trPr>
        <w:tc>
          <w:tcPr>
            <w:tcW w:w="4180" w:type="dxa"/>
            <w:vAlign w:val="bottom"/>
          </w:tcPr>
          <w:p>
            <w:pPr>
              <w:spacing w:after="0"/>
              <w:rPr>
                <w:sz w:val="21"/>
                <w:szCs w:val="21"/>
                <w:color w:val="auto"/>
              </w:rPr>
            </w:pPr>
          </w:p>
        </w:tc>
        <w:tc>
          <w:tcPr>
            <w:tcW w:w="7240" w:type="dxa"/>
            <w:vAlign w:val="bottom"/>
          </w:tcPr>
          <w:p>
            <w:pPr>
              <w:ind w:left="1220"/>
              <w:spacing w:after="0" w:line="243" w:lineRule="exact"/>
              <w:rPr>
                <w:sz w:val="20"/>
                <w:szCs w:val="20"/>
                <w:color w:val="auto"/>
              </w:rPr>
            </w:pPr>
            <w:r>
              <w:rPr>
                <w:rFonts w:ascii="Arial" w:cs="Arial" w:eastAsia="Arial" w:hAnsi="Arial"/>
                <w:sz w:val="22"/>
                <w:szCs w:val="22"/>
                <w:color w:val="auto"/>
                <w:w w:val="99"/>
              </w:rPr>
              <w:t>International Space Station Program; and a director of Kronos</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Worldwide and NL</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John A. Sunny</w:t>
            </w:r>
          </w:p>
        </w:tc>
        <w:tc>
          <w:tcPr>
            <w:tcW w:w="7240" w:type="dxa"/>
            <w:vAlign w:val="bottom"/>
          </w:tcPr>
          <w:p>
            <w:pPr>
              <w:ind w:left="1220"/>
              <w:spacing w:after="0"/>
              <w:rPr>
                <w:sz w:val="20"/>
                <w:szCs w:val="20"/>
                <w:color w:val="auto"/>
              </w:rPr>
            </w:pPr>
            <w:r>
              <w:rPr>
                <w:rFonts w:ascii="Arial" w:cs="Arial" w:eastAsia="Arial" w:hAnsi="Arial"/>
                <w:sz w:val="22"/>
                <w:szCs w:val="22"/>
                <w:color w:val="auto"/>
                <w:w w:val="95"/>
              </w:rPr>
              <w:t>Vice president and chief information officer of Kronos Worldwide;</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w w:val="96"/>
              </w:rPr>
              <w:t>and vice president, information technology of Valhi and Contran</w:t>
            </w:r>
          </w:p>
        </w:tc>
      </w:tr>
      <w:tr>
        <w:trPr>
          <w:trHeight w:val="428"/>
        </w:trPr>
        <w:tc>
          <w:tcPr>
            <w:tcW w:w="4180" w:type="dxa"/>
            <w:vAlign w:val="bottom"/>
          </w:tcPr>
          <w:p>
            <w:pPr>
              <w:spacing w:after="0"/>
              <w:rPr>
                <w:sz w:val="20"/>
                <w:szCs w:val="20"/>
                <w:color w:val="auto"/>
              </w:rPr>
            </w:pPr>
            <w:r>
              <w:rPr>
                <w:rFonts w:ascii="Arial" w:cs="Arial" w:eastAsia="Arial" w:hAnsi="Arial"/>
                <w:sz w:val="22"/>
                <w:szCs w:val="22"/>
                <w:color w:val="auto"/>
              </w:rPr>
              <w:t>Gregory M. Swalwell</w:t>
            </w:r>
          </w:p>
        </w:tc>
        <w:tc>
          <w:tcPr>
            <w:tcW w:w="7240" w:type="dxa"/>
            <w:vAlign w:val="bottom"/>
          </w:tcPr>
          <w:p>
            <w:pPr>
              <w:ind w:left="1220"/>
              <w:spacing w:after="0"/>
              <w:rPr>
                <w:sz w:val="20"/>
                <w:szCs w:val="20"/>
                <w:color w:val="auto"/>
              </w:rPr>
            </w:pPr>
            <w:r>
              <w:rPr>
                <w:rFonts w:ascii="Arial" w:cs="Arial" w:eastAsia="Arial" w:hAnsi="Arial"/>
                <w:sz w:val="22"/>
                <w:szCs w:val="22"/>
                <w:color w:val="auto"/>
                <w:w w:val="91"/>
              </w:rPr>
              <w:t>Executive vice president, chief financial officer and chief accounting</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officer of Dixie Rice and Contran</w:t>
            </w: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Mary A. Tidlund (2)</w:t>
            </w:r>
          </w:p>
        </w:tc>
        <w:tc>
          <w:tcPr>
            <w:tcW w:w="7240" w:type="dxa"/>
            <w:vAlign w:val="bottom"/>
          </w:tcPr>
          <w:p>
            <w:pPr>
              <w:ind w:left="1220"/>
              <w:spacing w:after="0"/>
              <w:rPr>
                <w:sz w:val="20"/>
                <w:szCs w:val="20"/>
                <w:color w:val="auto"/>
              </w:rPr>
            </w:pPr>
            <w:r>
              <w:rPr>
                <w:rFonts w:ascii="Arial" w:cs="Arial" w:eastAsia="Arial" w:hAnsi="Arial"/>
                <w:sz w:val="22"/>
                <w:szCs w:val="22"/>
                <w:color w:val="auto"/>
              </w:rPr>
              <w:t>Private investor; and a director of CompX and Valhi</w:t>
            </w:r>
          </w:p>
        </w:tc>
      </w:tr>
      <w:tr>
        <w:trPr>
          <w:trHeight w:val="441"/>
        </w:trPr>
        <w:tc>
          <w:tcPr>
            <w:tcW w:w="4180" w:type="dxa"/>
            <w:vAlign w:val="bottom"/>
          </w:tcPr>
          <w:p>
            <w:pPr>
              <w:spacing w:after="0"/>
              <w:rPr>
                <w:sz w:val="20"/>
                <w:szCs w:val="20"/>
                <w:color w:val="auto"/>
              </w:rPr>
            </w:pPr>
            <w:r>
              <w:rPr>
                <w:rFonts w:ascii="Arial" w:cs="Arial" w:eastAsia="Arial" w:hAnsi="Arial"/>
                <w:sz w:val="22"/>
                <w:szCs w:val="22"/>
                <w:color w:val="auto"/>
              </w:rPr>
              <w:t>R. Gerald Turner (3)</w:t>
            </w:r>
          </w:p>
        </w:tc>
        <w:tc>
          <w:tcPr>
            <w:tcW w:w="7240" w:type="dxa"/>
            <w:vAlign w:val="bottom"/>
          </w:tcPr>
          <w:p>
            <w:pPr>
              <w:ind w:left="1220"/>
              <w:spacing w:after="0"/>
              <w:rPr>
                <w:sz w:val="20"/>
                <w:szCs w:val="20"/>
                <w:color w:val="auto"/>
              </w:rPr>
            </w:pPr>
            <w:r>
              <w:rPr>
                <w:rFonts w:ascii="Arial" w:cs="Arial" w:eastAsia="Arial" w:hAnsi="Arial"/>
                <w:sz w:val="22"/>
                <w:szCs w:val="22"/>
                <w:color w:val="auto"/>
                <w:w w:val="90"/>
              </w:rPr>
              <w:t>President of Southern Methodist University; and a director of Kronos</w:t>
            </w:r>
          </w:p>
        </w:tc>
      </w:tr>
      <w:tr>
        <w:trPr>
          <w:trHeight w:val="275"/>
        </w:trPr>
        <w:tc>
          <w:tcPr>
            <w:tcW w:w="4180" w:type="dxa"/>
            <w:vAlign w:val="bottom"/>
          </w:tcPr>
          <w:p>
            <w:pPr>
              <w:spacing w:after="0"/>
              <w:rPr>
                <w:sz w:val="23"/>
                <w:szCs w:val="23"/>
                <w:color w:val="auto"/>
              </w:rPr>
            </w:pPr>
          </w:p>
        </w:tc>
        <w:tc>
          <w:tcPr>
            <w:tcW w:w="7240" w:type="dxa"/>
            <w:vAlign w:val="bottom"/>
          </w:tcPr>
          <w:p>
            <w:pPr>
              <w:ind w:left="1220"/>
              <w:spacing w:after="0"/>
              <w:rPr>
                <w:sz w:val="20"/>
                <w:szCs w:val="20"/>
                <w:color w:val="auto"/>
              </w:rPr>
            </w:pPr>
            <w:r>
              <w:rPr>
                <w:rFonts w:ascii="Arial" w:cs="Arial" w:eastAsia="Arial" w:hAnsi="Arial"/>
                <w:sz w:val="22"/>
                <w:szCs w:val="22"/>
                <w:color w:val="auto"/>
              </w:rPr>
              <w:t>Worldwide</w:t>
            </w:r>
          </w:p>
        </w:tc>
      </w:tr>
    </w:tbl>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principal business address for Mr. McIlroy is 25 Highland Park Village, Suite 100-341, Dallas, Texas 75205.</w:t>
      </w:r>
    </w:p>
    <w:p>
      <w:pPr>
        <w:spacing w:after="0" w:line="244" w:lineRule="exact"/>
        <w:rPr>
          <w:rFonts w:ascii="Arial" w:cs="Arial" w:eastAsia="Arial" w:hAnsi="Arial"/>
          <w:sz w:val="21"/>
          <w:szCs w:val="21"/>
          <w:color w:val="auto"/>
        </w:rPr>
      </w:pPr>
    </w:p>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Ms. Tidlund is a citizen of Canada.</w:t>
      </w:r>
    </w:p>
    <w:p>
      <w:pPr>
        <w:spacing w:after="0" w:line="233" w:lineRule="exact"/>
        <w:rPr>
          <w:rFonts w:ascii="Arial" w:cs="Arial" w:eastAsia="Arial" w:hAnsi="Arial"/>
          <w:sz w:val="22"/>
          <w:szCs w:val="22"/>
          <w:color w:val="auto"/>
        </w:rPr>
      </w:pPr>
    </w:p>
    <w:p>
      <w:pPr>
        <w:ind w:left="660" w:hanging="652"/>
        <w:spacing w:after="0" w:line="251"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principal business address for Dr. Turner is Southern Methodist University, Perkins Administration Bldg. #225, 6425 Boaz Lane, Dallas, Texas 75275.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SCHEDULE C</w:t>
      </w:r>
    </w:p>
    <w:p>
      <w:pPr>
        <w:spacing w:after="0" w:line="240"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Based upon ownership filings with the Commission or upon information provided by the persons listed on Schedule B to this Statement, such persons may be deemed to personally beneficially own Class A Shares, as outlined below:</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160" w:type="dxa"/>
            <w:vAlign w:val="bottom"/>
            <w:tcBorders>
              <w:bottom w:val="single" w:sz="8" w:color="auto"/>
            </w:tcBorders>
          </w:tcPr>
          <w:p>
            <w:pPr>
              <w:ind w:left="4360"/>
              <w:spacing w:after="0"/>
              <w:rPr>
                <w:sz w:val="20"/>
                <w:szCs w:val="20"/>
                <w:color w:val="auto"/>
              </w:rPr>
            </w:pPr>
            <w:r>
              <w:rPr>
                <w:rFonts w:ascii="Arial" w:cs="Arial" w:eastAsia="Arial" w:hAnsi="Arial"/>
                <w:sz w:val="22"/>
                <w:szCs w:val="22"/>
                <w:b w:val="1"/>
                <w:bCs w:val="1"/>
                <w:color w:val="auto"/>
              </w:rPr>
              <w:t>Name</w:t>
            </w:r>
          </w:p>
        </w:tc>
        <w:tc>
          <w:tcPr>
            <w:tcW w:w="4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b w:val="1"/>
                <w:bCs w:val="1"/>
                <w:color w:val="auto"/>
              </w:rPr>
              <w:t>Class A Shares Held</w:t>
            </w:r>
          </w:p>
        </w:tc>
      </w:tr>
      <w:tr>
        <w:trPr>
          <w:trHeight w:val="469"/>
        </w:trPr>
        <w:tc>
          <w:tcPr>
            <w:tcW w:w="7160" w:type="dxa"/>
            <w:vAlign w:val="bottom"/>
          </w:tcPr>
          <w:p>
            <w:pPr>
              <w:spacing w:after="0"/>
              <w:rPr>
                <w:sz w:val="20"/>
                <w:szCs w:val="20"/>
                <w:color w:val="auto"/>
              </w:rPr>
            </w:pPr>
            <w:r>
              <w:rPr>
                <w:rFonts w:ascii="Arial" w:cs="Arial" w:eastAsia="Arial" w:hAnsi="Arial"/>
                <w:sz w:val="22"/>
                <w:szCs w:val="22"/>
                <w:color w:val="auto"/>
              </w:rPr>
              <w:t>Thomas E. Barry</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4,600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Clarence B. Brown, III</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James W. Brown</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James Buch</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Brian W. Christian</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Benjamin R. Corona</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Serena S. Connelly</w:t>
            </w:r>
          </w:p>
        </w:tc>
        <w:tc>
          <w:tcPr>
            <w:tcW w:w="4260" w:type="dxa"/>
            <w:vAlign w:val="bottom"/>
          </w:tcPr>
          <w:p>
            <w:pPr>
              <w:jc w:val="right"/>
              <w:ind w:right="232"/>
              <w:spacing w:after="0"/>
              <w:rPr>
                <w:sz w:val="20"/>
                <w:szCs w:val="20"/>
                <w:color w:val="auto"/>
              </w:rPr>
            </w:pPr>
            <w:r>
              <w:rPr>
                <w:rFonts w:ascii="Arial" w:cs="Arial" w:eastAsia="Arial" w:hAnsi="Arial"/>
                <w:sz w:val="22"/>
                <w:szCs w:val="22"/>
                <w:color w:val="auto"/>
              </w:rPr>
              <w:t>2,000(1)</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Steven S. Eaton</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Loretta J. Feehan</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6,600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Robert D. Graham</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1,000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Tim C. Hafer</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Bryan A. Hanley</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John E. Harper</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Terri L. Herrington</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2,600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Janet G. Keckeisen</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Patricia A. Kropp</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Kelly D. Luttmer</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200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Meredith W. Mendes</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W. Hayden McIlroy</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173"/>
        </w:trPr>
        <w:tc>
          <w:tcPr>
            <w:tcW w:w="716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11"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160" w:type="dxa"/>
            <w:vAlign w:val="bottom"/>
            <w:tcBorders>
              <w:bottom w:val="single" w:sz="8" w:color="auto"/>
            </w:tcBorders>
          </w:tcPr>
          <w:p>
            <w:pPr>
              <w:ind w:left="4360"/>
              <w:spacing w:after="0"/>
              <w:rPr>
                <w:sz w:val="20"/>
                <w:szCs w:val="20"/>
                <w:color w:val="auto"/>
              </w:rPr>
            </w:pPr>
            <w:r>
              <w:rPr>
                <w:rFonts w:ascii="Arial" w:cs="Arial" w:eastAsia="Arial" w:hAnsi="Arial"/>
                <w:sz w:val="22"/>
                <w:szCs w:val="22"/>
                <w:b w:val="1"/>
                <w:bCs w:val="1"/>
                <w:color w:val="auto"/>
              </w:rPr>
              <w:t>Name</w:t>
            </w:r>
          </w:p>
        </w:tc>
        <w:tc>
          <w:tcPr>
            <w:tcW w:w="4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b w:val="1"/>
                <w:bCs w:val="1"/>
                <w:color w:val="auto"/>
              </w:rPr>
              <w:t>Class A Shares Held</w:t>
            </w:r>
          </w:p>
        </w:tc>
      </w:tr>
      <w:tr>
        <w:trPr>
          <w:trHeight w:val="469"/>
        </w:trPr>
        <w:tc>
          <w:tcPr>
            <w:tcW w:w="7160" w:type="dxa"/>
            <w:vAlign w:val="bottom"/>
          </w:tcPr>
          <w:p>
            <w:pPr>
              <w:spacing w:after="0"/>
              <w:rPr>
                <w:sz w:val="20"/>
                <w:szCs w:val="20"/>
                <w:color w:val="auto"/>
              </w:rPr>
            </w:pPr>
            <w:r>
              <w:rPr>
                <w:rFonts w:ascii="Arial" w:cs="Arial" w:eastAsia="Arial" w:hAnsi="Arial"/>
                <w:sz w:val="22"/>
                <w:szCs w:val="22"/>
                <w:color w:val="auto"/>
              </w:rPr>
              <w:t>Cecil H. Moore, Jr.</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3,350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Andrew B. Nace</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John R. Powers, III</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Courtney J. Riley</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Amy Allbach Samford</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Lisa K. Simmons</w:t>
            </w:r>
          </w:p>
        </w:tc>
        <w:tc>
          <w:tcPr>
            <w:tcW w:w="4260" w:type="dxa"/>
            <w:vAlign w:val="bottom"/>
          </w:tcPr>
          <w:p>
            <w:pPr>
              <w:jc w:val="right"/>
              <w:ind w:right="232"/>
              <w:spacing w:after="0"/>
              <w:rPr>
                <w:sz w:val="20"/>
                <w:szCs w:val="20"/>
                <w:color w:val="auto"/>
              </w:rPr>
            </w:pPr>
            <w:r>
              <w:rPr>
                <w:rFonts w:ascii="Arial" w:cs="Arial" w:eastAsia="Arial" w:hAnsi="Arial"/>
                <w:sz w:val="22"/>
                <w:szCs w:val="22"/>
                <w:color w:val="auto"/>
              </w:rPr>
              <w:t>-0-(2)</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Thomas P. Stafford</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John A. Sunny</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Gregory M. Swalwell</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Mary A. Tidlund</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4,600</w:t>
            </w:r>
          </w:p>
        </w:tc>
      </w:tr>
      <w:tr>
        <w:trPr>
          <w:trHeight w:val="459"/>
        </w:trPr>
        <w:tc>
          <w:tcPr>
            <w:tcW w:w="7160" w:type="dxa"/>
            <w:vAlign w:val="bottom"/>
          </w:tcPr>
          <w:p>
            <w:pPr>
              <w:spacing w:after="0"/>
              <w:rPr>
                <w:sz w:val="20"/>
                <w:szCs w:val="20"/>
                <w:color w:val="auto"/>
              </w:rPr>
            </w:pPr>
            <w:r>
              <w:rPr>
                <w:rFonts w:ascii="Arial" w:cs="Arial" w:eastAsia="Arial" w:hAnsi="Arial"/>
                <w:sz w:val="22"/>
                <w:szCs w:val="22"/>
                <w:color w:val="auto"/>
              </w:rPr>
              <w:t>R. Gerald Turner.</w:t>
            </w:r>
          </w:p>
        </w:tc>
        <w:tc>
          <w:tcPr>
            <w:tcW w:w="4260" w:type="dxa"/>
            <w:vAlign w:val="bottom"/>
          </w:tcPr>
          <w:p>
            <w:pPr>
              <w:jc w:val="right"/>
              <w:ind w:right="492"/>
              <w:spacing w:after="0"/>
              <w:rPr>
                <w:sz w:val="20"/>
                <w:szCs w:val="20"/>
                <w:color w:val="auto"/>
              </w:rPr>
            </w:pPr>
            <w:r>
              <w:rPr>
                <w:rFonts w:ascii="Arial" w:cs="Arial" w:eastAsia="Arial" w:hAnsi="Arial"/>
                <w:sz w:val="22"/>
                <w:szCs w:val="2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285115</wp:posOffset>
            </wp:positionV>
            <wp:extent cx="15436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hanging="652"/>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Does not include other Class A Shares of which Ms. Connelly may be deemed to possess indirect beneficial ownership as described in Items 2 and 5(a) of this Statement. Except for the 2,000 Class A Shares that she holds directly, Ms. Connelly disclaims beneficial ownership of all Shares.</w:t>
      </w:r>
    </w:p>
    <w:p>
      <w:pPr>
        <w:spacing w:after="0" w:line="213" w:lineRule="exact"/>
        <w:rPr>
          <w:rFonts w:ascii="Arial" w:cs="Arial" w:eastAsia="Arial" w:hAnsi="Arial"/>
          <w:sz w:val="22"/>
          <w:szCs w:val="22"/>
          <w:color w:val="auto"/>
        </w:rPr>
      </w:pPr>
    </w:p>
    <w:p>
      <w:pPr>
        <w:ind w:left="660" w:hanging="652"/>
        <w:spacing w:after="0" w:line="274" w:lineRule="auto"/>
        <w:tabs>
          <w:tab w:leader="none" w:pos="660" w:val="left"/>
        </w:tabs>
        <w:numPr>
          <w:ilvl w:val="0"/>
          <w:numId w:val="74"/>
        </w:numPr>
        <w:rPr>
          <w:rFonts w:ascii="Arial" w:cs="Arial" w:eastAsia="Arial" w:hAnsi="Arial"/>
          <w:sz w:val="21"/>
          <w:szCs w:val="21"/>
          <w:color w:val="auto"/>
        </w:rPr>
      </w:pPr>
      <w:r>
        <w:rPr>
          <w:rFonts w:ascii="Arial" w:cs="Arial" w:eastAsia="Arial" w:hAnsi="Arial"/>
          <w:sz w:val="21"/>
          <w:szCs w:val="21"/>
          <w:color w:val="auto"/>
        </w:rPr>
        <w:t>Does not include Class A Shares of which Ms. Simmons may be deemed to possess indirect beneficial ownership as described in Items 2 and 5(a) of this Statement. Ms. Simmons disclaims beneficial ownership of all Shares.</w:t>
      </w:r>
    </w:p>
    <w:p>
      <w:pPr>
        <w:sectPr>
          <w:pgSz w:w="11900" w:h="16838" w:orient="portrait"/>
          <w:cols w:equalWidth="0" w:num="1">
            <w:col w:w="11420"/>
          </w:cols>
          <w:pgMar w:left="240" w:top="355"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22"/>
          <w:szCs w:val="22"/>
          <w:b w:val="1"/>
          <w:bCs w:val="1"/>
          <w:color w:val="auto"/>
        </w:rPr>
        <w:t>JOINT FILING AGREEMENT</w:t>
      </w:r>
    </w:p>
    <w:p>
      <w:pPr>
        <w:spacing w:after="0" w:line="200" w:lineRule="exact"/>
        <w:rPr>
          <w:sz w:val="20"/>
          <w:szCs w:val="20"/>
          <w:color w:val="auto"/>
        </w:rPr>
      </w:pPr>
    </w:p>
    <w:p>
      <w:pPr>
        <w:spacing w:after="0" w:line="201" w:lineRule="exact"/>
        <w:rPr>
          <w:sz w:val="20"/>
          <w:szCs w:val="20"/>
          <w:color w:val="auto"/>
        </w:rPr>
      </w:pPr>
    </w:p>
    <w:p>
      <w:pPr>
        <w:ind w:right="120" w:firstLine="441"/>
        <w:spacing w:after="0" w:line="287" w:lineRule="auto"/>
        <w:rPr>
          <w:sz w:val="20"/>
          <w:szCs w:val="20"/>
          <w:color w:val="auto"/>
        </w:rPr>
      </w:pPr>
      <w:r>
        <w:rPr>
          <w:rFonts w:ascii="Arial" w:cs="Arial" w:eastAsia="Arial" w:hAnsi="Arial"/>
          <w:sz w:val="19"/>
          <w:szCs w:val="19"/>
          <w:color w:val="auto"/>
        </w:rPr>
        <w:t>In accordance with Rule 13d-1(k) under the Securities Exchange Act of 1934, as amended, the undersigned agree to the joint filing on behalf of each of them of this Amendment No. 30 to Schedule 13D (“Joint Schedule”), and any further amendments thereto, with respect to the Class A common stock, par value $0.01 per share, of CompX International Inc., and further agree that this Joint Filing Agreement may be included as an exhibit to the Joint Schedule and any further amendments thereto.</w:t>
      </w:r>
    </w:p>
    <w:p>
      <w:pPr>
        <w:spacing w:after="0" w:line="89" w:lineRule="exact"/>
        <w:rPr>
          <w:sz w:val="20"/>
          <w:szCs w:val="20"/>
          <w:color w:val="auto"/>
        </w:rPr>
      </w:pPr>
    </w:p>
    <w:p>
      <w:pPr>
        <w:ind w:right="60" w:firstLine="441"/>
        <w:spacing w:after="0" w:line="287" w:lineRule="auto"/>
        <w:rPr>
          <w:sz w:val="20"/>
          <w:szCs w:val="20"/>
          <w:color w:val="auto"/>
        </w:rPr>
      </w:pPr>
      <w:r>
        <w:rPr>
          <w:rFonts w:ascii="Arial" w:cs="Arial" w:eastAsia="Arial" w:hAnsi="Arial"/>
          <w:sz w:val="19"/>
          <w:szCs w:val="19"/>
          <w:color w:val="auto"/>
        </w:rPr>
        <w:t xml:space="preserve">Each of the undersigned agrees and acknowledges that each party hereto is responsible for the timely filing of the Joint Schedule and any and all amendments thereto, and for the completeness and accuracy of the information concerning such party contained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party is responsible for the completeness and accuracy of the information concerning any other party unless such party knows or has reason to believe that such information is inaccurate.</w:t>
      </w:r>
    </w:p>
    <w:p>
      <w:pPr>
        <w:spacing w:after="0" w:line="89" w:lineRule="exact"/>
        <w:rPr>
          <w:sz w:val="20"/>
          <w:szCs w:val="20"/>
          <w:color w:val="auto"/>
        </w:rPr>
      </w:pPr>
    </w:p>
    <w:p>
      <w:pPr>
        <w:ind w:firstLine="441"/>
        <w:spacing w:after="0"/>
        <w:rPr>
          <w:sz w:val="20"/>
          <w:szCs w:val="20"/>
          <w:color w:val="auto"/>
        </w:rPr>
      </w:pPr>
      <w:r>
        <w:rPr>
          <w:rFonts w:ascii="Arial" w:cs="Arial" w:eastAsia="Arial" w:hAnsi="Arial"/>
          <w:sz w:val="22"/>
          <w:szCs w:val="22"/>
          <w:color w:val="auto"/>
        </w:rPr>
        <w:t>This Joint Filing Agreement may be executed in any number of counterparts, all of which together shall constitute one and the same instrument. Any party may terminate this agreement with respect to future amendments of the Joint Schedule by delivering written notice to each other party of such termination.</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4, 2019</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6" w:name="page27"/>
    <w:bookmarkEnd w:id="26"/>
    <w:p>
      <w:pPr>
        <w:ind w:left="440"/>
        <w:spacing w:after="0"/>
        <w:rPr>
          <w:sz w:val="20"/>
          <w:szCs w:val="20"/>
          <w:color w:val="auto"/>
        </w:rPr>
      </w:pPr>
      <w:r>
        <w:rPr>
          <w:rFonts w:ascii="Arial" w:cs="Arial" w:eastAsia="Arial" w:hAnsi="Arial"/>
          <w:sz w:val="19"/>
          <w:szCs w:val="19"/>
          <w:color w:val="auto"/>
        </w:rPr>
        <w:t>IN WITNESS WHEREOF, the undersigned hereby execute this Joint Filing Agreement as of the date first written above.</w:t>
      </w:r>
    </w:p>
    <w:p>
      <w:pPr>
        <w:spacing w:after="0" w:line="26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NL INDUSTRIES, INC.</w:t>
      </w:r>
    </w:p>
    <w:p>
      <w:pPr>
        <w:spacing w:after="0" w:line="204" w:lineRule="exact"/>
        <w:rPr>
          <w:sz w:val="20"/>
          <w:szCs w:val="20"/>
          <w:color w:val="auto"/>
        </w:rPr>
      </w:pPr>
    </w:p>
    <w:tbl>
      <w:tblPr>
        <w:tblLayout w:type="fixed"/>
        <w:tblInd w:w="414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100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22"/>
                <w:szCs w:val="22"/>
                <w:color w:val="auto"/>
              </w:rPr>
              <w:t>/s/ Robert D. Graham</w:t>
            </w: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360" w:type="dxa"/>
            <w:vAlign w:val="bottom"/>
          </w:tcPr>
          <w:p>
            <w:pPr>
              <w:spacing w:after="0"/>
              <w:rPr>
                <w:sz w:val="21"/>
                <w:szCs w:val="21"/>
                <w:color w:val="auto"/>
              </w:rPr>
            </w:pPr>
          </w:p>
        </w:tc>
        <w:tc>
          <w:tcPr>
            <w:tcW w:w="5880" w:type="dxa"/>
            <w:vAlign w:val="bottom"/>
            <w:gridSpan w:val="3"/>
          </w:tcPr>
          <w:p>
            <w:pPr>
              <w:ind w:left="40"/>
              <w:spacing w:after="0" w:line="242" w:lineRule="exact"/>
              <w:rPr>
                <w:sz w:val="20"/>
                <w:szCs w:val="20"/>
                <w:color w:val="auto"/>
              </w:rPr>
            </w:pPr>
            <w:r>
              <w:rPr>
                <w:rFonts w:ascii="Arial" w:cs="Arial" w:eastAsia="Arial" w:hAnsi="Arial"/>
                <w:sz w:val="22"/>
                <w:szCs w:val="22"/>
                <w:color w:val="auto"/>
              </w:rPr>
              <w:t>Robert D. Graham</w:t>
            </w:r>
          </w:p>
        </w:tc>
      </w:tr>
      <w:tr>
        <w:trPr>
          <w:trHeight w:val="275"/>
        </w:trPr>
        <w:tc>
          <w:tcPr>
            <w:tcW w:w="360" w:type="dxa"/>
            <w:vAlign w:val="bottom"/>
          </w:tcPr>
          <w:p>
            <w:pPr>
              <w:spacing w:after="0"/>
              <w:rPr>
                <w:sz w:val="23"/>
                <w:szCs w:val="23"/>
                <w:color w:val="auto"/>
              </w:rPr>
            </w:pPr>
          </w:p>
        </w:tc>
        <w:tc>
          <w:tcPr>
            <w:tcW w:w="5880" w:type="dxa"/>
            <w:vAlign w:val="bottom"/>
            <w:gridSpan w:val="3"/>
          </w:tcPr>
          <w:p>
            <w:pPr>
              <w:ind w:left="40"/>
              <w:spacing w:after="0"/>
              <w:rPr>
                <w:sz w:val="20"/>
                <w:szCs w:val="20"/>
                <w:color w:val="auto"/>
              </w:rPr>
            </w:pPr>
            <w:r>
              <w:rPr>
                <w:rFonts w:ascii="Arial" w:cs="Arial" w:eastAsia="Arial" w:hAnsi="Arial"/>
                <w:sz w:val="22"/>
                <w:szCs w:val="22"/>
                <w:color w:val="auto"/>
              </w:rPr>
              <w:t>Vice Chairman of the Board and Chief Executive Officer</w:t>
            </w:r>
          </w:p>
        </w:tc>
      </w:tr>
      <w:tr>
        <w:trPr>
          <w:trHeight w:val="486"/>
        </w:trPr>
        <w:tc>
          <w:tcPr>
            <w:tcW w:w="6240" w:type="dxa"/>
            <w:vAlign w:val="bottom"/>
            <w:gridSpan w:val="4"/>
          </w:tcPr>
          <w:p>
            <w:pPr>
              <w:spacing w:after="0"/>
              <w:rPr>
                <w:sz w:val="20"/>
                <w:szCs w:val="20"/>
                <w:color w:val="auto"/>
              </w:rPr>
            </w:pPr>
            <w:r>
              <w:rPr>
                <w:rFonts w:ascii="Arial" w:cs="Arial" w:eastAsia="Arial" w:hAnsi="Arial"/>
                <w:sz w:val="22"/>
                <w:szCs w:val="22"/>
                <w:color w:val="auto"/>
              </w:rPr>
              <w:t>KRONOS WORLDWIDE, INC.</w:t>
            </w:r>
          </w:p>
        </w:tc>
      </w:tr>
      <w:tr>
        <w:trPr>
          <w:trHeight w:val="436"/>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22"/>
                <w:szCs w:val="22"/>
                <w:color w:val="auto"/>
              </w:rPr>
              <w:t>/s/ Robert D. Graham</w:t>
            </w: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360" w:type="dxa"/>
            <w:vAlign w:val="bottom"/>
          </w:tcPr>
          <w:p>
            <w:pPr>
              <w:spacing w:after="0"/>
              <w:rPr>
                <w:sz w:val="21"/>
                <w:szCs w:val="21"/>
                <w:color w:val="auto"/>
              </w:rPr>
            </w:pPr>
          </w:p>
        </w:tc>
        <w:tc>
          <w:tcPr>
            <w:tcW w:w="5880" w:type="dxa"/>
            <w:vAlign w:val="bottom"/>
            <w:gridSpan w:val="3"/>
          </w:tcPr>
          <w:p>
            <w:pPr>
              <w:ind w:left="40"/>
              <w:spacing w:after="0" w:line="242" w:lineRule="exact"/>
              <w:rPr>
                <w:sz w:val="20"/>
                <w:szCs w:val="20"/>
                <w:color w:val="auto"/>
              </w:rPr>
            </w:pPr>
            <w:r>
              <w:rPr>
                <w:rFonts w:ascii="Arial" w:cs="Arial" w:eastAsia="Arial" w:hAnsi="Arial"/>
                <w:sz w:val="22"/>
                <w:szCs w:val="22"/>
                <w:color w:val="auto"/>
              </w:rPr>
              <w:t>Robert D. Graham</w:t>
            </w:r>
          </w:p>
        </w:tc>
      </w:tr>
      <w:tr>
        <w:trPr>
          <w:trHeight w:val="275"/>
        </w:trPr>
        <w:tc>
          <w:tcPr>
            <w:tcW w:w="360" w:type="dxa"/>
            <w:vAlign w:val="bottom"/>
          </w:tcPr>
          <w:p>
            <w:pPr>
              <w:spacing w:after="0"/>
              <w:rPr>
                <w:sz w:val="23"/>
                <w:szCs w:val="23"/>
                <w:color w:val="auto"/>
              </w:rPr>
            </w:pPr>
          </w:p>
        </w:tc>
        <w:tc>
          <w:tcPr>
            <w:tcW w:w="5880" w:type="dxa"/>
            <w:vAlign w:val="bottom"/>
            <w:gridSpan w:val="3"/>
          </w:tcPr>
          <w:p>
            <w:pPr>
              <w:ind w:left="40"/>
              <w:spacing w:after="0"/>
              <w:rPr>
                <w:sz w:val="20"/>
                <w:szCs w:val="20"/>
                <w:color w:val="auto"/>
              </w:rPr>
            </w:pPr>
            <w:r>
              <w:rPr>
                <w:rFonts w:ascii="Arial" w:cs="Arial" w:eastAsia="Arial" w:hAnsi="Arial"/>
                <w:sz w:val="22"/>
                <w:szCs w:val="22"/>
                <w:color w:val="auto"/>
                <w:w w:val="89"/>
              </w:rPr>
              <w:t>Vice Chairman of the Board, President and Chief Executive Officer</w:t>
            </w:r>
          </w:p>
        </w:tc>
      </w:tr>
      <w:tr>
        <w:trPr>
          <w:trHeight w:val="486"/>
        </w:trPr>
        <w:tc>
          <w:tcPr>
            <w:tcW w:w="6240" w:type="dxa"/>
            <w:vAlign w:val="bottom"/>
            <w:gridSpan w:val="4"/>
          </w:tcPr>
          <w:p>
            <w:pPr>
              <w:spacing w:after="0"/>
              <w:rPr>
                <w:sz w:val="20"/>
                <w:szCs w:val="20"/>
                <w:color w:val="auto"/>
              </w:rPr>
            </w:pPr>
            <w:r>
              <w:rPr>
                <w:rFonts w:ascii="Arial" w:cs="Arial" w:eastAsia="Arial" w:hAnsi="Arial"/>
                <w:sz w:val="22"/>
                <w:szCs w:val="22"/>
                <w:color w:val="auto"/>
              </w:rPr>
              <w:t>VALHI, INC.</w:t>
            </w:r>
          </w:p>
        </w:tc>
      </w:tr>
      <w:tr>
        <w:trPr>
          <w:trHeight w:val="436"/>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22"/>
                <w:szCs w:val="22"/>
                <w:color w:val="auto"/>
              </w:rPr>
              <w:t>/s/ Robert D. Graham</w:t>
            </w: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1420" w:type="dxa"/>
            <w:vAlign w:val="bottom"/>
            <w:gridSpan w:val="5"/>
          </w:tcPr>
          <w:p>
            <w:pPr>
              <w:ind w:left="4540"/>
              <w:spacing w:after="0" w:line="248" w:lineRule="exact"/>
              <w:rPr>
                <w:sz w:val="20"/>
                <w:szCs w:val="20"/>
                <w:color w:val="auto"/>
              </w:rPr>
            </w:pPr>
            <w:r>
              <w:rPr>
                <w:rFonts w:ascii="Arial" w:cs="Arial" w:eastAsia="Arial" w:hAnsi="Arial"/>
                <w:sz w:val="22"/>
                <w:szCs w:val="22"/>
                <w:color w:val="auto"/>
              </w:rPr>
              <w:t>Robert D. Graham</w:t>
            </w:r>
          </w:p>
        </w:tc>
      </w:tr>
      <w:tr>
        <w:trPr>
          <w:trHeight w:val="275"/>
        </w:trPr>
        <w:tc>
          <w:tcPr>
            <w:tcW w:w="11420" w:type="dxa"/>
            <w:vAlign w:val="bottom"/>
            <w:gridSpan w:val="5"/>
          </w:tcPr>
          <w:p>
            <w:pPr>
              <w:ind w:left="4540"/>
              <w:spacing w:after="0"/>
              <w:rPr>
                <w:sz w:val="20"/>
                <w:szCs w:val="20"/>
                <w:color w:val="auto"/>
              </w:rPr>
            </w:pPr>
            <w:r>
              <w:rPr>
                <w:rFonts w:ascii="Arial" w:cs="Arial" w:eastAsia="Arial" w:hAnsi="Arial"/>
                <w:sz w:val="22"/>
                <w:szCs w:val="22"/>
                <w:color w:val="auto"/>
              </w:rPr>
              <w:t>Vice Chairman of the Board, President and Chief Executive Officer</w:t>
            </w:r>
          </w:p>
        </w:tc>
      </w:tr>
      <w:tr>
        <w:trPr>
          <w:trHeight w:val="729"/>
        </w:trPr>
        <w:tc>
          <w:tcPr>
            <w:tcW w:w="11420" w:type="dxa"/>
            <w:vAlign w:val="bottom"/>
            <w:gridSpan w:val="5"/>
          </w:tcPr>
          <w:p>
            <w:pPr>
              <w:ind w:left="4140"/>
              <w:spacing w:after="0"/>
              <w:rPr>
                <w:sz w:val="20"/>
                <w:szCs w:val="20"/>
                <w:color w:val="auto"/>
              </w:rPr>
            </w:pPr>
            <w:r>
              <w:rPr>
                <w:rFonts w:ascii="Arial" w:cs="Arial" w:eastAsia="Arial" w:hAnsi="Arial"/>
                <w:sz w:val="22"/>
                <w:szCs w:val="22"/>
                <w:color w:val="auto"/>
              </w:rPr>
              <w:t>DIXIE RICE AGRICULTURAL L.L.C.</w:t>
            </w:r>
          </w:p>
        </w:tc>
      </w:tr>
      <w:tr>
        <w:trPr>
          <w:trHeight w:val="436"/>
        </w:trPr>
        <w:tc>
          <w:tcPr>
            <w:tcW w:w="4860" w:type="dxa"/>
            <w:vAlign w:val="bottom"/>
          </w:tcPr>
          <w:p>
            <w:pPr>
              <w:ind w:left="4140"/>
              <w:spacing w:after="0"/>
              <w:rPr>
                <w:sz w:val="20"/>
                <w:szCs w:val="20"/>
                <w:color w:val="auto"/>
              </w:rPr>
            </w:pPr>
            <w:r>
              <w:rPr>
                <w:rFonts w:ascii="Arial" w:cs="Arial" w:eastAsia="Arial" w:hAnsi="Arial"/>
                <w:sz w:val="22"/>
                <w:szCs w:val="22"/>
                <w:color w:val="auto"/>
              </w:rPr>
              <w:t>By:</w:t>
            </w:r>
          </w:p>
        </w:tc>
        <w:tc>
          <w:tcPr>
            <w:tcW w:w="64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22"/>
                <w:szCs w:val="22"/>
                <w:color w:val="auto"/>
              </w:rPr>
              <w:t>/s/ Robert D. Graham</w:t>
            </w:r>
          </w:p>
        </w:tc>
      </w:tr>
      <w:tr>
        <w:trPr>
          <w:trHeight w:val="20"/>
        </w:trPr>
        <w:tc>
          <w:tcPr>
            <w:tcW w:w="55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42"/>
        </w:trPr>
        <w:tc>
          <w:tcPr>
            <w:tcW w:w="11420" w:type="dxa"/>
            <w:vAlign w:val="bottom"/>
            <w:gridSpan w:val="5"/>
          </w:tcPr>
          <w:p>
            <w:pPr>
              <w:ind w:left="4540"/>
              <w:spacing w:after="0" w:line="242" w:lineRule="exact"/>
              <w:rPr>
                <w:sz w:val="20"/>
                <w:szCs w:val="20"/>
                <w:color w:val="auto"/>
              </w:rPr>
            </w:pPr>
            <w:r>
              <w:rPr>
                <w:rFonts w:ascii="Arial" w:cs="Arial" w:eastAsia="Arial" w:hAnsi="Arial"/>
                <w:sz w:val="22"/>
                <w:szCs w:val="22"/>
                <w:color w:val="auto"/>
              </w:rPr>
              <w:t>Robert D. Graham</w:t>
            </w:r>
          </w:p>
        </w:tc>
      </w:tr>
      <w:tr>
        <w:trPr>
          <w:trHeight w:val="275"/>
        </w:trPr>
        <w:tc>
          <w:tcPr>
            <w:tcW w:w="11420" w:type="dxa"/>
            <w:vAlign w:val="bottom"/>
            <w:gridSpan w:val="5"/>
          </w:tcPr>
          <w:p>
            <w:pPr>
              <w:ind w:left="4540"/>
              <w:spacing w:after="0"/>
              <w:rPr>
                <w:sz w:val="20"/>
                <w:szCs w:val="20"/>
                <w:color w:val="auto"/>
              </w:rPr>
            </w:pPr>
            <w:r>
              <w:rPr>
                <w:rFonts w:ascii="Arial" w:cs="Arial" w:eastAsia="Arial" w:hAnsi="Arial"/>
                <w:sz w:val="22"/>
                <w:szCs w:val="22"/>
                <w:color w:val="auto"/>
              </w:rPr>
              <w:t>Chairman of the Board, President and Chief Executive Officer</w:t>
            </w:r>
          </w:p>
        </w:tc>
      </w:tr>
      <w:tr>
        <w:trPr>
          <w:trHeight w:val="486"/>
        </w:trPr>
        <w:tc>
          <w:tcPr>
            <w:tcW w:w="11420" w:type="dxa"/>
            <w:vAlign w:val="bottom"/>
            <w:gridSpan w:val="5"/>
          </w:tcPr>
          <w:p>
            <w:pPr>
              <w:ind w:left="4140"/>
              <w:spacing w:after="0"/>
              <w:rPr>
                <w:sz w:val="20"/>
                <w:szCs w:val="20"/>
                <w:color w:val="auto"/>
              </w:rPr>
            </w:pPr>
            <w:r>
              <w:rPr>
                <w:rFonts w:ascii="Arial" w:cs="Arial" w:eastAsia="Arial" w:hAnsi="Arial"/>
                <w:sz w:val="22"/>
                <w:szCs w:val="22"/>
                <w:color w:val="auto"/>
              </w:rPr>
              <w:t>CONTRAN CORPORATION</w:t>
            </w:r>
          </w:p>
        </w:tc>
      </w:tr>
      <w:tr>
        <w:trPr>
          <w:trHeight w:val="436"/>
        </w:trPr>
        <w:tc>
          <w:tcPr>
            <w:tcW w:w="4860" w:type="dxa"/>
            <w:vAlign w:val="bottom"/>
          </w:tcPr>
          <w:p>
            <w:pPr>
              <w:ind w:left="4140"/>
              <w:spacing w:after="0"/>
              <w:rPr>
                <w:sz w:val="20"/>
                <w:szCs w:val="20"/>
                <w:color w:val="auto"/>
              </w:rPr>
            </w:pPr>
            <w:r>
              <w:rPr>
                <w:rFonts w:ascii="Arial" w:cs="Arial" w:eastAsia="Arial" w:hAnsi="Arial"/>
                <w:sz w:val="22"/>
                <w:szCs w:val="22"/>
                <w:color w:val="auto"/>
              </w:rPr>
              <w:t>By:</w:t>
            </w:r>
          </w:p>
        </w:tc>
        <w:tc>
          <w:tcPr>
            <w:tcW w:w="64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22"/>
                <w:szCs w:val="22"/>
                <w:color w:val="auto"/>
              </w:rPr>
              <w:t>/s/ Robert D. Graham</w:t>
            </w:r>
          </w:p>
        </w:tc>
      </w:tr>
      <w:tr>
        <w:trPr>
          <w:trHeight w:val="20"/>
        </w:trPr>
        <w:tc>
          <w:tcPr>
            <w:tcW w:w="55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42"/>
        </w:trPr>
        <w:tc>
          <w:tcPr>
            <w:tcW w:w="11420" w:type="dxa"/>
            <w:vAlign w:val="bottom"/>
            <w:gridSpan w:val="5"/>
          </w:tcPr>
          <w:p>
            <w:pPr>
              <w:ind w:left="4540"/>
              <w:spacing w:after="0" w:line="242" w:lineRule="exact"/>
              <w:rPr>
                <w:sz w:val="20"/>
                <w:szCs w:val="20"/>
                <w:color w:val="auto"/>
              </w:rPr>
            </w:pPr>
            <w:r>
              <w:rPr>
                <w:rFonts w:ascii="Arial" w:cs="Arial" w:eastAsia="Arial" w:hAnsi="Arial"/>
                <w:sz w:val="22"/>
                <w:szCs w:val="22"/>
                <w:color w:val="auto"/>
              </w:rPr>
              <w:t>Robert D. Graham</w:t>
            </w:r>
          </w:p>
        </w:tc>
      </w:tr>
      <w:tr>
        <w:trPr>
          <w:trHeight w:val="275"/>
        </w:trPr>
        <w:tc>
          <w:tcPr>
            <w:tcW w:w="11420" w:type="dxa"/>
            <w:vAlign w:val="bottom"/>
            <w:gridSpan w:val="5"/>
          </w:tcPr>
          <w:p>
            <w:pPr>
              <w:ind w:left="4540"/>
              <w:spacing w:after="0"/>
              <w:rPr>
                <w:sz w:val="20"/>
                <w:szCs w:val="20"/>
                <w:color w:val="auto"/>
              </w:rPr>
            </w:pPr>
            <w:r>
              <w:rPr>
                <w:rFonts w:ascii="Arial" w:cs="Arial" w:eastAsia="Arial" w:hAnsi="Arial"/>
                <w:sz w:val="22"/>
                <w:szCs w:val="22"/>
                <w:color w:val="auto"/>
              </w:rPr>
              <w:t>President and Chief Executive Officer</w:t>
            </w:r>
          </w:p>
        </w:tc>
      </w:tr>
      <w:tr>
        <w:trPr>
          <w:trHeight w:val="486"/>
        </w:trPr>
        <w:tc>
          <w:tcPr>
            <w:tcW w:w="11420" w:type="dxa"/>
            <w:vAlign w:val="bottom"/>
            <w:gridSpan w:val="5"/>
          </w:tcPr>
          <w:p>
            <w:pPr>
              <w:ind w:left="4140"/>
              <w:spacing w:after="0"/>
              <w:rPr>
                <w:sz w:val="20"/>
                <w:szCs w:val="20"/>
                <w:color w:val="auto"/>
              </w:rPr>
            </w:pPr>
            <w:r>
              <w:rPr>
                <w:rFonts w:ascii="Arial" w:cs="Arial" w:eastAsia="Arial" w:hAnsi="Arial"/>
                <w:sz w:val="22"/>
                <w:szCs w:val="22"/>
                <w:color w:val="auto"/>
              </w:rPr>
              <w:t>HAROLD C. SIMMONS FAMILY TRUST NO. 2</w:t>
            </w:r>
          </w:p>
        </w:tc>
      </w:tr>
      <w:tr>
        <w:trPr>
          <w:trHeight w:val="435"/>
        </w:trPr>
        <w:tc>
          <w:tcPr>
            <w:tcW w:w="4860" w:type="dxa"/>
            <w:vAlign w:val="bottom"/>
          </w:tcPr>
          <w:p>
            <w:pPr>
              <w:ind w:left="4120"/>
              <w:spacing w:after="0"/>
              <w:rPr>
                <w:sz w:val="20"/>
                <w:szCs w:val="20"/>
                <w:color w:val="auto"/>
              </w:rPr>
            </w:pPr>
            <w:r>
              <w:rPr>
                <w:rFonts w:ascii="Arial" w:cs="Arial" w:eastAsia="Arial" w:hAnsi="Arial"/>
                <w:sz w:val="18"/>
                <w:szCs w:val="18"/>
                <w:color w:val="auto"/>
              </w:rPr>
              <w:t>By:</w:t>
            </w:r>
          </w:p>
        </w:tc>
        <w:tc>
          <w:tcPr>
            <w:tcW w:w="6560" w:type="dxa"/>
            <w:vAlign w:val="bottom"/>
            <w:gridSpan w:val="4"/>
          </w:tcPr>
          <w:p>
            <w:pPr>
              <w:ind w:left="320"/>
              <w:spacing w:after="0"/>
              <w:rPr>
                <w:sz w:val="20"/>
                <w:szCs w:val="20"/>
                <w:color w:val="auto"/>
              </w:rPr>
            </w:pPr>
            <w:r>
              <w:rPr>
                <w:rFonts w:ascii="Arial" w:cs="Arial" w:eastAsia="Arial" w:hAnsi="Arial"/>
                <w:sz w:val="18"/>
                <w:szCs w:val="18"/>
                <w:color w:val="auto"/>
                <w:w w:val="91"/>
              </w:rPr>
              <w:t>Tolleson Private Bank, not in its individual capacity but solely as trustee of the Harold</w:t>
            </w:r>
          </w:p>
        </w:tc>
      </w:tr>
      <w:tr>
        <w:trPr>
          <w:trHeight w:val="230"/>
        </w:trPr>
        <w:tc>
          <w:tcPr>
            <w:tcW w:w="4860" w:type="dxa"/>
            <w:vAlign w:val="bottom"/>
          </w:tcPr>
          <w:p>
            <w:pPr>
              <w:spacing w:after="0"/>
              <w:rPr>
                <w:sz w:val="20"/>
                <w:szCs w:val="20"/>
                <w:color w:val="auto"/>
              </w:rPr>
            </w:pPr>
          </w:p>
        </w:tc>
        <w:tc>
          <w:tcPr>
            <w:tcW w:w="6560" w:type="dxa"/>
            <w:vAlign w:val="bottom"/>
            <w:gridSpan w:val="4"/>
          </w:tcPr>
          <w:p>
            <w:pPr>
              <w:ind w:left="320"/>
              <w:spacing w:after="0"/>
              <w:rPr>
                <w:sz w:val="20"/>
                <w:szCs w:val="20"/>
                <w:color w:val="auto"/>
              </w:rPr>
            </w:pPr>
            <w:r>
              <w:rPr>
                <w:rFonts w:ascii="Arial" w:cs="Arial" w:eastAsia="Arial" w:hAnsi="Arial"/>
                <w:sz w:val="18"/>
                <w:szCs w:val="18"/>
                <w:color w:val="auto"/>
              </w:rPr>
              <w:t>C. Simmons Family Trust No. 2</w:t>
            </w:r>
          </w:p>
        </w:tc>
      </w:tr>
      <w:tr>
        <w:trPr>
          <w:trHeight w:val="419"/>
        </w:trPr>
        <w:tc>
          <w:tcPr>
            <w:tcW w:w="4860" w:type="dxa"/>
            <w:vAlign w:val="bottom"/>
          </w:tcPr>
          <w:p>
            <w:pPr>
              <w:ind w:left="4140"/>
              <w:spacing w:after="0"/>
              <w:rPr>
                <w:sz w:val="20"/>
                <w:szCs w:val="20"/>
                <w:color w:val="auto"/>
              </w:rPr>
            </w:pPr>
            <w:r>
              <w:rPr>
                <w:rFonts w:ascii="Arial" w:cs="Arial" w:eastAsia="Arial" w:hAnsi="Arial"/>
                <w:sz w:val="18"/>
                <w:szCs w:val="18"/>
                <w:color w:val="auto"/>
              </w:rPr>
              <w:t>By:</w:t>
            </w:r>
          </w:p>
        </w:tc>
        <w:tc>
          <w:tcPr>
            <w:tcW w:w="6560" w:type="dxa"/>
            <w:vAlign w:val="bottom"/>
            <w:gridSpan w:val="4"/>
          </w:tcPr>
          <w:p>
            <w:pPr>
              <w:ind w:left="20"/>
              <w:spacing w:after="0"/>
              <w:rPr>
                <w:sz w:val="20"/>
                <w:szCs w:val="20"/>
                <w:color w:val="auto"/>
              </w:rPr>
            </w:pPr>
            <w:r>
              <w:rPr>
                <w:rFonts w:ascii="Arial" w:cs="Arial" w:eastAsia="Arial" w:hAnsi="Arial"/>
                <w:sz w:val="18"/>
                <w:szCs w:val="18"/>
                <w:color w:val="auto"/>
              </w:rPr>
              <w:t>/s/ Tracey L. Reyes</w:t>
            </w:r>
          </w:p>
        </w:tc>
      </w:tr>
      <w:tr>
        <w:trPr>
          <w:trHeight w:val="20"/>
        </w:trPr>
        <w:tc>
          <w:tcPr>
            <w:tcW w:w="48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236"/>
        </w:trPr>
        <w:tc>
          <w:tcPr>
            <w:tcW w:w="4860" w:type="dxa"/>
            <w:vAlign w:val="bottom"/>
          </w:tcPr>
          <w:p>
            <w:pPr>
              <w:ind w:left="4140"/>
              <w:spacing w:after="0"/>
              <w:rPr>
                <w:sz w:val="20"/>
                <w:szCs w:val="20"/>
                <w:color w:val="auto"/>
              </w:rPr>
            </w:pPr>
            <w:r>
              <w:rPr>
                <w:rFonts w:ascii="Arial" w:cs="Arial" w:eastAsia="Arial" w:hAnsi="Arial"/>
                <w:sz w:val="18"/>
                <w:szCs w:val="18"/>
                <w:color w:val="auto"/>
              </w:rPr>
              <w:t>Name:</w:t>
            </w:r>
          </w:p>
        </w:tc>
        <w:tc>
          <w:tcPr>
            <w:tcW w:w="6560" w:type="dxa"/>
            <w:vAlign w:val="bottom"/>
            <w:gridSpan w:val="4"/>
          </w:tcPr>
          <w:p>
            <w:pPr>
              <w:ind w:left="340"/>
              <w:spacing w:after="0"/>
              <w:rPr>
                <w:sz w:val="20"/>
                <w:szCs w:val="20"/>
                <w:color w:val="auto"/>
              </w:rPr>
            </w:pPr>
            <w:r>
              <w:rPr>
                <w:rFonts w:ascii="Arial" w:cs="Arial" w:eastAsia="Arial" w:hAnsi="Arial"/>
                <w:sz w:val="18"/>
                <w:szCs w:val="18"/>
                <w:color w:val="auto"/>
              </w:rPr>
              <w:t>Tracey L. Reyes</w:t>
            </w:r>
          </w:p>
        </w:tc>
      </w:tr>
      <w:tr>
        <w:trPr>
          <w:trHeight w:val="230"/>
        </w:trPr>
        <w:tc>
          <w:tcPr>
            <w:tcW w:w="4860" w:type="dxa"/>
            <w:vAlign w:val="bottom"/>
          </w:tcPr>
          <w:p>
            <w:pPr>
              <w:ind w:left="4140"/>
              <w:spacing w:after="0"/>
              <w:rPr>
                <w:sz w:val="20"/>
                <w:szCs w:val="20"/>
                <w:color w:val="auto"/>
              </w:rPr>
            </w:pPr>
            <w:r>
              <w:rPr>
                <w:rFonts w:ascii="Arial" w:cs="Arial" w:eastAsia="Arial" w:hAnsi="Arial"/>
                <w:sz w:val="18"/>
                <w:szCs w:val="18"/>
                <w:color w:val="auto"/>
              </w:rPr>
              <w:t>Title:</w:t>
            </w:r>
          </w:p>
        </w:tc>
        <w:tc>
          <w:tcPr>
            <w:tcW w:w="6560" w:type="dxa"/>
            <w:vAlign w:val="bottom"/>
            <w:gridSpan w:val="4"/>
          </w:tcPr>
          <w:p>
            <w:pPr>
              <w:ind w:left="20"/>
              <w:spacing w:after="0"/>
              <w:rPr>
                <w:sz w:val="20"/>
                <w:szCs w:val="20"/>
                <w:color w:val="auto"/>
              </w:rPr>
            </w:pPr>
            <w:r>
              <w:rPr>
                <w:rFonts w:ascii="Arial" w:cs="Arial" w:eastAsia="Arial" w:hAnsi="Arial"/>
                <w:sz w:val="18"/>
                <w:szCs w:val="18"/>
                <w:color w:val="auto"/>
              </w:rPr>
              <w:t>Vice President, Director of Private Trust</w:t>
            </w:r>
          </w:p>
        </w:tc>
      </w:tr>
      <w:tr>
        <w:trPr>
          <w:trHeight w:val="582"/>
        </w:trPr>
        <w:tc>
          <w:tcPr>
            <w:tcW w:w="4860" w:type="dxa"/>
            <w:vAlign w:val="bottom"/>
          </w:tcPr>
          <w:p>
            <w:pPr>
              <w:spacing w:after="0"/>
              <w:rPr>
                <w:sz w:val="24"/>
                <w:szCs w:val="24"/>
                <w:color w:val="auto"/>
              </w:rPr>
            </w:pPr>
          </w:p>
        </w:tc>
        <w:tc>
          <w:tcPr>
            <w:tcW w:w="1400" w:type="dxa"/>
            <w:vAlign w:val="bottom"/>
            <w:gridSpan w:val="2"/>
          </w:tcPr>
          <w:p>
            <w:pPr>
              <w:ind w:left="740"/>
              <w:spacing w:after="0"/>
              <w:rPr>
                <w:sz w:val="20"/>
                <w:szCs w:val="20"/>
                <w:color w:val="auto"/>
              </w:rPr>
            </w:pPr>
            <w:r>
              <w:rPr>
                <w:rFonts w:ascii="Arial" w:cs="Arial" w:eastAsia="Arial" w:hAnsi="Arial"/>
                <w:sz w:val="14"/>
                <w:szCs w:val="14"/>
                <w:color w:val="auto"/>
              </w:rPr>
              <w:t>- 2 -</w:t>
            </w:r>
          </w:p>
        </w:tc>
        <w:tc>
          <w:tcPr>
            <w:tcW w:w="11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6"/>
        </w:trPr>
        <w:tc>
          <w:tcPr>
            <w:tcW w:w="4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753" w:right="239" w:bottom="1440" w:gutter="0" w:footer="0" w:header="0"/>
        </w:sectPr>
      </w:pPr>
    </w:p>
    <w:bookmarkStart w:id="27" w:name="page28"/>
    <w:bookmarkEnd w:id="27"/>
    <w:p>
      <w:pPr>
        <w:ind w:left="2940"/>
        <w:spacing w:after="0"/>
        <w:rPr>
          <w:sz w:val="20"/>
          <w:szCs w:val="20"/>
          <w:color w:val="auto"/>
        </w:rPr>
      </w:pPr>
      <w:r>
        <w:rPr>
          <w:rFonts w:ascii="Arial" w:cs="Arial" w:eastAsia="Arial" w:hAnsi="Arial"/>
          <w:sz w:val="22"/>
          <w:szCs w:val="22"/>
          <w:u w:val="single" w:color="auto"/>
          <w:color w:val="auto"/>
        </w:rPr>
        <w:t>/s/ Lisa K. Simmons</w:t>
      </w:r>
    </w:p>
    <w:p>
      <w:pPr>
        <w:spacing w:after="0" w:line="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Lisa K. Simmons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40"/>
        <w:spacing w:after="0"/>
        <w:rPr>
          <w:sz w:val="20"/>
          <w:szCs w:val="20"/>
          <w:color w:val="auto"/>
        </w:rPr>
      </w:pPr>
      <w:r>
        <w:rPr>
          <w:rFonts w:ascii="Arial" w:cs="Arial" w:eastAsia="Arial" w:hAnsi="Arial"/>
          <w:sz w:val="19"/>
          <w:szCs w:val="19"/>
          <w:u w:val="single" w:color="auto"/>
          <w:color w:val="auto"/>
        </w:rPr>
        <w:t>/s/ Serena Simmons Connelly</w:t>
      </w:r>
    </w:p>
    <w:p>
      <w:pPr>
        <w:spacing w:after="0" w:line="43" w:lineRule="exact"/>
        <w:rPr>
          <w:sz w:val="20"/>
          <w:szCs w:val="20"/>
          <w:color w:val="auto"/>
        </w:rPr>
      </w:pPr>
    </w:p>
    <w:p>
      <w:pPr>
        <w:ind w:left="2940"/>
        <w:spacing w:after="0"/>
        <w:rPr>
          <w:sz w:val="20"/>
          <w:szCs w:val="20"/>
          <w:color w:val="auto"/>
        </w:rPr>
      </w:pPr>
      <w:r>
        <w:rPr>
          <w:rFonts w:ascii="Arial" w:cs="Arial" w:eastAsia="Arial" w:hAnsi="Arial"/>
          <w:sz w:val="21"/>
          <w:szCs w:val="21"/>
          <w:color w:val="auto"/>
        </w:rPr>
        <w:t>Serena Simmons Connelly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- 3 -</w:t>
      </w:r>
    </w:p>
    <w:sectPr>
      <w:pgSz w:w="11900" w:h="16838" w:orient="portrait"/>
      <w:cols w:equalWidth="0" w:num="1">
        <w:col w:w="9019"/>
      </w:cols>
      <w:pgMar w:left="14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bullet"/>
      <w:start w:val="1"/>
    </w:lvl>
  </w:abstractNum>
  <w:abstractNum w:abstractNumId="1">
    <w:nsid w:val="5C482A97"/>
    <w:multiLevelType w:val="hybridMultilevel"/>
    <w:lvl w:ilvl="0">
      <w:lvlJc w:val="left"/>
      <w:lvlText w:val="2"/>
      <w:numFmt w:val="bullet"/>
      <w:start w:val="1"/>
    </w:lvl>
    <w:lvl w:ilvl="1">
      <w:lvlJc w:val="left"/>
      <w:lvlText w:val="(%2)"/>
      <w:numFmt w:val="lowerLetter"/>
      <w:start w:val="1"/>
    </w:lvl>
  </w:abstractNum>
  <w:abstractNum w:abstractNumId="2">
    <w:nsid w:val="2463B9EA"/>
    <w:multiLevelType w:val="hybridMultilevel"/>
    <w:lvl w:ilvl="0">
      <w:lvlJc w:val="left"/>
      <w:lvlText w:val="3"/>
      <w:numFmt w:val="bullet"/>
      <w:start w:val="1"/>
    </w:lvl>
  </w:abstractNum>
  <w:abstractNum w:abstractNumId="3">
    <w:nsid w:val="5E884ADC"/>
    <w:multiLevelType w:val="hybridMultilevel"/>
    <w:lvl w:ilvl="0">
      <w:lvlJc w:val="left"/>
      <w:lvlText w:val="4"/>
      <w:numFmt w:val="bullet"/>
      <w:start w:val="1"/>
    </w:lvl>
  </w:abstractNum>
  <w:abstractNum w:abstractNumId="4">
    <w:nsid w:val="51EAD36B"/>
    <w:multiLevelType w:val="hybridMultilevel"/>
    <w:lvl w:ilvl="0">
      <w:lvlJc w:val="left"/>
      <w:lvlText w:val="5"/>
      <w:numFmt w:val="bullet"/>
      <w:start w:val="1"/>
    </w:lvl>
  </w:abstractNum>
  <w:abstractNum w:abstractNumId="5">
    <w:nsid w:val="2D517796"/>
    <w:multiLevelType w:val="hybridMultilevel"/>
    <w:lvl w:ilvl="0">
      <w:lvlJc w:val="left"/>
      <w:lvlText w:val="6"/>
      <w:numFmt w:val="bullet"/>
      <w:start w:val="1"/>
    </w:lvl>
  </w:abstractNum>
  <w:abstractNum w:abstractNumId="6">
    <w:nsid w:val="580BD78F"/>
    <w:multiLevelType w:val="hybridMultilevel"/>
    <w:lvl w:ilvl="0">
      <w:lvlJc w:val="left"/>
      <w:lvlText w:val="%1"/>
      <w:numFmt w:val="decimal"/>
      <w:start w:val="11"/>
    </w:lvl>
  </w:abstractNum>
  <w:abstractNum w:abstractNumId="7">
    <w:nsid w:val="153EA438"/>
    <w:multiLevelType w:val="hybridMultilevel"/>
    <w:lvl w:ilvl="0">
      <w:lvlJc w:val="left"/>
      <w:lvlText w:val="%1"/>
      <w:numFmt w:val="decimal"/>
      <w:start w:val="14"/>
    </w:lvl>
  </w:abstractNum>
  <w:abstractNum w:abstractNumId="8">
    <w:nsid w:val="3855585C"/>
    <w:multiLevelType w:val="hybridMultilevel"/>
    <w:lvl w:ilvl="0">
      <w:lvlJc w:val="left"/>
      <w:lvlText w:val="1"/>
      <w:numFmt w:val="bullet"/>
      <w:start w:val="1"/>
    </w:lvl>
  </w:abstractNum>
  <w:abstractNum w:abstractNumId="9">
    <w:nsid w:val="70A64E2A"/>
    <w:multiLevelType w:val="hybridMultilevel"/>
    <w:lvl w:ilvl="0">
      <w:lvlJc w:val="left"/>
      <w:lvlText w:val="2"/>
      <w:numFmt w:val="bullet"/>
      <w:start w:val="1"/>
    </w:lvl>
    <w:lvl w:ilvl="1">
      <w:lvlJc w:val="left"/>
      <w:lvlText w:val="(%2)"/>
      <w:numFmt w:val="lowerLetter"/>
      <w:start w:val="1"/>
    </w:lvl>
  </w:abstractNum>
  <w:abstractNum w:abstractNumId="10">
    <w:nsid w:val="6A2342EC"/>
    <w:multiLevelType w:val="hybridMultilevel"/>
    <w:lvl w:ilvl="0">
      <w:lvlJc w:val="left"/>
      <w:lvlText w:val="3"/>
      <w:numFmt w:val="bullet"/>
      <w:start w:val="1"/>
    </w:lvl>
  </w:abstractNum>
  <w:abstractNum w:abstractNumId="11">
    <w:nsid w:val="2A487CB0"/>
    <w:multiLevelType w:val="hybridMultilevel"/>
    <w:lvl w:ilvl="0">
      <w:lvlJc w:val="left"/>
      <w:lvlText w:val="4"/>
      <w:numFmt w:val="bullet"/>
      <w:start w:val="1"/>
    </w:lvl>
  </w:abstractNum>
  <w:abstractNum w:abstractNumId="12">
    <w:nsid w:val="1D4ED43B"/>
    <w:multiLevelType w:val="hybridMultilevel"/>
    <w:lvl w:ilvl="0">
      <w:lvlJc w:val="left"/>
      <w:lvlText w:val="5"/>
      <w:numFmt w:val="bullet"/>
      <w:start w:val="1"/>
    </w:lvl>
  </w:abstractNum>
  <w:abstractNum w:abstractNumId="13">
    <w:nsid w:val="725A06FB"/>
    <w:multiLevelType w:val="hybridMultilevel"/>
    <w:lvl w:ilvl="0">
      <w:lvlJc w:val="left"/>
      <w:lvlText w:val="6"/>
      <w:numFmt w:val="bullet"/>
      <w:start w:val="1"/>
    </w:lvl>
  </w:abstractNum>
  <w:abstractNum w:abstractNumId="14">
    <w:nsid w:val="2CD89A32"/>
    <w:multiLevelType w:val="hybridMultilevel"/>
    <w:lvl w:ilvl="0">
      <w:lvlJc w:val="left"/>
      <w:lvlText w:val="%1"/>
      <w:numFmt w:val="decimal"/>
      <w:start w:val="11"/>
    </w:lvl>
  </w:abstractNum>
  <w:abstractNum w:abstractNumId="15">
    <w:nsid w:val="57E4CCAF"/>
    <w:multiLevelType w:val="hybridMultilevel"/>
    <w:lvl w:ilvl="0">
      <w:lvlJc w:val="left"/>
      <w:lvlText w:val="%1"/>
      <w:numFmt w:val="decimal"/>
      <w:start w:val="14"/>
    </w:lvl>
  </w:abstractNum>
  <w:abstractNum w:abstractNumId="16">
    <w:nsid w:val="7A6D8D3C"/>
    <w:multiLevelType w:val="hybridMultilevel"/>
    <w:lvl w:ilvl="0">
      <w:lvlJc w:val="left"/>
      <w:lvlText w:val="1"/>
      <w:numFmt w:val="bullet"/>
      <w:start w:val="1"/>
    </w:lvl>
  </w:abstractNum>
  <w:abstractNum w:abstractNumId="17">
    <w:nsid w:val="4B588F54"/>
    <w:multiLevelType w:val="hybridMultilevel"/>
    <w:lvl w:ilvl="0">
      <w:lvlJc w:val="left"/>
      <w:lvlText w:val="2"/>
      <w:numFmt w:val="bullet"/>
      <w:start w:val="1"/>
    </w:lvl>
    <w:lvl w:ilvl="1">
      <w:lvlJc w:val="left"/>
      <w:lvlText w:val="(%2)"/>
      <w:numFmt w:val="lowerLetter"/>
      <w:start w:val="1"/>
    </w:lvl>
  </w:abstractNum>
  <w:abstractNum w:abstractNumId="18">
    <w:nsid w:val="542289EC"/>
    <w:multiLevelType w:val="hybridMultilevel"/>
    <w:lvl w:ilvl="0">
      <w:lvlJc w:val="left"/>
      <w:lvlText w:val="3"/>
      <w:numFmt w:val="bullet"/>
      <w:start w:val="1"/>
    </w:lvl>
  </w:abstractNum>
  <w:abstractNum w:abstractNumId="19">
    <w:nsid w:val="6DE91B18"/>
    <w:multiLevelType w:val="hybridMultilevel"/>
    <w:lvl w:ilvl="0">
      <w:lvlJc w:val="left"/>
      <w:lvlText w:val="4"/>
      <w:numFmt w:val="bullet"/>
      <w:start w:val="1"/>
    </w:lvl>
  </w:abstractNum>
  <w:abstractNum w:abstractNumId="20">
    <w:nsid w:val="38437FDB"/>
    <w:multiLevelType w:val="hybridMultilevel"/>
    <w:lvl w:ilvl="0">
      <w:lvlJc w:val="left"/>
      <w:lvlText w:val="5"/>
      <w:numFmt w:val="bullet"/>
      <w:start w:val="1"/>
    </w:lvl>
  </w:abstractNum>
  <w:abstractNum w:abstractNumId="21">
    <w:nsid w:val="7644A45C"/>
    <w:multiLevelType w:val="hybridMultilevel"/>
    <w:lvl w:ilvl="0">
      <w:lvlJc w:val="left"/>
      <w:lvlText w:val="6"/>
      <w:numFmt w:val="bullet"/>
      <w:start w:val="1"/>
    </w:lvl>
  </w:abstractNum>
  <w:abstractNum w:abstractNumId="22">
    <w:nsid w:val="32FFF902"/>
    <w:multiLevelType w:val="hybridMultilevel"/>
    <w:lvl w:ilvl="0">
      <w:lvlJc w:val="left"/>
      <w:lvlText w:val="%1"/>
      <w:numFmt w:val="decimal"/>
      <w:start w:val="11"/>
    </w:lvl>
  </w:abstractNum>
  <w:abstractNum w:abstractNumId="23">
    <w:nsid w:val="684A481A"/>
    <w:multiLevelType w:val="hybridMultilevel"/>
    <w:lvl w:ilvl="0">
      <w:lvlJc w:val="left"/>
      <w:lvlText w:val="%1"/>
      <w:numFmt w:val="decimal"/>
      <w:start w:val="14"/>
    </w:lvl>
  </w:abstractNum>
  <w:abstractNum w:abstractNumId="24">
    <w:nsid w:val="579478FE"/>
    <w:multiLevelType w:val="hybridMultilevel"/>
    <w:lvl w:ilvl="0">
      <w:lvlJc w:val="left"/>
      <w:lvlText w:val="1"/>
      <w:numFmt w:val="bullet"/>
      <w:start w:val="1"/>
    </w:lvl>
  </w:abstractNum>
  <w:abstractNum w:abstractNumId="25">
    <w:nsid w:val="749ABB43"/>
    <w:multiLevelType w:val="hybridMultilevel"/>
    <w:lvl w:ilvl="0">
      <w:lvlJc w:val="left"/>
      <w:lvlText w:val="2"/>
      <w:numFmt w:val="bullet"/>
      <w:start w:val="1"/>
    </w:lvl>
    <w:lvl w:ilvl="1">
      <w:lvlJc w:val="left"/>
      <w:lvlText w:val="(%2)"/>
      <w:numFmt w:val="lowerLetter"/>
      <w:start w:val="1"/>
    </w:lvl>
  </w:abstractNum>
  <w:abstractNum w:abstractNumId="26">
    <w:nsid w:val="3DC240FB"/>
    <w:multiLevelType w:val="hybridMultilevel"/>
    <w:lvl w:ilvl="0">
      <w:lvlJc w:val="left"/>
      <w:lvlText w:val="3"/>
      <w:numFmt w:val="bullet"/>
      <w:start w:val="1"/>
    </w:lvl>
  </w:abstractNum>
  <w:abstractNum w:abstractNumId="27">
    <w:nsid w:val="1BA026FA"/>
    <w:multiLevelType w:val="hybridMultilevel"/>
    <w:lvl w:ilvl="0">
      <w:lvlJc w:val="left"/>
      <w:lvlText w:val="4"/>
      <w:numFmt w:val="bullet"/>
      <w:start w:val="1"/>
    </w:lvl>
  </w:abstractNum>
  <w:abstractNum w:abstractNumId="28">
    <w:nsid w:val="79A1DEAA"/>
    <w:multiLevelType w:val="hybridMultilevel"/>
    <w:lvl w:ilvl="0">
      <w:lvlJc w:val="left"/>
      <w:lvlText w:val="5"/>
      <w:numFmt w:val="bullet"/>
      <w:start w:val="1"/>
    </w:lvl>
  </w:abstractNum>
  <w:abstractNum w:abstractNumId="29">
    <w:nsid w:val="75C6C33A"/>
    <w:multiLevelType w:val="hybridMultilevel"/>
    <w:lvl w:ilvl="0">
      <w:lvlJc w:val="left"/>
      <w:lvlText w:val="6"/>
      <w:numFmt w:val="bullet"/>
      <w:start w:val="1"/>
    </w:lvl>
  </w:abstractNum>
  <w:abstractNum w:abstractNumId="30">
    <w:nsid w:val="12E685FB"/>
    <w:multiLevelType w:val="hybridMultilevel"/>
    <w:lvl w:ilvl="0">
      <w:lvlJc w:val="left"/>
      <w:lvlText w:val="%1"/>
      <w:numFmt w:val="decimal"/>
      <w:start w:val="11"/>
    </w:lvl>
  </w:abstractNum>
  <w:abstractNum w:abstractNumId="31">
    <w:nsid w:val="70C6A529"/>
    <w:multiLevelType w:val="hybridMultilevel"/>
    <w:lvl w:ilvl="0">
      <w:lvlJc w:val="left"/>
      <w:lvlText w:val="%1"/>
      <w:numFmt w:val="decimal"/>
      <w:start w:val="14"/>
    </w:lvl>
  </w:abstractNum>
  <w:abstractNum w:abstractNumId="32">
    <w:nsid w:val="520EEDD1"/>
    <w:multiLevelType w:val="hybridMultilevel"/>
    <w:lvl w:ilvl="0">
      <w:lvlJc w:val="left"/>
      <w:lvlText w:val="1"/>
      <w:numFmt w:val="bullet"/>
      <w:start w:val="1"/>
    </w:lvl>
  </w:abstractNum>
  <w:abstractNum w:abstractNumId="33">
    <w:nsid w:val="374A3FE6"/>
    <w:multiLevelType w:val="hybridMultilevel"/>
    <w:lvl w:ilvl="0">
      <w:lvlJc w:val="left"/>
      <w:lvlText w:val="2"/>
      <w:numFmt w:val="bullet"/>
      <w:start w:val="1"/>
    </w:lvl>
    <w:lvl w:ilvl="1">
      <w:lvlJc w:val="left"/>
      <w:lvlText w:val="(%2)"/>
      <w:numFmt w:val="lowerLetter"/>
      <w:start w:val="1"/>
    </w:lvl>
  </w:abstractNum>
  <w:abstractNum w:abstractNumId="34">
    <w:nsid w:val="4F4EF005"/>
    <w:multiLevelType w:val="hybridMultilevel"/>
    <w:lvl w:ilvl="0">
      <w:lvlJc w:val="left"/>
      <w:lvlText w:val="3"/>
      <w:numFmt w:val="bullet"/>
      <w:start w:val="1"/>
    </w:lvl>
  </w:abstractNum>
  <w:abstractNum w:abstractNumId="35">
    <w:nsid w:val="23F9C13C"/>
    <w:multiLevelType w:val="hybridMultilevel"/>
    <w:lvl w:ilvl="0">
      <w:lvlJc w:val="left"/>
      <w:lvlText w:val="4"/>
      <w:numFmt w:val="bullet"/>
      <w:start w:val="1"/>
    </w:lvl>
  </w:abstractNum>
  <w:abstractNum w:abstractNumId="36">
    <w:nsid w:val="649BB77C"/>
    <w:multiLevelType w:val="hybridMultilevel"/>
    <w:lvl w:ilvl="0">
      <w:lvlJc w:val="left"/>
      <w:lvlText w:val="5"/>
      <w:numFmt w:val="bullet"/>
      <w:start w:val="1"/>
    </w:lvl>
  </w:abstractNum>
  <w:abstractNum w:abstractNumId="37">
    <w:nsid w:val="275AC794"/>
    <w:multiLevelType w:val="hybridMultilevel"/>
    <w:lvl w:ilvl="0">
      <w:lvlJc w:val="left"/>
      <w:lvlText w:val="6"/>
      <w:numFmt w:val="bullet"/>
      <w:start w:val="1"/>
    </w:lvl>
  </w:abstractNum>
  <w:abstractNum w:abstractNumId="38">
    <w:nsid w:val="39386575"/>
    <w:multiLevelType w:val="hybridMultilevel"/>
    <w:lvl w:ilvl="0">
      <w:lvlJc w:val="left"/>
      <w:lvlText w:val="%1"/>
      <w:numFmt w:val="decimal"/>
      <w:start w:val="11"/>
    </w:lvl>
  </w:abstractNum>
  <w:abstractNum w:abstractNumId="39">
    <w:nsid w:val="1CF10FD8"/>
    <w:multiLevelType w:val="hybridMultilevel"/>
    <w:lvl w:ilvl="0">
      <w:lvlJc w:val="left"/>
      <w:lvlText w:val="%1"/>
      <w:numFmt w:val="decimal"/>
      <w:start w:val="14"/>
    </w:lvl>
  </w:abstractNum>
  <w:abstractNum w:abstractNumId="40">
    <w:nsid w:val="180115BE"/>
    <w:multiLevelType w:val="hybridMultilevel"/>
    <w:lvl w:ilvl="0">
      <w:lvlJc w:val="left"/>
      <w:lvlText w:val="1"/>
      <w:numFmt w:val="bullet"/>
      <w:start w:val="1"/>
    </w:lvl>
  </w:abstractNum>
  <w:abstractNum w:abstractNumId="41">
    <w:nsid w:val="235BA861"/>
    <w:multiLevelType w:val="hybridMultilevel"/>
    <w:lvl w:ilvl="0">
      <w:lvlJc w:val="left"/>
      <w:lvlText w:val="2"/>
      <w:numFmt w:val="bullet"/>
      <w:start w:val="1"/>
    </w:lvl>
    <w:lvl w:ilvl="1">
      <w:lvlJc w:val="left"/>
      <w:lvlText w:val="(%2)"/>
      <w:numFmt w:val="lowerLetter"/>
      <w:start w:val="1"/>
    </w:lvl>
  </w:abstractNum>
  <w:abstractNum w:abstractNumId="42">
    <w:nsid w:val="47398C89"/>
    <w:multiLevelType w:val="hybridMultilevel"/>
    <w:lvl w:ilvl="0">
      <w:lvlJc w:val="left"/>
      <w:lvlText w:val="3"/>
      <w:numFmt w:val="bullet"/>
      <w:start w:val="1"/>
    </w:lvl>
  </w:abstractNum>
  <w:abstractNum w:abstractNumId="43">
    <w:nsid w:val="354FE9F9"/>
    <w:multiLevelType w:val="hybridMultilevel"/>
    <w:lvl w:ilvl="0">
      <w:lvlJc w:val="left"/>
      <w:lvlText w:val="4"/>
      <w:numFmt w:val="bullet"/>
      <w:start w:val="1"/>
    </w:lvl>
  </w:abstractNum>
  <w:abstractNum w:abstractNumId="44">
    <w:nsid w:val="15B5AF5C"/>
    <w:multiLevelType w:val="hybridMultilevel"/>
    <w:lvl w:ilvl="0">
      <w:lvlJc w:val="left"/>
      <w:lvlText w:val="5"/>
      <w:numFmt w:val="bullet"/>
      <w:start w:val="1"/>
    </w:lvl>
  </w:abstractNum>
  <w:abstractNum w:abstractNumId="45">
    <w:nsid w:val="741226BB"/>
    <w:multiLevelType w:val="hybridMultilevel"/>
    <w:lvl w:ilvl="0">
      <w:lvlJc w:val="left"/>
      <w:lvlText w:val="6"/>
      <w:numFmt w:val="bullet"/>
      <w:start w:val="1"/>
    </w:lvl>
  </w:abstractNum>
  <w:abstractNum w:abstractNumId="46">
    <w:nsid w:val="D34B6A8"/>
    <w:multiLevelType w:val="hybridMultilevel"/>
    <w:lvl w:ilvl="0">
      <w:lvlJc w:val="left"/>
      <w:lvlText w:val="%1"/>
      <w:numFmt w:val="decimal"/>
      <w:start w:val="11"/>
    </w:lvl>
  </w:abstractNum>
  <w:abstractNum w:abstractNumId="47">
    <w:nsid w:val="10233C99"/>
    <w:multiLevelType w:val="hybridMultilevel"/>
    <w:lvl w:ilvl="0">
      <w:lvlJc w:val="left"/>
      <w:lvlText w:val="%1"/>
      <w:numFmt w:val="decimal"/>
      <w:start w:val="14"/>
    </w:lvl>
  </w:abstractNum>
  <w:abstractNum w:abstractNumId="48">
    <w:nsid w:val="3F6AB60F"/>
    <w:multiLevelType w:val="hybridMultilevel"/>
    <w:lvl w:ilvl="0">
      <w:lvlJc w:val="left"/>
      <w:lvlText w:val="1"/>
      <w:numFmt w:val="bullet"/>
      <w:start w:val="1"/>
    </w:lvl>
  </w:abstractNum>
  <w:abstractNum w:abstractNumId="49">
    <w:nsid w:val="61574095"/>
    <w:multiLevelType w:val="hybridMultilevel"/>
    <w:lvl w:ilvl="0">
      <w:lvlJc w:val="left"/>
      <w:lvlText w:val="2"/>
      <w:numFmt w:val="bullet"/>
      <w:start w:val="1"/>
    </w:lvl>
    <w:lvl w:ilvl="1">
      <w:lvlJc w:val="left"/>
      <w:lvlText w:val="(%2)"/>
      <w:numFmt w:val="lowerLetter"/>
      <w:start w:val="1"/>
    </w:lvl>
  </w:abstractNum>
  <w:abstractNum w:abstractNumId="50">
    <w:nsid w:val="7E0C57B1"/>
    <w:multiLevelType w:val="hybridMultilevel"/>
    <w:lvl w:ilvl="0">
      <w:lvlJc w:val="left"/>
      <w:lvlText w:val="3"/>
      <w:numFmt w:val="bullet"/>
      <w:start w:val="1"/>
    </w:lvl>
  </w:abstractNum>
  <w:abstractNum w:abstractNumId="51">
    <w:nsid w:val="77AE35EB"/>
    <w:multiLevelType w:val="hybridMultilevel"/>
    <w:lvl w:ilvl="0">
      <w:lvlJc w:val="left"/>
      <w:lvlText w:val="4"/>
      <w:numFmt w:val="bullet"/>
      <w:start w:val="1"/>
    </w:lvl>
  </w:abstractNum>
  <w:abstractNum w:abstractNumId="52">
    <w:nsid w:val="579BE4F1"/>
    <w:multiLevelType w:val="hybridMultilevel"/>
    <w:lvl w:ilvl="0">
      <w:lvlJc w:val="left"/>
      <w:lvlText w:val="5"/>
      <w:numFmt w:val="bullet"/>
      <w:start w:val="1"/>
    </w:lvl>
  </w:abstractNum>
  <w:abstractNum w:abstractNumId="53">
    <w:nsid w:val="310C50B3"/>
    <w:multiLevelType w:val="hybridMultilevel"/>
    <w:lvl w:ilvl="0">
      <w:lvlJc w:val="left"/>
      <w:lvlText w:val="6"/>
      <w:numFmt w:val="bullet"/>
      <w:start w:val="1"/>
    </w:lvl>
  </w:abstractNum>
  <w:abstractNum w:abstractNumId="54">
    <w:nsid w:val="5FF87E05"/>
    <w:multiLevelType w:val="hybridMultilevel"/>
    <w:lvl w:ilvl="0">
      <w:lvlJc w:val="left"/>
      <w:lvlText w:val="%1"/>
      <w:numFmt w:val="decimal"/>
      <w:start w:val="11"/>
    </w:lvl>
  </w:abstractNum>
  <w:abstractNum w:abstractNumId="55">
    <w:nsid w:val="2F305DEF"/>
    <w:multiLevelType w:val="hybridMultilevel"/>
    <w:lvl w:ilvl="0">
      <w:lvlJc w:val="left"/>
      <w:lvlText w:val="%1"/>
      <w:numFmt w:val="decimal"/>
      <w:start w:val="14"/>
    </w:lvl>
  </w:abstractNum>
  <w:abstractNum w:abstractNumId="56">
    <w:nsid w:val="25A70BF7"/>
    <w:multiLevelType w:val="hybridMultilevel"/>
    <w:lvl w:ilvl="0">
      <w:lvlJc w:val="left"/>
      <w:lvlText w:val="1"/>
      <w:numFmt w:val="bullet"/>
      <w:start w:val="1"/>
    </w:lvl>
  </w:abstractNum>
  <w:abstractNum w:abstractNumId="57">
    <w:nsid w:val="1DBABF00"/>
    <w:multiLevelType w:val="hybridMultilevel"/>
    <w:lvl w:ilvl="0">
      <w:lvlJc w:val="left"/>
      <w:lvlText w:val="2"/>
      <w:numFmt w:val="bullet"/>
      <w:start w:val="1"/>
    </w:lvl>
    <w:lvl w:ilvl="1">
      <w:lvlJc w:val="left"/>
      <w:lvlText w:val="(%2)"/>
      <w:numFmt w:val="lowerLetter"/>
      <w:start w:val="1"/>
    </w:lvl>
  </w:abstractNum>
  <w:abstractNum w:abstractNumId="58">
    <w:nsid w:val="4AD084E9"/>
    <w:multiLevelType w:val="hybridMultilevel"/>
    <w:lvl w:ilvl="0">
      <w:lvlJc w:val="left"/>
      <w:lvlText w:val="3"/>
      <w:numFmt w:val="bullet"/>
      <w:start w:val="1"/>
    </w:lvl>
  </w:abstractNum>
  <w:abstractNum w:abstractNumId="59">
    <w:nsid w:val="1F48EAA1"/>
    <w:multiLevelType w:val="hybridMultilevel"/>
    <w:lvl w:ilvl="0">
      <w:lvlJc w:val="left"/>
      <w:lvlText w:val="4"/>
      <w:numFmt w:val="bullet"/>
      <w:start w:val="1"/>
    </w:lvl>
  </w:abstractNum>
  <w:abstractNum w:abstractNumId="60">
    <w:nsid w:val="1381823A"/>
    <w:multiLevelType w:val="hybridMultilevel"/>
    <w:lvl w:ilvl="0">
      <w:lvlJc w:val="left"/>
      <w:lvlText w:val="5"/>
      <w:numFmt w:val="bullet"/>
      <w:start w:val="1"/>
    </w:lvl>
  </w:abstractNum>
  <w:abstractNum w:abstractNumId="61">
    <w:nsid w:val="5DB70AE5"/>
    <w:multiLevelType w:val="hybridMultilevel"/>
    <w:lvl w:ilvl="0">
      <w:lvlJc w:val="left"/>
      <w:lvlText w:val="6"/>
      <w:numFmt w:val="bullet"/>
      <w:start w:val="1"/>
    </w:lvl>
  </w:abstractNum>
  <w:abstractNum w:abstractNumId="62">
    <w:nsid w:val="100F8FCA"/>
    <w:multiLevelType w:val="hybridMultilevel"/>
    <w:lvl w:ilvl="0">
      <w:lvlJc w:val="left"/>
      <w:lvlText w:val="%1"/>
      <w:numFmt w:val="decimal"/>
      <w:start w:val="11"/>
    </w:lvl>
  </w:abstractNum>
  <w:abstractNum w:abstractNumId="63">
    <w:nsid w:val="6590700B"/>
    <w:multiLevelType w:val="hybridMultilevel"/>
    <w:lvl w:ilvl="0">
      <w:lvlJc w:val="left"/>
      <w:lvlText w:val="%1"/>
      <w:numFmt w:val="decimal"/>
      <w:start w:val="14"/>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lowerLetter"/>
      <w:start w:val="2"/>
    </w:lvl>
  </w:abstractNum>
  <w:abstractNum w:abstractNumId="67">
    <w:nsid w:val="799D0247"/>
    <w:multiLevelType w:val="hybridMultilevel"/>
    <w:lvl w:ilvl="0">
      <w:lvlJc w:val="left"/>
      <w:lvlText w:val="(%1)"/>
      <w:numFmt w:val="lowerLetter"/>
      <w:start w:val="4"/>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lowerLetter"/>
      <w:start w:val="2"/>
    </w:lvl>
    <w:lvl w:ilvl="1">
      <w:lvlJc w:val="left"/>
      <w:lvlText w:val="(%2)"/>
      <w:numFmt w:val="decimal"/>
      <w:start w:val="1"/>
    </w:lvl>
  </w:abstractNum>
  <w:abstractNum w:abstractNumId="71">
    <w:nsid w:val="1EBA5D23"/>
    <w:multiLevelType w:val="hybridMultilevel"/>
    <w:lvl w:ilvl="0">
      <w:lvlJc w:val="left"/>
      <w:lvlText w:val="(%1)"/>
      <w:numFmt w:val="lowerLetter"/>
      <w:start w:val="4"/>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2019-11-29T11:31:07Z</dcterms:created>
  <dcterms:modified xsi:type="dcterms:W3CDTF">2019-11-29T11:31:07Z</dcterms:modified>
</cp:coreProperties>
</file>