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the earliest event reported)</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August 6, 2018</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w:t>
      </w:r>
      <w:r>
        <w:rPr>
          <w:rFonts w:ascii="Arial" w:cs="Arial" w:eastAsia="Arial" w:hAnsi="Arial"/>
          <w:sz w:val="22"/>
          <w:szCs w:val="22"/>
          <w:b w:val="1"/>
          <w:bCs w:val="1"/>
          <w:color w:val="auto"/>
        </w:rPr>
        <w:t>OMP</w:t>
      </w:r>
      <w:r>
        <w:rPr>
          <w:rFonts w:ascii="Arial" w:cs="Arial" w:eastAsia="Arial" w:hAnsi="Arial"/>
          <w:sz w:val="32"/>
          <w:szCs w:val="32"/>
          <w:b w:val="1"/>
          <w:bCs w:val="1"/>
          <w:color w:val="auto"/>
        </w:rPr>
        <w:t>X I</w:t>
      </w:r>
      <w:r>
        <w:rPr>
          <w:rFonts w:ascii="Arial" w:cs="Arial" w:eastAsia="Arial" w:hAnsi="Arial"/>
          <w:sz w:val="22"/>
          <w:szCs w:val="22"/>
          <w:b w:val="1"/>
          <w:bCs w:val="1"/>
          <w:color w:val="auto"/>
        </w:rPr>
        <w:t>NTERNATIONAL</w:t>
      </w:r>
      <w:r>
        <w:rPr>
          <w:rFonts w:ascii="Arial" w:cs="Arial" w:eastAsia="Arial" w:hAnsi="Arial"/>
          <w:sz w:val="32"/>
          <w:szCs w:val="32"/>
          <w:b w:val="1"/>
          <w:bCs w:val="1"/>
          <w:color w:val="auto"/>
        </w:rPr>
        <w:t xml:space="preserve"> I</w:t>
      </w:r>
      <w:r>
        <w:rPr>
          <w:rFonts w:ascii="Arial" w:cs="Arial" w:eastAsia="Arial" w:hAnsi="Arial"/>
          <w:sz w:val="22"/>
          <w:szCs w:val="22"/>
          <w:b w:val="1"/>
          <w:bCs w:val="1"/>
          <w:color w:val="auto"/>
        </w:rPr>
        <w:t>NC</w:t>
      </w:r>
      <w:r>
        <w:rPr>
          <w:rFonts w:ascii="Arial" w:cs="Arial" w:eastAsia="Arial" w:hAnsi="Arial"/>
          <w:sz w:val="32"/>
          <w:szCs w:val="32"/>
          <w:b w:val="1"/>
          <w:bCs w:val="1"/>
          <w:color w:val="auto"/>
        </w:rPr>
        <w:t>.</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313" w:lineRule="exact"/>
        <w:rPr>
          <w:sz w:val="24"/>
          <w:szCs w:val="24"/>
          <w:color w:val="auto"/>
        </w:rPr>
      </w:pPr>
    </w:p>
    <w:tbl>
      <w:tblPr>
        <w:tblLayout w:type="fixed"/>
        <w:tblInd w:w="320" w:type="dxa"/>
        <w:tblCellMar>
          <w:top w:w="0" w:type="dxa"/>
          <w:left w:w="0" w:type="dxa"/>
          <w:bottom w:w="0" w:type="dxa"/>
          <w:right w:w="0" w:type="dxa"/>
        </w:tblCellMar>
      </w:tblPr>
      <w:tr>
        <w:trPr>
          <w:trHeight w:val="220"/>
        </w:trPr>
        <w:tc>
          <w:tcPr>
            <w:tcW w:w="4040" w:type="dxa"/>
            <w:vAlign w:val="bottom"/>
          </w:tcPr>
          <w:p>
            <w:pPr>
              <w:jc w:val="center"/>
              <w:ind w:right="790"/>
              <w:spacing w:after="0"/>
              <w:rPr>
                <w:sz w:val="20"/>
                <w:szCs w:val="20"/>
                <w:color w:val="auto"/>
              </w:rPr>
            </w:pPr>
            <w:r>
              <w:rPr>
                <w:rFonts w:ascii="Arial" w:cs="Arial" w:eastAsia="Arial" w:hAnsi="Arial"/>
                <w:sz w:val="18"/>
                <w:szCs w:val="18"/>
                <w:b w:val="1"/>
                <w:bCs w:val="1"/>
                <w:color w:val="auto"/>
                <w:w w:val="91"/>
              </w:rPr>
              <w:t>Delaware</w:t>
            </w:r>
          </w:p>
        </w:tc>
        <w:tc>
          <w:tcPr>
            <w:tcW w:w="3160" w:type="dxa"/>
            <w:vAlign w:val="bottom"/>
          </w:tcPr>
          <w:p>
            <w:pPr>
              <w:jc w:val="center"/>
              <w:ind w:right="390"/>
              <w:spacing w:after="0"/>
              <w:rPr>
                <w:sz w:val="20"/>
                <w:szCs w:val="20"/>
                <w:color w:val="auto"/>
              </w:rPr>
            </w:pPr>
            <w:r>
              <w:rPr>
                <w:rFonts w:ascii="Arial" w:cs="Arial" w:eastAsia="Arial" w:hAnsi="Arial"/>
                <w:sz w:val="18"/>
                <w:szCs w:val="18"/>
                <w:b w:val="1"/>
                <w:bCs w:val="1"/>
                <w:color w:val="auto"/>
                <w:w w:val="90"/>
              </w:rPr>
              <w:t>1-13905</w:t>
            </w:r>
          </w:p>
        </w:tc>
        <w:tc>
          <w:tcPr>
            <w:tcW w:w="2660" w:type="dxa"/>
            <w:vAlign w:val="bottom"/>
          </w:tcPr>
          <w:p>
            <w:pPr>
              <w:jc w:val="center"/>
              <w:ind w:left="1250"/>
              <w:spacing w:after="0"/>
              <w:rPr>
                <w:sz w:val="20"/>
                <w:szCs w:val="20"/>
                <w:color w:val="auto"/>
              </w:rPr>
            </w:pPr>
            <w:r>
              <w:rPr>
                <w:rFonts w:ascii="Arial" w:cs="Arial" w:eastAsia="Arial" w:hAnsi="Arial"/>
                <w:sz w:val="18"/>
                <w:szCs w:val="18"/>
                <w:b w:val="1"/>
                <w:bCs w:val="1"/>
                <w:color w:val="auto"/>
                <w:w w:val="91"/>
              </w:rPr>
              <w:t>57-0981653</w:t>
            </w:r>
          </w:p>
        </w:tc>
      </w:tr>
      <w:tr>
        <w:trPr>
          <w:trHeight w:val="216"/>
        </w:trPr>
        <w:tc>
          <w:tcPr>
            <w:tcW w:w="4040" w:type="dxa"/>
            <w:vAlign w:val="bottom"/>
          </w:tcPr>
          <w:p>
            <w:pPr>
              <w:jc w:val="center"/>
              <w:ind w:right="790"/>
              <w:spacing w:after="0"/>
              <w:rPr>
                <w:sz w:val="20"/>
                <w:szCs w:val="20"/>
                <w:color w:val="auto"/>
              </w:rPr>
            </w:pPr>
            <w:r>
              <w:rPr>
                <w:rFonts w:ascii="Arial" w:cs="Arial" w:eastAsia="Arial" w:hAnsi="Arial"/>
                <w:sz w:val="18"/>
                <w:szCs w:val="18"/>
                <w:color w:val="auto"/>
                <w:w w:val="92"/>
              </w:rPr>
              <w:t>(State or other jurisdiction of incorporation)</w:t>
            </w:r>
          </w:p>
        </w:tc>
        <w:tc>
          <w:tcPr>
            <w:tcW w:w="3160" w:type="dxa"/>
            <w:vAlign w:val="bottom"/>
          </w:tcPr>
          <w:p>
            <w:pPr>
              <w:jc w:val="center"/>
              <w:ind w:right="370"/>
              <w:spacing w:after="0"/>
              <w:rPr>
                <w:sz w:val="20"/>
                <w:szCs w:val="20"/>
                <w:color w:val="auto"/>
              </w:rPr>
            </w:pPr>
            <w:r>
              <w:rPr>
                <w:rFonts w:ascii="Arial" w:cs="Arial" w:eastAsia="Arial" w:hAnsi="Arial"/>
                <w:sz w:val="18"/>
                <w:szCs w:val="18"/>
                <w:color w:val="auto"/>
                <w:w w:val="93"/>
              </w:rPr>
              <w:t>(Commission</w:t>
            </w:r>
          </w:p>
        </w:tc>
        <w:tc>
          <w:tcPr>
            <w:tcW w:w="2660" w:type="dxa"/>
            <w:vAlign w:val="bottom"/>
          </w:tcPr>
          <w:p>
            <w:pPr>
              <w:jc w:val="center"/>
              <w:ind w:left="1230"/>
              <w:spacing w:after="0"/>
              <w:rPr>
                <w:sz w:val="20"/>
                <w:szCs w:val="20"/>
                <w:color w:val="auto"/>
              </w:rPr>
            </w:pPr>
            <w:r>
              <w:rPr>
                <w:rFonts w:ascii="Arial" w:cs="Arial" w:eastAsia="Arial" w:hAnsi="Arial"/>
                <w:sz w:val="18"/>
                <w:szCs w:val="18"/>
                <w:color w:val="auto"/>
                <w:w w:val="93"/>
              </w:rPr>
              <w:t>(IRS Employer</w:t>
            </w:r>
          </w:p>
        </w:tc>
      </w:tr>
      <w:tr>
        <w:trPr>
          <w:trHeight w:val="230"/>
        </w:trPr>
        <w:tc>
          <w:tcPr>
            <w:tcW w:w="4040" w:type="dxa"/>
            <w:vAlign w:val="bottom"/>
          </w:tcPr>
          <w:p>
            <w:pPr>
              <w:spacing w:after="0"/>
              <w:rPr>
                <w:sz w:val="20"/>
                <w:szCs w:val="20"/>
                <w:color w:val="auto"/>
              </w:rPr>
            </w:pPr>
          </w:p>
        </w:tc>
        <w:tc>
          <w:tcPr>
            <w:tcW w:w="3160" w:type="dxa"/>
            <w:vAlign w:val="bottom"/>
          </w:tcPr>
          <w:p>
            <w:pPr>
              <w:jc w:val="center"/>
              <w:ind w:right="370"/>
              <w:spacing w:after="0"/>
              <w:rPr>
                <w:sz w:val="20"/>
                <w:szCs w:val="20"/>
                <w:color w:val="auto"/>
              </w:rPr>
            </w:pPr>
            <w:r>
              <w:rPr>
                <w:rFonts w:ascii="Arial" w:cs="Arial" w:eastAsia="Arial" w:hAnsi="Arial"/>
                <w:sz w:val="18"/>
                <w:szCs w:val="18"/>
                <w:color w:val="auto"/>
                <w:w w:val="94"/>
              </w:rPr>
              <w:t>File Number)</w:t>
            </w:r>
          </w:p>
        </w:tc>
        <w:tc>
          <w:tcPr>
            <w:tcW w:w="2660" w:type="dxa"/>
            <w:vAlign w:val="bottom"/>
          </w:tcPr>
          <w:p>
            <w:pPr>
              <w:jc w:val="center"/>
              <w:ind w:left="1230"/>
              <w:spacing w:after="0"/>
              <w:rPr>
                <w:sz w:val="20"/>
                <w:szCs w:val="20"/>
                <w:color w:val="auto"/>
              </w:rPr>
            </w:pPr>
            <w:r>
              <w:rPr>
                <w:rFonts w:ascii="Arial" w:cs="Arial" w:eastAsia="Arial" w:hAnsi="Arial"/>
                <w:sz w:val="18"/>
                <w:szCs w:val="18"/>
                <w:color w:val="auto"/>
                <w:w w:val="95"/>
              </w:rPr>
              <w:t>Identification No.)</w:t>
            </w:r>
          </w:p>
        </w:tc>
      </w:tr>
      <w:tr>
        <w:trPr>
          <w:trHeight w:val="634"/>
        </w:trPr>
        <w:tc>
          <w:tcPr>
            <w:tcW w:w="7200" w:type="dxa"/>
            <w:vAlign w:val="bottom"/>
            <w:gridSpan w:val="2"/>
          </w:tcPr>
          <w:p>
            <w:pPr>
              <w:jc w:val="center"/>
              <w:ind w:right="110"/>
              <w:spacing w:after="0"/>
              <w:rPr>
                <w:sz w:val="20"/>
                <w:szCs w:val="20"/>
                <w:color w:val="auto"/>
              </w:rPr>
            </w:pPr>
            <w:r>
              <w:rPr>
                <w:rFonts w:ascii="Arial" w:cs="Arial" w:eastAsia="Arial" w:hAnsi="Arial"/>
                <w:sz w:val="18"/>
                <w:szCs w:val="18"/>
                <w:b w:val="1"/>
                <w:bCs w:val="1"/>
                <w:color w:val="auto"/>
                <w:w w:val="89"/>
              </w:rPr>
              <w:t>5430 LBJ Freeway, Suite 1700, Dallas, Texas</w:t>
            </w:r>
          </w:p>
        </w:tc>
        <w:tc>
          <w:tcPr>
            <w:tcW w:w="2660" w:type="dxa"/>
            <w:vAlign w:val="bottom"/>
          </w:tcPr>
          <w:p>
            <w:pPr>
              <w:jc w:val="center"/>
              <w:ind w:left="1270"/>
              <w:spacing w:after="0"/>
              <w:rPr>
                <w:sz w:val="20"/>
                <w:szCs w:val="20"/>
                <w:color w:val="auto"/>
              </w:rPr>
            </w:pPr>
            <w:r>
              <w:rPr>
                <w:rFonts w:ascii="Arial" w:cs="Arial" w:eastAsia="Arial" w:hAnsi="Arial"/>
                <w:sz w:val="18"/>
                <w:szCs w:val="18"/>
                <w:b w:val="1"/>
                <w:bCs w:val="1"/>
                <w:color w:val="auto"/>
                <w:w w:val="89"/>
              </w:rPr>
              <w:t>75240-2697</w:t>
            </w:r>
          </w:p>
        </w:tc>
      </w:tr>
      <w:tr>
        <w:trPr>
          <w:trHeight w:val="230"/>
        </w:trPr>
        <w:tc>
          <w:tcPr>
            <w:tcW w:w="7200" w:type="dxa"/>
            <w:vAlign w:val="bottom"/>
            <w:gridSpan w:val="2"/>
          </w:tcPr>
          <w:p>
            <w:pPr>
              <w:jc w:val="center"/>
              <w:ind w:right="90"/>
              <w:spacing w:after="0"/>
              <w:rPr>
                <w:sz w:val="20"/>
                <w:szCs w:val="20"/>
                <w:color w:val="auto"/>
              </w:rPr>
            </w:pPr>
            <w:r>
              <w:rPr>
                <w:rFonts w:ascii="Arial" w:cs="Arial" w:eastAsia="Arial" w:hAnsi="Arial"/>
                <w:sz w:val="18"/>
                <w:szCs w:val="18"/>
                <w:color w:val="auto"/>
                <w:w w:val="92"/>
              </w:rPr>
              <w:t>(Address of principal executive offices)</w:t>
            </w:r>
          </w:p>
        </w:tc>
        <w:tc>
          <w:tcPr>
            <w:tcW w:w="2660" w:type="dxa"/>
            <w:vAlign w:val="bottom"/>
          </w:tcPr>
          <w:p>
            <w:pPr>
              <w:jc w:val="center"/>
              <w:ind w:left="1270"/>
              <w:spacing w:after="0"/>
              <w:rPr>
                <w:sz w:val="20"/>
                <w:szCs w:val="20"/>
                <w:color w:val="auto"/>
              </w:rPr>
            </w:pPr>
            <w:r>
              <w:rPr>
                <w:rFonts w:ascii="Arial" w:cs="Arial" w:eastAsia="Arial" w:hAnsi="Arial"/>
                <w:sz w:val="18"/>
                <w:szCs w:val="18"/>
                <w:color w:val="auto"/>
                <w:w w:val="91"/>
              </w:rPr>
              <w:t>(Zip Code)</w:t>
            </w:r>
          </w:p>
        </w:tc>
      </w:tr>
    </w:tbl>
    <w:p>
      <w:pPr>
        <w:spacing w:after="0" w:line="20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(972) 448-1400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1720215</wp:posOffset>
            </wp:positionH>
            <wp:positionV relativeFrom="paragraph">
              <wp:posOffset>280035</wp:posOffset>
            </wp:positionV>
            <wp:extent cx="382460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824605" cy="17145"/>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0" w:lineRule="exact"/>
        <w:rPr>
          <w:sz w:val="24"/>
          <w:szCs w:val="24"/>
          <w:color w:val="auto"/>
        </w:rPr>
      </w:pPr>
    </w:p>
    <w:p>
      <w:pPr>
        <w:spacing w:after="0" w:line="241"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w:t>
      </w:r>
    </w:p>
    <w:p>
      <w:pPr>
        <w:sectPr>
          <w:pgSz w:w="11900" w:h="16838" w:orient="portrait"/>
          <w:cols w:equalWidth="0" w:num="1">
            <w:col w:w="11420"/>
          </w:cols>
          <w:pgMar w:left="240" w:top="229" w:right="239" w:bottom="1440" w:gutter="0" w:footer="0" w:header="0"/>
        </w:sectPr>
      </w:pPr>
    </w:p>
    <w:p>
      <w:pPr>
        <w:spacing w:after="0" w:line="121" w:lineRule="exact"/>
        <w:rPr>
          <w:sz w:val="24"/>
          <w:szCs w:val="24"/>
          <w:color w:val="auto"/>
        </w:rPr>
      </w:pPr>
    </w:p>
    <w:p>
      <w:pPr>
        <w:ind w:left="300"/>
        <w:spacing w:after="0" w:line="221" w:lineRule="exact"/>
        <w:rPr>
          <w:sz w:val="20"/>
          <w:szCs w:val="20"/>
          <w:color w:val="auto"/>
        </w:rPr>
      </w:pPr>
      <w:r>
        <w:rPr>
          <w:rFonts w:ascii="MS PGothic" w:cs="MS PGothic" w:eastAsia="MS PGothic" w:hAnsi="MS PGothic"/>
          <w:sz w:val="22"/>
          <w:szCs w:val="22"/>
          <w:color w:val="auto"/>
        </w:rPr>
        <w:t>☐</w:t>
      </w:r>
    </w:p>
    <w:p>
      <w:pPr>
        <w:spacing w:after="0" w:line="293" w:lineRule="exact"/>
        <w:rPr>
          <w:sz w:val="24"/>
          <w:szCs w:val="24"/>
          <w:color w:val="auto"/>
        </w:rPr>
      </w:pPr>
    </w:p>
    <w:p>
      <w:pPr>
        <w:ind w:left="300"/>
        <w:spacing w:after="0" w:line="221" w:lineRule="exact"/>
        <w:rPr>
          <w:sz w:val="20"/>
          <w:szCs w:val="20"/>
          <w:color w:val="auto"/>
        </w:rPr>
      </w:pPr>
      <w:r>
        <w:rPr>
          <w:rFonts w:ascii="MS PGothic" w:cs="MS PGothic" w:eastAsia="MS PGothic" w:hAnsi="MS PGothic"/>
          <w:sz w:val="22"/>
          <w:szCs w:val="22"/>
          <w:color w:val="auto"/>
        </w:rPr>
        <w:t>☐</w:t>
      </w:r>
    </w:p>
    <w:p>
      <w:pPr>
        <w:spacing w:after="0" w:line="293" w:lineRule="exact"/>
        <w:rPr>
          <w:sz w:val="24"/>
          <w:szCs w:val="24"/>
          <w:color w:val="auto"/>
        </w:rPr>
      </w:pPr>
    </w:p>
    <w:p>
      <w:pPr>
        <w:ind w:left="300"/>
        <w:spacing w:after="0" w:line="221" w:lineRule="exact"/>
        <w:rPr>
          <w:sz w:val="20"/>
          <w:szCs w:val="20"/>
          <w:color w:val="auto"/>
        </w:rPr>
      </w:pPr>
      <w:r>
        <w:rPr>
          <w:rFonts w:ascii="MS PGothic" w:cs="MS PGothic" w:eastAsia="MS PGothic" w:hAnsi="MS PGothic"/>
          <w:sz w:val="22"/>
          <w:szCs w:val="22"/>
          <w:color w:val="auto"/>
        </w:rPr>
        <w:t>☐</w:t>
      </w:r>
    </w:p>
    <w:p>
      <w:pPr>
        <w:spacing w:after="0" w:line="293" w:lineRule="exact"/>
        <w:rPr>
          <w:sz w:val="24"/>
          <w:szCs w:val="24"/>
          <w:color w:val="auto"/>
        </w:rPr>
      </w:pPr>
    </w:p>
    <w:p>
      <w:pPr>
        <w:ind w:left="300"/>
        <w:spacing w:after="0" w:line="221" w:lineRule="exact"/>
        <w:rPr>
          <w:sz w:val="20"/>
          <w:szCs w:val="20"/>
          <w:color w:val="auto"/>
        </w:rPr>
      </w:pPr>
      <w:r>
        <w:rPr>
          <w:rFonts w:ascii="MS PGothic" w:cs="MS PGothic" w:eastAsia="MS PGothic" w:hAnsi="MS PGothic"/>
          <w:sz w:val="22"/>
          <w:szCs w:val="22"/>
          <w:color w:val="auto"/>
        </w:rPr>
        <w:t>☐</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306" w:lineRule="exact"/>
        <w:rPr>
          <w:sz w:val="24"/>
          <w:szCs w:val="24"/>
          <w:color w:val="auto"/>
        </w:rPr>
      </w:pPr>
    </w:p>
    <w:p>
      <w:pPr>
        <w:spacing w:after="0"/>
        <w:rPr>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306" w:lineRule="exact"/>
        <w:rPr>
          <w:sz w:val="24"/>
          <w:szCs w:val="24"/>
          <w:color w:val="auto"/>
        </w:rPr>
      </w:pPr>
    </w:p>
    <w:p>
      <w:pPr>
        <w:spacing w:after="0"/>
        <w:rPr>
          <w:sz w:val="20"/>
          <w:szCs w:val="20"/>
          <w:color w:val="auto"/>
        </w:rPr>
      </w:pPr>
      <w:r>
        <w:rPr>
          <w:rFonts w:ascii="Arial" w:cs="Arial" w:eastAsia="Arial" w:hAnsi="Arial"/>
          <w:sz w:val="16"/>
          <w:szCs w:val="16"/>
          <w:color w:val="auto"/>
        </w:rPr>
        <w:t>Pre-commencement communications pursuant to Rule 14d-2(b) under the Exchange Act (17 CFR 240.14d-2(b))</w:t>
      </w:r>
    </w:p>
    <w:p>
      <w:pPr>
        <w:spacing w:after="0" w:line="329" w:lineRule="exact"/>
        <w:rPr>
          <w:sz w:val="24"/>
          <w:szCs w:val="24"/>
          <w:color w:val="auto"/>
        </w:rPr>
      </w:pPr>
    </w:p>
    <w:p>
      <w:pPr>
        <w:spacing w:after="0"/>
        <w:rPr>
          <w:sz w:val="20"/>
          <w:szCs w:val="20"/>
          <w:color w:val="auto"/>
        </w:rPr>
      </w:pPr>
      <w:r>
        <w:rPr>
          <w:rFonts w:ascii="Arial" w:cs="Arial" w:eastAsia="Arial" w:hAnsi="Arial"/>
          <w:sz w:val="16"/>
          <w:szCs w:val="16"/>
          <w:color w:val="auto"/>
        </w:rPr>
        <w:t>Pre-commencement communications pursuant to Rule 13e-4(c) under the Exchange Act (17 CFR 240.13e-4(c))</w:t>
      </w:r>
    </w:p>
    <w:p>
      <w:pPr>
        <w:spacing w:after="0" w:line="200" w:lineRule="exact"/>
        <w:rPr>
          <w:sz w:val="24"/>
          <w:szCs w:val="24"/>
          <w:color w:val="auto"/>
        </w:rPr>
      </w:pPr>
    </w:p>
    <w:p>
      <w:pPr>
        <w:sectPr>
          <w:pgSz w:w="11900" w:h="16838" w:orient="portrait"/>
          <w:cols w:equalWidth="0" w:num="2">
            <w:col w:w="520" w:space="280"/>
            <w:col w:w="10620"/>
          </w:cols>
          <w:pgMar w:left="240" w:top="229" w:right="239" w:bottom="1440" w:gutter="0" w:footer="0" w:header="0"/>
          <w:type w:val="continuous"/>
        </w:sectPr>
      </w:pPr>
    </w:p>
    <w:p>
      <w:pPr>
        <w:spacing w:after="0" w:line="116" w:lineRule="exact"/>
        <w:rPr>
          <w:sz w:val="24"/>
          <w:szCs w:val="24"/>
          <w:color w:val="auto"/>
        </w:rPr>
      </w:pPr>
    </w:p>
    <w:p>
      <w:pPr>
        <w:ind w:right="320"/>
        <w:spacing w:after="0" w:line="25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2" w:lineRule="exact"/>
        <w:rPr>
          <w:sz w:val="24"/>
          <w:szCs w:val="24"/>
          <w:color w:val="auto"/>
        </w:rPr>
      </w:pPr>
    </w:p>
    <w:p>
      <w:pPr>
        <w:jc w:val="right"/>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351"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408305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type w:val="continuous"/>
        </w:sectPr>
      </w:pPr>
    </w:p>
    <w:bookmarkStart w:id="1" w:name="page2"/>
    <w:bookmarkEnd w:id="1"/>
    <w:p>
      <w:pPr>
        <w:spacing w:after="0"/>
        <w:tabs>
          <w:tab w:leader="none" w:pos="144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registrant hereby furnishes the information set forth in its press release entitled "CompX Reports Second Quarter 2018 Results" that the registrant issued on August 6, 2018, a copy of which is attached hereto as Exhibit 99.1 and incorporated herein by reference.</w:t>
      </w:r>
    </w:p>
    <w:p>
      <w:pPr>
        <w:spacing w:after="0" w:line="197"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The press release the registrant furnishes as Exhibit 99.1 to this current report is not deemed "filed" for purposes of section 18 of the Securities Exchange Act of 1934, as amended, or otherwise subject to the liabilities of that section. Registration statements or other documents filed with the U.S. Securities and Exchange Commission shall not incorporate this information by reference, except as otherwise expressly stated in such filing.</w:t>
      </w:r>
    </w:p>
    <w:p>
      <w:pPr>
        <w:spacing w:after="0" w:line="189" w:lineRule="exact"/>
        <w:rPr>
          <w:sz w:val="20"/>
          <w:szCs w:val="20"/>
          <w:color w:val="auto"/>
        </w:rPr>
      </w:pPr>
    </w:p>
    <w:p>
      <w:pPr>
        <w:spacing w:after="0"/>
        <w:tabs>
          <w:tab w:leader="none" w:pos="200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5"/>
          <w:szCs w:val="15"/>
          <w:b w:val="1"/>
          <w:bCs w:val="1"/>
          <w:color w:val="auto"/>
        </w:rPr>
        <w:t>Regulation FD Disclosures.</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registrant hereby furnishes the information set forth in its press release entitled "CompX Declares Quarterly Dividend" that the registrant also issued on August 6, 2018, a copy of which is attached hereto as Exhibit 99.2 and incorporated herein by reference.</w:t>
      </w:r>
    </w:p>
    <w:p>
      <w:pPr>
        <w:spacing w:after="0" w:line="197"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The press release the registrant furnishes as Exhibit 99.2 to this current report is not deemed "filed" for purposes of section 18 of the Securities Exchange Act of 1934, as amended, or otherwise subject to the liabilities of that section. Registration statements or other documents filed with the U.S. Securities and Exchange Commission shall not incorporate this information by reference, except as otherwise expressly stated in such filing.</w:t>
      </w:r>
    </w:p>
    <w:p>
      <w:pPr>
        <w:spacing w:after="0" w:line="18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56" w:lineRule="exact"/>
        <w:rPr>
          <w:sz w:val="20"/>
          <w:szCs w:val="20"/>
          <w:color w:val="auto"/>
        </w:rPr>
      </w:pPr>
    </w:p>
    <w:p>
      <w:pPr>
        <w:ind w:left="700" w:hanging="692"/>
        <w:spacing w:after="0"/>
        <w:tabs>
          <w:tab w:leader="none" w:pos="700" w:val="left"/>
        </w:tabs>
        <w:numPr>
          <w:ilvl w:val="0"/>
          <w:numId w:val="1"/>
        </w:numPr>
        <w:rPr>
          <w:rFonts w:ascii="Arial" w:cs="Arial" w:eastAsia="Arial" w:hAnsi="Arial"/>
          <w:sz w:val="18"/>
          <w:szCs w:val="18"/>
          <w:color w:val="auto"/>
        </w:rPr>
      </w:pPr>
      <w:r>
        <w:rPr>
          <w:rFonts w:ascii="Arial" w:cs="Arial" w:eastAsia="Arial" w:hAnsi="Arial"/>
          <w:sz w:val="18"/>
          <w:szCs w:val="18"/>
          <w:color w:val="auto"/>
        </w:rPr>
        <w:t>Exhibits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Item No.</w:t>
            </w:r>
          </w:p>
        </w:tc>
        <w:tc>
          <w:tcPr>
            <w:tcW w:w="50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7440" w:type="dxa"/>
            <w:vAlign w:val="bottom"/>
            <w:tcBorders>
              <w:bottom w:val="single" w:sz="8" w:color="auto"/>
            </w:tcBorders>
            <w:gridSpan w:val="2"/>
          </w:tcPr>
          <w:p>
            <w:pPr>
              <w:ind w:left="2920"/>
              <w:spacing w:after="0"/>
              <w:rPr>
                <w:sz w:val="20"/>
                <w:szCs w:val="20"/>
                <w:color w:val="auto"/>
              </w:rPr>
            </w:pPr>
            <w:r>
              <w:rPr>
                <w:rFonts w:ascii="Arial" w:cs="Arial" w:eastAsia="Arial" w:hAnsi="Arial"/>
                <w:sz w:val="18"/>
                <w:szCs w:val="18"/>
                <w:b w:val="1"/>
                <w:bCs w:val="1"/>
                <w:color w:val="auto"/>
              </w:rPr>
              <w:t>Description</w:t>
            </w:r>
          </w:p>
        </w:tc>
      </w:tr>
      <w:tr>
        <w:trPr>
          <w:trHeight w:val="392"/>
        </w:trPr>
        <w:tc>
          <w:tcPr>
            <w:tcW w:w="380" w:type="dxa"/>
            <w:vAlign w:val="bottom"/>
          </w:tcPr>
          <w:p>
            <w:pPr>
              <w:spacing w:after="0"/>
              <w:rPr>
                <w:sz w:val="24"/>
                <w:szCs w:val="24"/>
                <w:color w:val="auto"/>
              </w:rPr>
            </w:pPr>
          </w:p>
        </w:tc>
        <w:tc>
          <w:tcPr>
            <w:tcW w:w="2380" w:type="dxa"/>
            <w:vAlign w:val="bottom"/>
            <w:gridSpan w:val="2"/>
          </w:tcPr>
          <w:p>
            <w:pPr>
              <w:jc w:val="right"/>
              <w:ind w:right="1570"/>
              <w:spacing w:after="0"/>
              <w:rPr>
                <w:sz w:val="20"/>
                <w:szCs w:val="20"/>
                <w:color w:val="auto"/>
              </w:rPr>
            </w:pPr>
            <w:r>
              <w:rPr>
                <w:rFonts w:ascii="Arial" w:cs="Arial" w:eastAsia="Arial" w:hAnsi="Arial"/>
                <w:sz w:val="18"/>
                <w:szCs w:val="18"/>
                <w:color w:val="auto"/>
              </w:rPr>
              <w:t>99.1*</w:t>
            </w:r>
          </w:p>
        </w:tc>
        <w:tc>
          <w:tcPr>
            <w:tcW w:w="500" w:type="dxa"/>
            <w:vAlign w:val="bottom"/>
          </w:tcPr>
          <w:p>
            <w:pPr>
              <w:spacing w:after="0"/>
              <w:rPr>
                <w:sz w:val="24"/>
                <w:szCs w:val="24"/>
                <w:color w:val="auto"/>
              </w:rPr>
            </w:pPr>
          </w:p>
        </w:tc>
        <w:tc>
          <w:tcPr>
            <w:tcW w:w="8160" w:type="dxa"/>
            <w:vAlign w:val="bottom"/>
            <w:tcBorders>
              <w:bottom w:val="single" w:sz="8" w:color="0000EE"/>
            </w:tcBorders>
            <w:gridSpan w:val="3"/>
          </w:tcPr>
          <w:p>
            <w:pPr>
              <w:spacing w:after="0"/>
              <w:rPr>
                <w:rFonts w:ascii="Arial" w:cs="Arial" w:eastAsia="Arial" w:hAnsi="Arial"/>
                <w:sz w:val="18"/>
                <w:szCs w:val="18"/>
                <w:color w:val="0000EE"/>
                <w:w w:val="92"/>
              </w:rPr>
            </w:pPr>
            <w:hyperlink w:anchor="page4">
              <w:r>
                <w:rPr>
                  <w:rFonts w:ascii="Arial" w:cs="Arial" w:eastAsia="Arial" w:hAnsi="Arial"/>
                  <w:sz w:val="18"/>
                  <w:szCs w:val="18"/>
                  <w:color w:val="0000EE"/>
                  <w:w w:val="92"/>
                </w:rPr>
                <w:t>Press release dated August 6, 2018 entitled "CompX Reports Second Quarter 2018 Results" and issued by the</w:t>
              </w:r>
            </w:hyperlink>
          </w:p>
        </w:tc>
      </w:tr>
      <w:tr>
        <w:trPr>
          <w:trHeight w:val="196"/>
        </w:trPr>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160" w:type="dxa"/>
            <w:vAlign w:val="bottom"/>
            <w:gridSpan w:val="3"/>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registrant.</w:t>
              </w:r>
            </w:hyperlink>
          </w:p>
        </w:tc>
      </w:tr>
      <w:tr>
        <w:trPr>
          <w:trHeight w:val="20"/>
        </w:trPr>
        <w:tc>
          <w:tcPr>
            <w:tcW w:w="38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80"/>
        </w:trPr>
        <w:tc>
          <w:tcPr>
            <w:tcW w:w="380" w:type="dxa"/>
            <w:vAlign w:val="bottom"/>
          </w:tcPr>
          <w:p>
            <w:pPr>
              <w:spacing w:after="0"/>
              <w:rPr>
                <w:sz w:val="24"/>
                <w:szCs w:val="24"/>
                <w:color w:val="auto"/>
              </w:rPr>
            </w:pPr>
          </w:p>
        </w:tc>
        <w:tc>
          <w:tcPr>
            <w:tcW w:w="2380" w:type="dxa"/>
            <w:vAlign w:val="bottom"/>
            <w:gridSpan w:val="2"/>
          </w:tcPr>
          <w:p>
            <w:pPr>
              <w:jc w:val="right"/>
              <w:ind w:right="1570"/>
              <w:spacing w:after="0"/>
              <w:rPr>
                <w:sz w:val="20"/>
                <w:szCs w:val="20"/>
                <w:color w:val="auto"/>
              </w:rPr>
            </w:pPr>
            <w:r>
              <w:rPr>
                <w:rFonts w:ascii="Arial" w:cs="Arial" w:eastAsia="Arial" w:hAnsi="Arial"/>
                <w:sz w:val="18"/>
                <w:szCs w:val="18"/>
                <w:color w:val="auto"/>
              </w:rPr>
              <w:t>99.2*</w:t>
            </w:r>
          </w:p>
        </w:tc>
        <w:tc>
          <w:tcPr>
            <w:tcW w:w="500" w:type="dxa"/>
            <w:vAlign w:val="bottom"/>
          </w:tcPr>
          <w:p>
            <w:pPr>
              <w:spacing w:after="0"/>
              <w:rPr>
                <w:sz w:val="24"/>
                <w:szCs w:val="24"/>
                <w:color w:val="auto"/>
              </w:rPr>
            </w:pPr>
          </w:p>
        </w:tc>
        <w:tc>
          <w:tcPr>
            <w:tcW w:w="8160" w:type="dxa"/>
            <w:vAlign w:val="bottom"/>
            <w:gridSpan w:val="3"/>
          </w:tcPr>
          <w:p>
            <w:pPr>
              <w:spacing w:after="0"/>
              <w:rPr>
                <w:rFonts w:ascii="Arial" w:cs="Arial" w:eastAsia="Arial" w:hAnsi="Arial"/>
                <w:sz w:val="18"/>
                <w:szCs w:val="18"/>
                <w:color w:val="0000EE"/>
                <w:w w:val="91"/>
              </w:rPr>
            </w:pPr>
            <w:hyperlink w:anchor="page8">
              <w:r>
                <w:rPr>
                  <w:rFonts w:ascii="Arial" w:cs="Arial" w:eastAsia="Arial" w:hAnsi="Arial"/>
                  <w:sz w:val="18"/>
                  <w:szCs w:val="18"/>
                  <w:color w:val="0000EE"/>
                  <w:w w:val="91"/>
                </w:rPr>
                <w:t>Press release dated August 6, 2018 entitled "CompX Declares Quarterly Dividend" and issued by the registrant.</w:t>
              </w:r>
            </w:hyperlink>
          </w:p>
        </w:tc>
      </w:tr>
      <w:tr>
        <w:trPr>
          <w:trHeight w:val="480"/>
        </w:trPr>
        <w:tc>
          <w:tcPr>
            <w:tcW w:w="3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2380" w:type="dxa"/>
            <w:vAlign w:val="bottom"/>
            <w:gridSpan w:val="2"/>
          </w:tcPr>
          <w:p>
            <w:pPr>
              <w:jc w:val="right"/>
              <w:ind w:right="970"/>
              <w:spacing w:after="0"/>
              <w:rPr>
                <w:sz w:val="20"/>
                <w:szCs w:val="20"/>
                <w:color w:val="auto"/>
              </w:rPr>
            </w:pPr>
            <w:r>
              <w:rPr>
                <w:rFonts w:ascii="Arial" w:cs="Arial" w:eastAsia="Arial" w:hAnsi="Arial"/>
                <w:sz w:val="18"/>
                <w:szCs w:val="18"/>
                <w:color w:val="auto"/>
              </w:rPr>
              <w:t>Filed herewith</w:t>
            </w:r>
          </w:p>
        </w:tc>
        <w:tc>
          <w:tcPr>
            <w:tcW w:w="500" w:type="dxa"/>
            <w:vAlign w:val="bottom"/>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732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r>
      <w:tr>
        <w:trPr>
          <w:trHeight w:val="912"/>
        </w:trPr>
        <w:tc>
          <w:tcPr>
            <w:tcW w:w="3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7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OMP</w:t>
      </w:r>
      <w:r>
        <w:rPr>
          <w:rFonts w:ascii="Arial" w:cs="Arial" w:eastAsia="Arial" w:hAnsi="Arial"/>
          <w:sz w:val="18"/>
          <w:szCs w:val="18"/>
          <w:b w:val="1"/>
          <w:bCs w:val="1"/>
          <w:color w:val="auto"/>
        </w:rPr>
        <w:t>X I</w:t>
      </w:r>
      <w:r>
        <w:rPr>
          <w:rFonts w:ascii="Arial" w:cs="Arial" w:eastAsia="Arial" w:hAnsi="Arial"/>
          <w:sz w:val="12"/>
          <w:szCs w:val="12"/>
          <w:b w:val="1"/>
          <w:bCs w:val="1"/>
          <w:color w:val="auto"/>
        </w:rPr>
        <w:t>NTERNATIONAL</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7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By:</w:t>
            </w:r>
          </w:p>
        </w:tc>
        <w:tc>
          <w:tcPr>
            <w:tcW w:w="536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/s/ Gregory M. Swalwell</w:t>
            </w:r>
          </w:p>
        </w:tc>
      </w:tr>
      <w:tr>
        <w:trPr>
          <w:trHeight w:val="202"/>
        </w:trPr>
        <w:tc>
          <w:tcPr>
            <w:tcW w:w="5700" w:type="dxa"/>
            <w:vAlign w:val="bottom"/>
          </w:tcPr>
          <w:p>
            <w:pPr>
              <w:spacing w:after="0" w:line="201" w:lineRule="exact"/>
              <w:rPr>
                <w:sz w:val="20"/>
                <w:szCs w:val="20"/>
                <w:color w:val="auto"/>
              </w:rPr>
            </w:pPr>
            <w:r>
              <w:rPr>
                <w:rFonts w:ascii="Arial" w:cs="Arial" w:eastAsia="Arial" w:hAnsi="Arial"/>
                <w:sz w:val="18"/>
                <w:szCs w:val="18"/>
                <w:color w:val="auto"/>
              </w:rPr>
              <w:t>Date: August 6, 2018</w:t>
            </w:r>
          </w:p>
        </w:tc>
        <w:tc>
          <w:tcPr>
            <w:tcW w:w="360" w:type="dxa"/>
            <w:vAlign w:val="bottom"/>
          </w:tcPr>
          <w:p>
            <w:pPr>
              <w:spacing w:after="0"/>
              <w:rPr>
                <w:sz w:val="17"/>
                <w:szCs w:val="17"/>
                <w:color w:val="auto"/>
              </w:rPr>
            </w:pPr>
          </w:p>
        </w:tc>
        <w:tc>
          <w:tcPr>
            <w:tcW w:w="5360" w:type="dxa"/>
            <w:vAlign w:val="bottom"/>
          </w:tcPr>
          <w:p>
            <w:pPr>
              <w:ind w:left="100"/>
              <w:spacing w:after="0" w:line="201" w:lineRule="exact"/>
              <w:rPr>
                <w:sz w:val="20"/>
                <w:szCs w:val="20"/>
                <w:color w:val="auto"/>
              </w:rPr>
            </w:pPr>
            <w:r>
              <w:rPr>
                <w:rFonts w:ascii="Arial" w:cs="Arial" w:eastAsia="Arial" w:hAnsi="Arial"/>
                <w:sz w:val="18"/>
                <w:szCs w:val="18"/>
                <w:i w:val="1"/>
                <w:iCs w:val="1"/>
                <w:color w:val="auto"/>
              </w:rPr>
              <w:t>Gregory M. Swalwell</w:t>
            </w:r>
          </w:p>
        </w:tc>
      </w:tr>
      <w:tr>
        <w:trPr>
          <w:trHeight w:val="230"/>
        </w:trPr>
        <w:tc>
          <w:tcPr>
            <w:tcW w:w="5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360" w:type="dxa"/>
            <w:vAlign w:val="bottom"/>
          </w:tcPr>
          <w:p>
            <w:pPr>
              <w:ind w:left="100"/>
              <w:spacing w:after="0"/>
              <w:rPr>
                <w:sz w:val="20"/>
                <w:szCs w:val="20"/>
                <w:color w:val="auto"/>
              </w:rPr>
            </w:pPr>
            <w:r>
              <w:rPr>
                <w:rFonts w:ascii="Arial" w:cs="Arial" w:eastAsia="Arial" w:hAnsi="Arial"/>
                <w:sz w:val="18"/>
                <w:szCs w:val="18"/>
                <w:i w:val="1"/>
                <w:iCs w:val="1"/>
                <w:color w:val="auto"/>
              </w:rPr>
              <w:t>Executive Vice President</w:t>
            </w:r>
          </w:p>
        </w:tc>
      </w:tr>
    </w:tbl>
    <w:p>
      <w:pPr>
        <w:sectPr>
          <w:pgSz w:w="11900" w:h="16838" w:orient="portrait"/>
          <w:cols w:equalWidth="0" w:num="1">
            <w:col w:w="11420"/>
          </w:cols>
          <w:pgMar w:left="240" w:top="607" w:right="2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852295" cy="514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852295" cy="51435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30"/>
          <w:szCs w:val="30"/>
          <w:b w:val="1"/>
          <w:bCs w:val="1"/>
          <w:color w:val="auto"/>
        </w:rPr>
        <w:t>PRESS RELEASE</w:t>
      </w:r>
    </w:p>
    <w:p>
      <w:pPr>
        <w:sectPr>
          <w:pgSz w:w="11900" w:h="16838" w:orient="portrait"/>
          <w:cols w:equalWidth="0" w:num="1">
            <w:col w:w="11420"/>
          </w:cols>
          <w:pgMar w:left="240" w:top="1440"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FOR IMMEDIATE RELEASE: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CONTACT:</w:t>
      </w:r>
    </w:p>
    <w:p>
      <w:pPr>
        <w:spacing w:after="0" w:line="211" w:lineRule="exact"/>
        <w:rPr>
          <w:sz w:val="20"/>
          <w:szCs w:val="20"/>
          <w:color w:val="auto"/>
        </w:rPr>
      </w:pPr>
    </w:p>
    <w:p>
      <w:pPr>
        <w:sectPr>
          <w:pgSz w:w="11900" w:h="16838" w:orient="portrait"/>
          <w:cols w:equalWidth="0" w:num="2">
            <w:col w:w="5000" w:space="720"/>
            <w:col w:w="5700"/>
          </w:cols>
          <w:pgMar w:left="240" w:top="1440" w:right="239" w:bottom="0" w:gutter="0" w:footer="0" w:header="0"/>
          <w:type w:val="continuous"/>
        </w:sectPr>
      </w:pP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CompX International Inc.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5430 LBJ Freeway, Suite 1700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Dallas, Texas 75240</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Janet G. Keckeisen</w:t>
      </w:r>
    </w:p>
    <w:p>
      <w:pPr>
        <w:spacing w:after="0" w:line="58" w:lineRule="exact"/>
        <w:rPr>
          <w:sz w:val="20"/>
          <w:szCs w:val="20"/>
          <w:color w:val="auto"/>
        </w:rPr>
      </w:pPr>
    </w:p>
    <w:p>
      <w:pPr>
        <w:spacing w:after="0"/>
        <w:rPr>
          <w:sz w:val="20"/>
          <w:szCs w:val="20"/>
          <w:color w:val="auto"/>
        </w:rPr>
      </w:pPr>
      <w:r>
        <w:rPr>
          <w:rFonts w:ascii="Arial" w:cs="Arial" w:eastAsia="Arial" w:hAnsi="Arial"/>
          <w:sz w:val="17"/>
          <w:szCs w:val="17"/>
          <w:color w:val="auto"/>
        </w:rPr>
        <w:t>Investor Relations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Tel. 972-233-1700</w:t>
      </w:r>
    </w:p>
    <w:p>
      <w:pPr>
        <w:spacing w:after="0" w:line="222" w:lineRule="exact"/>
        <w:rPr>
          <w:sz w:val="20"/>
          <w:szCs w:val="20"/>
          <w:color w:val="auto"/>
        </w:rPr>
      </w:pPr>
    </w:p>
    <w:p>
      <w:pPr>
        <w:sectPr>
          <w:pgSz w:w="11900" w:h="16838" w:orient="portrait"/>
          <w:cols w:equalWidth="0" w:num="2">
            <w:col w:w="5000" w:space="720"/>
            <w:col w:w="5700"/>
          </w:cols>
          <w:pgMar w:left="240" w:top="1440" w:right="239" w:bottom="0" w:gutter="0" w:footer="0" w:header="0"/>
          <w:type w:val="continuous"/>
        </w:sect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COMPX REPORTS SECOND QUARTER 2018 RESULTS</w:t>
      </w:r>
    </w:p>
    <w:p>
      <w:pPr>
        <w:spacing w:after="0" w:line="2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DALLAS, TEXAS …August 6, 2018 … CompX International Inc. (NYSE American: CIX) announced today sales of $32.4 million for the second quarter of 2018 compared to $30.0 million in the same period of 2017. Operating income was $6.0 million in the second quarter of 2018 compared to $4.6 million in the same period in 2017. Net income for the second quarter of 2018 was $5.0 million, or $0.40 per diluted share, compared to $3.3 million, or $0.27 per diluted share, in the second quarter of 2017.</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six months ended June 30, 2018, sales were $60.8 million compared to $60.0 million in the previous year. Operating income was $10.3 million for the first six months of 2018 compared to $9.1 million for 2017. Net income for the six months ended June 30, 2018 was $8.7 million or $0.70 per diluted share, compared to $6.4 million, or $0.52 per diluted share, in 2017.</w:t>
      </w:r>
    </w:p>
    <w:p>
      <w:pPr>
        <w:spacing w:after="0" w:line="20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Second quarter 2018 net sales increased over the comparable 2017 period primarily due to higher sales of security products across the majority of our markets and continued strong growth in sales of marine components to various marine and industrial markets. Net sales increased for the first six months of 2018 compared to the same period in 2017 due to higher Marine Components sales volumes, partially offset by lower Security Products sales volumes to existing government security customers. Operating income increased for both comparative periods principally as a result of favorable changes in customer and product mix in Security Products and improved manufacturing efficiencies facilitated by increased production volumes and cost reductions in each of our business segments.</w:t>
      </w:r>
    </w:p>
    <w:p>
      <w:pPr>
        <w:spacing w:after="0" w:line="220"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CompX is a leading manufacturer of security products and recreational marine components. It operates from four locations in the U.S. and employs approximately 500 people.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statements in this press release relating to matters that are not historical facts are forward-looking statements that represent management's belief and assumptions based on currently available information. Although CompX believes the expectations reflected in such forward-looking statements are reasonable, it cannot give any assurances that these expectations will be correct. Such statements, by their nature, involve substantial risks and uncertainties that could significantly impact expected results, and actual future results could differ materially from those predicted. While it is not possible to identify all factors, CompX continues to face many risks and uncertainties. The factors that could cause our actual future results to differ materially include, but are not limited to, the following:</w:t>
      </w:r>
    </w:p>
    <w:p>
      <w:pPr>
        <w:spacing w:after="0" w:line="200" w:lineRule="exact"/>
        <w:rPr>
          <w:sz w:val="20"/>
          <w:szCs w:val="20"/>
          <w:color w:val="auto"/>
        </w:rPr>
      </w:pPr>
    </w:p>
    <w:p>
      <w:pPr>
        <w:spacing w:after="0" w:line="236" w:lineRule="exact"/>
        <w:rPr>
          <w:sz w:val="20"/>
          <w:szCs w:val="20"/>
          <w:color w:val="auto"/>
        </w:rPr>
      </w:pPr>
    </w:p>
    <w:p>
      <w:pPr>
        <w:ind w:left="880" w:hanging="431"/>
        <w:spacing w:after="0"/>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Future demand for our products,</w:t>
      </w:r>
    </w:p>
    <w:p>
      <w:pPr>
        <w:spacing w:after="0" w:line="225" w:lineRule="exact"/>
        <w:rPr>
          <w:rFonts w:ascii="Arial" w:cs="Arial" w:eastAsia="Arial" w:hAnsi="Arial"/>
          <w:sz w:val="18"/>
          <w:szCs w:val="18"/>
          <w:color w:val="auto"/>
        </w:rPr>
      </w:pPr>
    </w:p>
    <w:p>
      <w:pPr>
        <w:ind w:left="880" w:hanging="431"/>
        <w:spacing w:after="0" w:line="277" w:lineRule="auto"/>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our raw material and other operating costs (such as zinc, brass, aluminum, steel and energy costs) and our ability to pass those costs on to our customers or offset them with reductions in other operating costs,</w:t>
      </w:r>
    </w:p>
    <w:p>
      <w:pPr>
        <w:spacing w:after="0" w:line="170" w:lineRule="exact"/>
        <w:rPr>
          <w:rFonts w:ascii="Arial" w:cs="Arial" w:eastAsia="Arial" w:hAnsi="Arial"/>
          <w:sz w:val="18"/>
          <w:szCs w:val="18"/>
          <w:color w:val="auto"/>
        </w:rPr>
      </w:pPr>
    </w:p>
    <w:p>
      <w:pPr>
        <w:ind w:left="880" w:hanging="431"/>
        <w:spacing w:after="0"/>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Price and product competition from low-cost manufacturing sources (such as China),</w:t>
      </w:r>
    </w:p>
    <w:p>
      <w:pPr>
        <w:spacing w:after="0" w:line="225" w:lineRule="exact"/>
        <w:rPr>
          <w:rFonts w:ascii="Arial" w:cs="Arial" w:eastAsia="Arial" w:hAnsi="Arial"/>
          <w:sz w:val="18"/>
          <w:szCs w:val="18"/>
          <w:color w:val="auto"/>
        </w:rPr>
      </w:pPr>
    </w:p>
    <w:p>
      <w:pPr>
        <w:ind w:left="880" w:hanging="431"/>
        <w:spacing w:after="0"/>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impact of pricing and production decisions,</w:t>
      </w:r>
    </w:p>
    <w:p>
      <w:pPr>
        <w:spacing w:after="0" w:line="225" w:lineRule="exact"/>
        <w:rPr>
          <w:rFonts w:ascii="Arial" w:cs="Arial" w:eastAsia="Arial" w:hAnsi="Arial"/>
          <w:sz w:val="18"/>
          <w:szCs w:val="18"/>
          <w:color w:val="auto"/>
        </w:rPr>
      </w:pPr>
    </w:p>
    <w:p>
      <w:pPr>
        <w:ind w:left="880" w:hanging="431"/>
        <w:spacing w:after="0"/>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Customer and competitor strategies including substitute products,</w:t>
      </w:r>
    </w:p>
    <w:p>
      <w:pPr>
        <w:spacing w:after="0" w:line="225" w:lineRule="exact"/>
        <w:rPr>
          <w:rFonts w:ascii="Arial" w:cs="Arial" w:eastAsia="Arial" w:hAnsi="Arial"/>
          <w:sz w:val="18"/>
          <w:szCs w:val="18"/>
          <w:color w:val="auto"/>
        </w:rPr>
      </w:pPr>
    </w:p>
    <w:p>
      <w:pPr>
        <w:ind w:left="880" w:hanging="431"/>
        <w:spacing w:after="0"/>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Uncertainties associated with the development of new product features,</w:t>
      </w:r>
    </w:p>
    <w:p>
      <w:pPr>
        <w:spacing w:after="0" w:line="225" w:lineRule="exact"/>
        <w:rPr>
          <w:rFonts w:ascii="Arial" w:cs="Arial" w:eastAsia="Arial" w:hAnsi="Arial"/>
          <w:sz w:val="18"/>
          <w:szCs w:val="18"/>
          <w:color w:val="auto"/>
        </w:rPr>
      </w:pPr>
    </w:p>
    <w:p>
      <w:pPr>
        <w:ind w:left="880" w:hanging="431"/>
        <w:spacing w:after="0"/>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Future litigation,</w:t>
      </w:r>
    </w:p>
    <w:p>
      <w:pPr>
        <w:spacing w:after="0" w:line="225" w:lineRule="exact"/>
        <w:rPr>
          <w:rFonts w:ascii="Arial" w:cs="Arial" w:eastAsia="Arial" w:hAnsi="Arial"/>
          <w:sz w:val="18"/>
          <w:szCs w:val="18"/>
          <w:color w:val="auto"/>
        </w:rPr>
      </w:pPr>
    </w:p>
    <w:p>
      <w:pPr>
        <w:ind w:left="880" w:hanging="431"/>
        <w:spacing w:after="0"/>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Potential difficulties in integrating future acquisitions,</w:t>
      </w:r>
    </w:p>
    <w:p>
      <w:pPr>
        <w:spacing w:after="0" w:line="225" w:lineRule="exact"/>
        <w:rPr>
          <w:rFonts w:ascii="Arial" w:cs="Arial" w:eastAsia="Arial" w:hAnsi="Arial"/>
          <w:sz w:val="18"/>
          <w:szCs w:val="18"/>
          <w:color w:val="auto"/>
        </w:rPr>
      </w:pPr>
    </w:p>
    <w:p>
      <w:pPr>
        <w:ind w:left="880" w:hanging="431"/>
        <w:spacing w:after="0"/>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Decisions to sell operating assets other than in the ordinary course of business,</w:t>
      </w:r>
    </w:p>
    <w:p>
      <w:pPr>
        <w:spacing w:after="0" w:line="225" w:lineRule="exact"/>
        <w:rPr>
          <w:rFonts w:ascii="Arial" w:cs="Arial" w:eastAsia="Arial" w:hAnsi="Arial"/>
          <w:sz w:val="18"/>
          <w:szCs w:val="18"/>
          <w:color w:val="auto"/>
        </w:rPr>
      </w:pPr>
    </w:p>
    <w:p>
      <w:pPr>
        <w:ind w:left="880" w:hanging="431"/>
        <w:spacing w:after="0"/>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Environmental matters (such as those requiring emission and discharge standards for existing and new facilities),</w:t>
      </w:r>
    </w:p>
    <w:p>
      <w:pPr>
        <w:sectPr>
          <w:pgSz w:w="11900" w:h="16838" w:orient="portrait"/>
          <w:cols w:equalWidth="0" w:num="1">
            <w:col w:w="11420"/>
          </w:cols>
          <w:pgMar w:left="240" w:top="1440" w:right="239" w:bottom="0" w:gutter="0" w:footer="0" w:header="0"/>
          <w:type w:val="continuous"/>
        </w:sectPr>
      </w:pPr>
    </w:p>
    <w:bookmarkStart w:id="4" w:name="page5"/>
    <w:bookmarkEnd w:id="4"/>
    <w:p>
      <w:pPr>
        <w:ind w:left="880" w:hanging="431"/>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ultimate outcome of income tax audits, tax settlement initiatives or other tax matters, including tax reform,</w:t>
      </w:r>
    </w:p>
    <w:p>
      <w:pPr>
        <w:spacing w:after="0" w:line="225" w:lineRule="exact"/>
        <w:rPr>
          <w:rFonts w:ascii="Arial" w:cs="Arial" w:eastAsia="Arial" w:hAnsi="Arial"/>
          <w:sz w:val="18"/>
          <w:szCs w:val="18"/>
          <w:color w:val="auto"/>
        </w:rPr>
      </w:pPr>
    </w:p>
    <w:p>
      <w:pPr>
        <w:ind w:left="880" w:hanging="431"/>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current or future government regulations (including employee healthcare benefit related regulations),</w:t>
      </w:r>
    </w:p>
    <w:p>
      <w:pPr>
        <w:spacing w:after="0" w:line="225" w:lineRule="exact"/>
        <w:rPr>
          <w:rFonts w:ascii="Arial" w:cs="Arial" w:eastAsia="Arial" w:hAnsi="Arial"/>
          <w:sz w:val="18"/>
          <w:szCs w:val="18"/>
          <w:color w:val="auto"/>
        </w:rPr>
      </w:pPr>
    </w:p>
    <w:p>
      <w:pPr>
        <w:ind w:left="880" w:hanging="431"/>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General global economic and political conditions that introduce instability into the U.S. economy (such as changes in the level of gross domestic product in various regions of the world),</w:t>
      </w:r>
    </w:p>
    <w:p>
      <w:pPr>
        <w:spacing w:after="0" w:line="170" w:lineRule="exact"/>
        <w:rPr>
          <w:rFonts w:ascii="Arial" w:cs="Arial" w:eastAsia="Arial" w:hAnsi="Arial"/>
          <w:sz w:val="18"/>
          <w:szCs w:val="18"/>
          <w:color w:val="auto"/>
        </w:rPr>
      </w:pPr>
    </w:p>
    <w:p>
      <w:pPr>
        <w:ind w:left="880" w:hanging="431"/>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Operating interruptions (including, but not limited to labor disputes, hazardous chemical leaks, natural disasters, fires, explosions, unscheduled or unplanned downtime, transportation interruptions and cyber attacks); and</w:t>
      </w:r>
    </w:p>
    <w:p>
      <w:pPr>
        <w:spacing w:after="0" w:line="170" w:lineRule="exact"/>
        <w:rPr>
          <w:rFonts w:ascii="Arial" w:cs="Arial" w:eastAsia="Arial" w:hAnsi="Arial"/>
          <w:sz w:val="18"/>
          <w:szCs w:val="18"/>
          <w:color w:val="auto"/>
        </w:rPr>
      </w:pPr>
    </w:p>
    <w:p>
      <w:pPr>
        <w:ind w:left="880" w:hanging="431"/>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disruption of our business or increases in the cost of doing business resulting from terrorist activities or global conflicts.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Should one or more of these risks materialize (or the consequences of such development worsen), or should the underlying assumptions prove incorrect, actual results could differ materially from those currently forecasted or expected. CompX disclaims any intention or obligation to update or revise any forward-looking statement whether as a result of changes in information, future events or otherwise.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25"/>
          <w:szCs w:val="25"/>
          <w:b w:val="1"/>
          <w:bCs w:val="1"/>
          <w:color w:val="auto"/>
        </w:rPr>
        <w:t>COMPX INTERNATIONAL INC.</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OF CONSOLIDATED OPERATIONS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180" w:type="dxa"/>
            <w:vAlign w:val="bottom"/>
            <w:gridSpan w:val="4"/>
          </w:tcPr>
          <w:p>
            <w:pPr>
              <w:jc w:val="right"/>
              <w:ind w:right="57"/>
              <w:spacing w:after="0"/>
              <w:rPr>
                <w:sz w:val="20"/>
                <w:szCs w:val="20"/>
                <w:color w:val="auto"/>
              </w:rPr>
            </w:pPr>
            <w:r>
              <w:rPr>
                <w:rFonts w:ascii="Arial" w:cs="Arial" w:eastAsia="Arial" w:hAnsi="Arial"/>
                <w:sz w:val="18"/>
                <w:szCs w:val="18"/>
                <w:b w:val="1"/>
                <w:bCs w:val="1"/>
                <w:color w:val="auto"/>
              </w:rPr>
              <w:t>Three months ended</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6"/>
          </w:tcPr>
          <w:p>
            <w:pPr>
              <w:ind w:left="32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ind w:right="577"/>
              <w:spacing w:after="0"/>
              <w:rPr>
                <w:sz w:val="20"/>
                <w:szCs w:val="20"/>
                <w:color w:val="auto"/>
              </w:rPr>
            </w:pPr>
            <w:r>
              <w:rPr>
                <w:rFonts w:ascii="Arial" w:cs="Arial" w:eastAsia="Arial" w:hAnsi="Arial"/>
                <w:sz w:val="18"/>
                <w:szCs w:val="18"/>
                <w:b w:val="1"/>
                <w:bCs w:val="1"/>
                <w:color w:val="auto"/>
                <w:w w:val="97"/>
              </w:rPr>
              <w:t>June 30,</w:t>
            </w:r>
          </w:p>
        </w:tc>
        <w:tc>
          <w:tcPr>
            <w:tcW w:w="3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4"/>
          </w:tcPr>
          <w:p>
            <w:pPr>
              <w:jc w:val="right"/>
              <w:ind w:right="45"/>
              <w:spacing w:after="0"/>
              <w:rPr>
                <w:sz w:val="20"/>
                <w:szCs w:val="20"/>
                <w:color w:val="auto"/>
              </w:rPr>
            </w:pPr>
            <w:r>
              <w:rPr>
                <w:rFonts w:ascii="Arial" w:cs="Arial" w:eastAsia="Arial" w:hAnsi="Arial"/>
                <w:sz w:val="18"/>
                <w:szCs w:val="18"/>
                <w:b w:val="1"/>
                <w:bCs w:val="1"/>
                <w:color w:val="auto"/>
              </w:rPr>
              <w:t>June 30,</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3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36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0" w:type="dxa"/>
            <w:vAlign w:val="bottom"/>
            <w:vMerge w:val="restart"/>
          </w:tcPr>
          <w:p>
            <w:pPr>
              <w:spacing w:after="0"/>
              <w:rPr>
                <w:sz w:val="24"/>
                <w:szCs w:val="24"/>
                <w:color w:val="auto"/>
              </w:rPr>
            </w:pPr>
          </w:p>
        </w:tc>
        <w:tc>
          <w:tcPr>
            <w:tcW w:w="4580" w:type="dxa"/>
            <w:vAlign w:val="bottom"/>
          </w:tcPr>
          <w:p>
            <w:pPr>
              <w:spacing w:after="0"/>
              <w:rPr>
                <w:sz w:val="24"/>
                <w:szCs w:val="24"/>
                <w:color w:val="auto"/>
              </w:rPr>
            </w:pPr>
          </w:p>
        </w:tc>
        <w:tc>
          <w:tcPr>
            <w:tcW w:w="2280" w:type="dxa"/>
            <w:vAlign w:val="bottom"/>
            <w:gridSpan w:val="2"/>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gridSpan w:val="2"/>
          </w:tcPr>
          <w:p>
            <w:pPr>
              <w:spacing w:after="0"/>
              <w:rPr>
                <w:sz w:val="24"/>
                <w:szCs w:val="24"/>
                <w:color w:val="auto"/>
              </w:rPr>
            </w:pPr>
          </w:p>
        </w:tc>
        <w:tc>
          <w:tcPr>
            <w:tcW w:w="560" w:type="dxa"/>
            <w:vAlign w:val="bottom"/>
            <w:gridSpan w:val="2"/>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gridSpan w:val="2"/>
          </w:tcPr>
          <w:p>
            <w:pPr>
              <w:spacing w:after="0"/>
              <w:rPr>
                <w:sz w:val="24"/>
                <w:szCs w:val="24"/>
                <w:color w:val="auto"/>
              </w:rPr>
            </w:pPr>
          </w:p>
        </w:tc>
        <w:tc>
          <w:tcPr>
            <w:tcW w:w="380" w:type="dxa"/>
            <w:vAlign w:val="bottom"/>
            <w:gridSpan w:val="2"/>
          </w:tcPr>
          <w:p>
            <w:pPr>
              <w:spacing w:after="0"/>
              <w:rPr>
                <w:sz w:val="24"/>
                <w:szCs w:val="24"/>
                <w:color w:val="auto"/>
              </w:rPr>
            </w:pPr>
          </w:p>
        </w:tc>
        <w:tc>
          <w:tcPr>
            <w:tcW w:w="9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280" w:type="dxa"/>
            <w:vAlign w:val="bottom"/>
            <w:gridSpan w:val="2"/>
            <w:shd w:val="clear" w:color="auto" w:fill="CCEEFF"/>
          </w:tcPr>
          <w:p>
            <w:pPr>
              <w:jc w:val="right"/>
              <w:ind w:right="635"/>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30.0</w:t>
            </w:r>
          </w:p>
        </w:tc>
        <w:tc>
          <w:tcPr>
            <w:tcW w:w="1020" w:type="dxa"/>
            <w:vAlign w:val="bottom"/>
            <w:gridSpan w:val="2"/>
            <w:shd w:val="clear" w:color="auto" w:fill="CCEEFF"/>
          </w:tcPr>
          <w:p>
            <w:pPr>
              <w:jc w:val="right"/>
              <w:ind w:right="617"/>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6"/>
              </w:rPr>
              <w:t>32.4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w:t>
            </w:r>
          </w:p>
        </w:tc>
        <w:tc>
          <w:tcPr>
            <w:tcW w:w="3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Cost of goods sold</w:t>
            </w:r>
          </w:p>
        </w:tc>
        <w:tc>
          <w:tcPr>
            <w:tcW w:w="14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6"/>
              </w:rPr>
              <w:t>20.5</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w w:val="96"/>
              </w:rPr>
              <w:t>21.2</w:t>
            </w: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40.8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48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4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11.2</w:t>
            </w: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Selling, general and administrative expense</w:t>
            </w:r>
          </w:p>
        </w:tc>
        <w:tc>
          <w:tcPr>
            <w:tcW w:w="14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4.9</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5.2</w:t>
            </w: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48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4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Interest income</w:t>
            </w:r>
          </w:p>
        </w:tc>
        <w:tc>
          <w:tcPr>
            <w:tcW w:w="14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0.5</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0.6</w:t>
            </w: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taxes</w:t>
            </w:r>
          </w:p>
        </w:tc>
        <w:tc>
          <w:tcPr>
            <w:tcW w:w="148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4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4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4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top w:val="single" w:sz="8" w:color="auto"/>
              <w:bottom w:val="single" w:sz="8" w:color="auto"/>
            </w:tcBorders>
            <w:shd w:val="clear" w:color="auto" w:fill="CCEEFF"/>
          </w:tcPr>
          <w:p>
            <w:pPr>
              <w:jc w:val="right"/>
              <w:ind w:right="635"/>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top w:val="single" w:sz="8" w:color="auto"/>
              <w:bottom w:val="single" w:sz="8" w:color="auto"/>
            </w:tcBorders>
            <w:shd w:val="clear" w:color="auto" w:fill="CCEEFF"/>
          </w:tcPr>
          <w:p>
            <w:pPr>
              <w:jc w:val="right"/>
              <w:ind w:right="617"/>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600" w:type="dxa"/>
            <w:vAlign w:val="bottom"/>
            <w:gridSpan w:val="2"/>
          </w:tcPr>
          <w:p>
            <w:pPr>
              <w:spacing w:after="0"/>
              <w:rPr>
                <w:sz w:val="18"/>
                <w:szCs w:val="18"/>
                <w:color w:val="auto"/>
              </w:rPr>
            </w:pPr>
          </w:p>
        </w:tc>
        <w:tc>
          <w:tcPr>
            <w:tcW w:w="1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Basic and diluted net income</w:t>
            </w:r>
          </w:p>
        </w:tc>
        <w:tc>
          <w:tcPr>
            <w:tcW w:w="1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per common share</w:t>
            </w:r>
          </w:p>
        </w:tc>
        <w:tc>
          <w:tcPr>
            <w:tcW w:w="2280" w:type="dxa"/>
            <w:vAlign w:val="bottom"/>
            <w:gridSpan w:val="2"/>
            <w:shd w:val="clear" w:color="auto" w:fill="CCEEFF"/>
          </w:tcPr>
          <w:p>
            <w:pPr>
              <w:jc w:val="right"/>
              <w:ind w:right="635"/>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0.27</w:t>
            </w:r>
          </w:p>
        </w:tc>
        <w:tc>
          <w:tcPr>
            <w:tcW w:w="1020" w:type="dxa"/>
            <w:vAlign w:val="bottom"/>
            <w:gridSpan w:val="2"/>
            <w:shd w:val="clear" w:color="auto" w:fill="CCEEFF"/>
          </w:tcPr>
          <w:p>
            <w:pPr>
              <w:jc w:val="right"/>
              <w:ind w:right="617"/>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6"/>
              </w:rPr>
              <w:t>0.40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0.52</w:t>
            </w:r>
          </w:p>
        </w:tc>
        <w:tc>
          <w:tcPr>
            <w:tcW w:w="3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8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diluted common</w:t>
            </w:r>
          </w:p>
        </w:tc>
        <w:tc>
          <w:tcPr>
            <w:tcW w:w="14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120"/>
              <w:spacing w:after="0"/>
              <w:rPr>
                <w:sz w:val="20"/>
                <w:szCs w:val="20"/>
                <w:color w:val="auto"/>
              </w:rPr>
            </w:pPr>
            <w:r>
              <w:rPr>
                <w:rFonts w:ascii="Arial" w:cs="Arial" w:eastAsia="Arial" w:hAnsi="Arial"/>
                <w:sz w:val="18"/>
                <w:szCs w:val="18"/>
                <w:color w:val="auto"/>
              </w:rPr>
              <w:t>shares outstanding</w:t>
            </w:r>
          </w:p>
        </w:tc>
        <w:tc>
          <w:tcPr>
            <w:tcW w:w="1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6"/>
              </w:rPr>
              <w:t>12.4</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w w:val="96"/>
              </w:rPr>
              <w:t>12.4</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25"/>
          <w:szCs w:val="25"/>
          <w:b w:val="1"/>
          <w:bCs w:val="1"/>
          <w:color w:val="auto"/>
        </w:rPr>
        <w:t>COMPX INTERNATIONAL INC.</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24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2"/>
              </w:rPr>
              <w:t>December 31,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June 30,</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Assets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(Unaudited)</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8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80"/>
              <w:spacing w:after="0"/>
              <w:rPr>
                <w:sz w:val="20"/>
                <w:szCs w:val="20"/>
                <w:color w:val="auto"/>
              </w:rPr>
            </w:pPr>
            <w:r>
              <w:rPr>
                <w:rFonts w:ascii="Arial" w:cs="Arial" w:eastAsia="Arial" w:hAnsi="Arial"/>
                <w:sz w:val="18"/>
                <w:szCs w:val="18"/>
                <w:color w:val="auto"/>
              </w:rPr>
              <w:t>Cash and equivalents</w:t>
            </w:r>
          </w:p>
        </w:tc>
        <w:tc>
          <w:tcPr>
            <w:tcW w:w="240" w:type="dxa"/>
            <w:vAlign w:val="bottom"/>
            <w:shd w:val="clear" w:color="auto" w:fill="CCEEFF"/>
          </w:tcPr>
          <w:p>
            <w:pPr>
              <w:jc w:val="right"/>
              <w:ind w:right="82"/>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60"/>
              <w:spacing w:after="0"/>
              <w:rPr>
                <w:sz w:val="20"/>
                <w:szCs w:val="20"/>
                <w:color w:val="auto"/>
              </w:rPr>
            </w:pPr>
            <w:r>
              <w:rPr>
                <w:rFonts w:ascii="Arial" w:cs="Arial" w:eastAsia="Arial" w:hAnsi="Arial"/>
                <w:sz w:val="18"/>
                <w:szCs w:val="18"/>
                <w:color w:val="auto"/>
              </w:rPr>
              <w:t>Accounts receivable, net</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Inventories, net</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80"/>
              <w:spacing w:after="0"/>
              <w:rPr>
                <w:sz w:val="20"/>
                <w:szCs w:val="20"/>
                <w:color w:val="auto"/>
              </w:rPr>
            </w:pPr>
            <w:r>
              <w:rPr>
                <w:rFonts w:ascii="Arial" w:cs="Arial" w:eastAsia="Arial" w:hAnsi="Arial"/>
                <w:sz w:val="18"/>
                <w:szCs w:val="18"/>
                <w:color w:val="auto"/>
              </w:rPr>
              <w:t>Prepaid expenses and other</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current assets</w:t>
            </w: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Note receivable from affiliate</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23.7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Net property and equipment</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Other noncurrent</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Total assets</w:t>
            </w:r>
          </w:p>
        </w:tc>
        <w:tc>
          <w:tcPr>
            <w:tcW w:w="240" w:type="dxa"/>
            <w:vAlign w:val="bottom"/>
          </w:tcPr>
          <w:p>
            <w:pPr>
              <w:jc w:val="right"/>
              <w:ind w:right="82"/>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151.0</w:t>
            </w:r>
          </w:p>
        </w:tc>
        <w:tc>
          <w:tcPr>
            <w:tcW w:w="10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158.5</w:t>
            </w:r>
          </w:p>
        </w:tc>
        <w:tc>
          <w:tcPr>
            <w:tcW w:w="0" w:type="dxa"/>
            <w:vAlign w:val="bottom"/>
          </w:tcPr>
          <w:p>
            <w:pPr>
              <w:spacing w:after="0"/>
              <w:rPr>
                <w:sz w:val="1"/>
                <w:szCs w:val="1"/>
                <w:color w:val="auto"/>
              </w:rPr>
            </w:pPr>
          </w:p>
        </w:tc>
      </w:tr>
      <w:tr>
        <w:trPr>
          <w:trHeight w:val="21"/>
        </w:trPr>
        <w:tc>
          <w:tcPr>
            <w:tcW w:w="8820" w:type="dxa"/>
            <w:vAlign w:val="bottom"/>
            <w:gridSpan w:val="2"/>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60"/>
              <w:spacing w:after="0"/>
              <w:rPr>
                <w:sz w:val="20"/>
                <w:szCs w:val="20"/>
                <w:color w:val="auto"/>
              </w:rPr>
            </w:pPr>
            <w:r>
              <w:rPr>
                <w:rFonts w:ascii="Arial" w:cs="Arial" w:eastAsia="Arial" w:hAnsi="Arial"/>
                <w:sz w:val="18"/>
                <w:szCs w:val="18"/>
                <w:color w:val="auto"/>
              </w:rPr>
              <w:t>Accounts payable and accrued liabilities</w:t>
            </w:r>
          </w:p>
        </w:tc>
        <w:tc>
          <w:tcPr>
            <w:tcW w:w="240" w:type="dxa"/>
            <w:vAlign w:val="bottom"/>
            <w:shd w:val="clear" w:color="auto" w:fill="CCEEFF"/>
          </w:tcPr>
          <w:p>
            <w:pPr>
              <w:jc w:val="right"/>
              <w:ind w:right="82"/>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80"/>
              <w:spacing w:after="0"/>
              <w:rPr>
                <w:sz w:val="20"/>
                <w:szCs w:val="20"/>
                <w:color w:val="auto"/>
              </w:rPr>
            </w:pPr>
            <w:r>
              <w:rPr>
                <w:rFonts w:ascii="Arial" w:cs="Arial" w:eastAsia="Arial" w:hAnsi="Arial"/>
                <w:sz w:val="18"/>
                <w:szCs w:val="18"/>
                <w:color w:val="auto"/>
              </w:rPr>
              <w:t>Income taxes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Stockholders' equity</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tcPr>
          <w:p>
            <w:pPr>
              <w:jc w:val="right"/>
              <w:ind w:right="82"/>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151.0</w:t>
            </w:r>
          </w:p>
        </w:tc>
        <w:tc>
          <w:tcPr>
            <w:tcW w:w="10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158.5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- 4 -</w:t>
      </w:r>
    </w:p>
    <w:p>
      <w:pPr>
        <w:sectPr>
          <w:pgSz w:w="11900" w:h="16838" w:orient="portrait"/>
          <w:cols w:equalWidth="0" w:num="1">
            <w:col w:w="11420"/>
          </w:cols>
          <w:pgMar w:left="240" w:top="360"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421"/>
        </w:trPr>
        <w:tc>
          <w:tcPr>
            <w:tcW w:w="3320" w:type="dxa"/>
            <w:vAlign w:val="bottom"/>
          </w:tcPr>
          <w:p>
            <w:pPr>
              <w:spacing w:after="0"/>
              <w:rPr>
                <w:sz w:val="24"/>
                <w:szCs w:val="24"/>
                <w:color w:val="auto"/>
              </w:rPr>
            </w:pPr>
          </w:p>
        </w:tc>
        <w:tc>
          <w:tcPr>
            <w:tcW w:w="4940" w:type="dxa"/>
            <w:vAlign w:val="bottom"/>
            <w:gridSpan w:val="2"/>
          </w:tcPr>
          <w:p>
            <w:pPr>
              <w:ind w:left="1100"/>
              <w:spacing w:after="0"/>
              <w:rPr>
                <w:sz w:val="20"/>
                <w:szCs w:val="20"/>
                <w:color w:val="auto"/>
              </w:rPr>
            </w:pPr>
            <w:r>
              <w:rPr>
                <w:rFonts w:ascii="Arial" w:cs="Arial" w:eastAsia="Arial" w:hAnsi="Arial"/>
                <w:sz w:val="32"/>
                <w:szCs w:val="32"/>
                <w:b w:val="1"/>
                <w:bCs w:val="1"/>
                <w:color w:val="auto"/>
              </w:rPr>
              <w:t>PRESS RELEASE</w:t>
            </w:r>
          </w:p>
        </w:tc>
      </w:tr>
      <w:tr>
        <w:trPr>
          <w:trHeight w:val="930"/>
        </w:trPr>
        <w:tc>
          <w:tcPr>
            <w:tcW w:w="3320" w:type="dxa"/>
            <w:vAlign w:val="bottom"/>
          </w:tcPr>
          <w:p>
            <w:pPr>
              <w:spacing w:after="0"/>
              <w:rPr>
                <w:sz w:val="20"/>
                <w:szCs w:val="20"/>
                <w:color w:val="auto"/>
              </w:rPr>
            </w:pPr>
            <w:r>
              <w:rPr>
                <w:rFonts w:ascii="Arial" w:cs="Arial" w:eastAsia="Arial" w:hAnsi="Arial"/>
                <w:sz w:val="18"/>
                <w:szCs w:val="18"/>
                <w:b w:val="1"/>
                <w:bCs w:val="1"/>
                <w:color w:val="auto"/>
              </w:rPr>
              <w:t>FOR IMMEDIATE RELEASE:</w:t>
            </w:r>
          </w:p>
        </w:tc>
        <w:tc>
          <w:tcPr>
            <w:tcW w:w="4940" w:type="dxa"/>
            <w:vAlign w:val="bottom"/>
            <w:gridSpan w:val="2"/>
          </w:tcPr>
          <w:p>
            <w:pPr>
              <w:ind w:left="3560"/>
              <w:spacing w:after="0"/>
              <w:rPr>
                <w:sz w:val="20"/>
                <w:szCs w:val="20"/>
                <w:color w:val="auto"/>
              </w:rPr>
            </w:pPr>
            <w:r>
              <w:rPr>
                <w:rFonts w:ascii="Arial" w:cs="Arial" w:eastAsia="Arial" w:hAnsi="Arial"/>
                <w:sz w:val="18"/>
                <w:szCs w:val="18"/>
                <w:b w:val="1"/>
                <w:bCs w:val="1"/>
                <w:color w:val="auto"/>
              </w:rPr>
              <w:t>CONTACT:</w:t>
            </w:r>
          </w:p>
        </w:tc>
      </w:tr>
      <w:tr>
        <w:trPr>
          <w:trHeight w:val="418"/>
        </w:trPr>
        <w:tc>
          <w:tcPr>
            <w:tcW w:w="3320" w:type="dxa"/>
            <w:vAlign w:val="bottom"/>
          </w:tcPr>
          <w:p>
            <w:pPr>
              <w:spacing w:after="0"/>
              <w:rPr>
                <w:sz w:val="20"/>
                <w:szCs w:val="20"/>
                <w:color w:val="auto"/>
              </w:rPr>
            </w:pPr>
            <w:r>
              <w:rPr>
                <w:rFonts w:ascii="Arial" w:cs="Arial" w:eastAsia="Arial" w:hAnsi="Arial"/>
                <w:sz w:val="18"/>
                <w:szCs w:val="18"/>
                <w:color w:val="auto"/>
              </w:rPr>
              <w:t>CompX International Inc.</w:t>
            </w:r>
          </w:p>
        </w:tc>
        <w:tc>
          <w:tcPr>
            <w:tcW w:w="4940" w:type="dxa"/>
            <w:vAlign w:val="bottom"/>
            <w:gridSpan w:val="2"/>
          </w:tcPr>
          <w:p>
            <w:pPr>
              <w:ind w:left="3560"/>
              <w:spacing w:after="0"/>
              <w:rPr>
                <w:sz w:val="20"/>
                <w:szCs w:val="20"/>
                <w:color w:val="auto"/>
              </w:rPr>
            </w:pPr>
            <w:r>
              <w:rPr>
                <w:rFonts w:ascii="Arial" w:cs="Arial" w:eastAsia="Arial" w:hAnsi="Arial"/>
                <w:sz w:val="18"/>
                <w:szCs w:val="18"/>
                <w:color w:val="auto"/>
                <w:w w:val="87"/>
              </w:rPr>
              <w:t>Janet G. Keckeisen</w:t>
            </w: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Three Lincoln Centre</w:t>
            </w:r>
          </w:p>
        </w:tc>
        <w:tc>
          <w:tcPr>
            <w:tcW w:w="4940" w:type="dxa"/>
            <w:vAlign w:val="bottom"/>
            <w:gridSpan w:val="2"/>
          </w:tcPr>
          <w:p>
            <w:pPr>
              <w:ind w:left="3560"/>
              <w:spacing w:after="0"/>
              <w:rPr>
                <w:sz w:val="20"/>
                <w:szCs w:val="20"/>
                <w:color w:val="auto"/>
              </w:rPr>
            </w:pPr>
            <w:r>
              <w:rPr>
                <w:rFonts w:ascii="Arial" w:cs="Arial" w:eastAsia="Arial" w:hAnsi="Arial"/>
                <w:sz w:val="18"/>
                <w:szCs w:val="18"/>
                <w:color w:val="auto"/>
                <w:w w:val="94"/>
              </w:rPr>
              <w:t>Investor Relations</w:t>
            </w: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5430 LBJ Freeway, Suite 1700</w:t>
            </w:r>
          </w:p>
        </w:tc>
        <w:tc>
          <w:tcPr>
            <w:tcW w:w="4940" w:type="dxa"/>
            <w:vAlign w:val="bottom"/>
            <w:gridSpan w:val="2"/>
          </w:tcPr>
          <w:p>
            <w:pPr>
              <w:ind w:left="3560"/>
              <w:spacing w:after="0"/>
              <w:rPr>
                <w:sz w:val="20"/>
                <w:szCs w:val="20"/>
                <w:color w:val="auto"/>
              </w:rPr>
            </w:pPr>
            <w:r>
              <w:rPr>
                <w:rFonts w:ascii="Arial" w:cs="Arial" w:eastAsia="Arial" w:hAnsi="Arial"/>
                <w:sz w:val="18"/>
                <w:szCs w:val="18"/>
                <w:color w:val="auto"/>
                <w:w w:val="92"/>
              </w:rPr>
              <w:t>Tel. 972-233-1700</w:t>
            </w:r>
          </w:p>
        </w:tc>
      </w:tr>
      <w:tr>
        <w:trPr>
          <w:trHeight w:val="230"/>
        </w:trPr>
        <w:tc>
          <w:tcPr>
            <w:tcW w:w="3320" w:type="dxa"/>
            <w:vAlign w:val="bottom"/>
          </w:tcPr>
          <w:p>
            <w:pPr>
              <w:spacing w:after="0"/>
              <w:rPr>
                <w:sz w:val="20"/>
                <w:szCs w:val="20"/>
                <w:color w:val="auto"/>
              </w:rPr>
            </w:pPr>
            <w:r>
              <w:rPr>
                <w:rFonts w:ascii="Arial" w:cs="Arial" w:eastAsia="Arial" w:hAnsi="Arial"/>
                <w:sz w:val="18"/>
                <w:szCs w:val="18"/>
                <w:color w:val="auto"/>
              </w:rPr>
              <w:t>Dallas, Texas 75240</w:t>
            </w:r>
          </w:p>
        </w:tc>
        <w:tc>
          <w:tcPr>
            <w:tcW w:w="47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662"/>
        </w:trPr>
        <w:tc>
          <w:tcPr>
            <w:tcW w:w="3320" w:type="dxa"/>
            <w:vAlign w:val="bottom"/>
          </w:tcPr>
          <w:p>
            <w:pPr>
              <w:spacing w:after="0"/>
              <w:rPr>
                <w:sz w:val="24"/>
                <w:szCs w:val="24"/>
                <w:color w:val="auto"/>
              </w:rPr>
            </w:pPr>
          </w:p>
        </w:tc>
        <w:tc>
          <w:tcPr>
            <w:tcW w:w="4940" w:type="dxa"/>
            <w:vAlign w:val="bottom"/>
            <w:gridSpan w:val="2"/>
          </w:tcPr>
          <w:p>
            <w:pPr>
              <w:spacing w:after="0"/>
              <w:rPr>
                <w:rFonts w:ascii="Arial" w:cs="Arial" w:eastAsia="Arial" w:hAnsi="Arial"/>
                <w:sz w:val="18"/>
                <w:szCs w:val="18"/>
                <w:b w:val="1"/>
                <w:bCs w:val="1"/>
                <w:color w:val="0000EE"/>
              </w:rPr>
            </w:pPr>
            <w:hyperlink w:anchor="page8">
              <w:r>
                <w:rPr>
                  <w:rFonts w:ascii="Arial" w:cs="Arial" w:eastAsia="Arial" w:hAnsi="Arial"/>
                  <w:sz w:val="18"/>
                  <w:szCs w:val="18"/>
                  <w:b w:val="1"/>
                  <w:bCs w:val="1"/>
                  <w:color w:val="0000EE"/>
                </w:rPr>
                <w:t>COMPX DECLARES REGULAR QUARTERLY DIVIDEND</w:t>
              </w:r>
            </w:hyperlink>
          </w:p>
        </w:tc>
      </w:tr>
      <w:tr>
        <w:trPr>
          <w:trHeight w:val="20"/>
        </w:trPr>
        <w:tc>
          <w:tcPr>
            <w:tcW w:w="3320" w:type="dxa"/>
            <w:vAlign w:val="bottom"/>
          </w:tcPr>
          <w:p>
            <w:pPr>
              <w:spacing w:after="0" w:line="20" w:lineRule="exact"/>
              <w:rPr>
                <w:sz w:val="1"/>
                <w:szCs w:val="1"/>
                <w:color w:val="auto"/>
              </w:rPr>
            </w:pPr>
          </w:p>
        </w:tc>
        <w:tc>
          <w:tcPr>
            <w:tcW w:w="47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457960" cy="4114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457960" cy="411480"/>
                    </a:xfrm>
                    <a:prstGeom prst="rect">
                      <a:avLst/>
                    </a:prstGeom>
                    <a:noFill/>
                  </pic:spPr>
                </pic:pic>
              </a:graphicData>
            </a:graphic>
          </wp:anchor>
        </w:drawing>
      </w:r>
    </w:p>
    <w:p>
      <w:pPr>
        <w:spacing w:after="0" w:line="29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DALLAS, TEXAS . . . August 6, 2018 . . . CompX International Inc. (NYSE American: CIX) announced today that its board of directors has declared CompX's regular quarterly dividend of five cents ($0.05) per share on its class A common stock, payable on September 11, 2018 to stockholders of record at the close of business on September 4, 2018.</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CompX is a leading manufacturer of security products and recreational marine components.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w:t>
      </w:r>
    </w:p>
    <w:sectPr>
      <w:pgSz w:w="11900" w:h="16838" w:orient="portrait"/>
      <w:cols w:equalWidth="0" w:num="1">
        <w:col w:w="11420"/>
      </w:cols>
      <w:pgMar w:left="240" w:top="123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Letter"/>
      <w:start w:val="4"/>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2019-12-28T20:24:39Z</dcterms:created>
  <dcterms:modified xsi:type="dcterms:W3CDTF">2019-12-28T20:24:39Z</dcterms:modified>
</cp:coreProperties>
</file>