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March 5, 2025</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COMPX INTERNATIONAL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7" w:lineRule="exact"/>
        <w:rPr>
          <w:sz w:val="24"/>
          <w:szCs w:val="24"/>
          <w:color w:val="auto"/>
        </w:rPr>
      </w:pPr>
    </w:p>
    <w:tbl>
      <w:tblPr>
        <w:tblLayout w:type="fixed"/>
        <w:tblInd w:w="500" w:type="dxa"/>
        <w:tblCellMar>
          <w:top w:w="0" w:type="dxa"/>
          <w:left w:w="0" w:type="dxa"/>
          <w:bottom w:w="0" w:type="dxa"/>
          <w:right w:w="0" w:type="dxa"/>
        </w:tblCellMar>
      </w:tblPr>
      <w:tr>
        <w:trPr>
          <w:trHeight w:val="256"/>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2640" w:type="dxa"/>
            <w:vAlign w:val="bottom"/>
          </w:tcPr>
          <w:p>
            <w:pPr>
              <w:jc w:val="center"/>
              <w:ind w:right="144"/>
              <w:spacing w:after="0"/>
              <w:rPr>
                <w:sz w:val="20"/>
                <w:szCs w:val="20"/>
                <w:color w:val="auto"/>
              </w:rPr>
            </w:pPr>
            <w:r>
              <w:rPr>
                <w:rFonts w:ascii="Times New Roman" w:cs="Times New Roman" w:eastAsia="Times New Roman" w:hAnsi="Times New Roman"/>
                <w:sz w:val="22"/>
                <w:szCs w:val="22"/>
                <w:b w:val="1"/>
                <w:bCs w:val="1"/>
                <w:color w:val="auto"/>
                <w:w w:val="98"/>
              </w:rPr>
              <w:t>1-13905</w:t>
            </w:r>
          </w:p>
        </w:tc>
        <w:tc>
          <w:tcPr>
            <w:tcW w:w="2200" w:type="dxa"/>
            <w:vAlign w:val="bottom"/>
          </w:tcPr>
          <w:p>
            <w:pPr>
              <w:jc w:val="center"/>
              <w:ind w:left="743"/>
              <w:spacing w:after="0"/>
              <w:rPr>
                <w:sz w:val="20"/>
                <w:szCs w:val="20"/>
                <w:color w:val="auto"/>
              </w:rPr>
            </w:pPr>
            <w:r>
              <w:rPr>
                <w:rFonts w:ascii="Times New Roman" w:cs="Times New Roman" w:eastAsia="Times New Roman" w:hAnsi="Times New Roman"/>
                <w:sz w:val="22"/>
                <w:szCs w:val="22"/>
                <w:b w:val="1"/>
                <w:bCs w:val="1"/>
                <w:color w:val="auto"/>
                <w:w w:val="97"/>
              </w:rPr>
              <w:t>57-0981653</w:t>
            </w:r>
          </w:p>
        </w:tc>
      </w:tr>
      <w:tr>
        <w:trPr>
          <w:trHeight w:val="216"/>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640" w:type="dxa"/>
            <w:vAlign w:val="bottom"/>
          </w:tcPr>
          <w:p>
            <w:pPr>
              <w:jc w:val="center"/>
              <w:ind w:right="144"/>
              <w:spacing w:after="0"/>
              <w:rPr>
                <w:sz w:val="20"/>
                <w:szCs w:val="20"/>
                <w:color w:val="auto"/>
              </w:rPr>
            </w:pPr>
            <w:r>
              <w:rPr>
                <w:rFonts w:ascii="Times New Roman" w:cs="Times New Roman" w:eastAsia="Times New Roman" w:hAnsi="Times New Roman"/>
                <w:sz w:val="18"/>
                <w:szCs w:val="18"/>
                <w:color w:val="auto"/>
                <w:w w:val="98"/>
              </w:rPr>
              <w:t>(Commission</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18"/>
                <w:szCs w:val="18"/>
                <w:color w:val="auto"/>
              </w:rPr>
              <w:t>incorporation)</w:t>
            </w:r>
          </w:p>
        </w:tc>
        <w:tc>
          <w:tcPr>
            <w:tcW w:w="2640" w:type="dxa"/>
            <w:vAlign w:val="bottom"/>
          </w:tcPr>
          <w:p>
            <w:pPr>
              <w:jc w:val="center"/>
              <w:ind w:right="124"/>
              <w:spacing w:after="0"/>
              <w:rPr>
                <w:sz w:val="20"/>
                <w:szCs w:val="20"/>
                <w:color w:val="auto"/>
              </w:rPr>
            </w:pPr>
            <w:r>
              <w:rPr>
                <w:rFonts w:ascii="Times New Roman" w:cs="Times New Roman" w:eastAsia="Times New Roman" w:hAnsi="Times New Roman"/>
                <w:sz w:val="18"/>
                <w:szCs w:val="18"/>
                <w:color w:val="auto"/>
              </w:rPr>
              <w:t>File Number)</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57"/>
        </w:trPr>
        <w:tc>
          <w:tcPr>
            <w:tcW w:w="5460" w:type="dxa"/>
            <w:vAlign w:val="bottom"/>
            <w:gridSpan w:val="2"/>
          </w:tcPr>
          <w:p>
            <w:pPr>
              <w:jc w:val="center"/>
              <w:ind w:right="284"/>
              <w:spacing w:after="0"/>
              <w:rPr>
                <w:sz w:val="20"/>
                <w:szCs w:val="20"/>
                <w:color w:val="auto"/>
              </w:rPr>
            </w:pPr>
            <w:r>
              <w:rPr>
                <w:rFonts w:ascii="Times New Roman" w:cs="Times New Roman" w:eastAsia="Times New Roman" w:hAnsi="Times New Roman"/>
                <w:sz w:val="22"/>
                <w:szCs w:val="22"/>
                <w:b w:val="1"/>
                <w:bCs w:val="1"/>
                <w:color w:val="auto"/>
                <w:w w:val="97"/>
              </w:rPr>
              <w:t>5430 LBJ Freeway, Suite 1700, Dallas, Texas</w:t>
            </w:r>
          </w:p>
        </w:tc>
        <w:tc>
          <w:tcPr>
            <w:tcW w:w="2200" w:type="dxa"/>
            <w:vAlign w:val="bottom"/>
          </w:tcPr>
          <w:p>
            <w:pPr>
              <w:jc w:val="center"/>
              <w:ind w:left="743"/>
              <w:spacing w:after="0"/>
              <w:rPr>
                <w:sz w:val="20"/>
                <w:szCs w:val="20"/>
                <w:color w:val="auto"/>
              </w:rPr>
            </w:pPr>
            <w:r>
              <w:rPr>
                <w:rFonts w:ascii="Times New Roman" w:cs="Times New Roman" w:eastAsia="Times New Roman" w:hAnsi="Times New Roman"/>
                <w:sz w:val="22"/>
                <w:szCs w:val="22"/>
                <w:b w:val="1"/>
                <w:bCs w:val="1"/>
                <w:color w:val="auto"/>
                <w:w w:val="97"/>
              </w:rPr>
              <w:t>75240-2620</w:t>
            </w:r>
          </w:p>
        </w:tc>
      </w:tr>
      <w:tr>
        <w:trPr>
          <w:trHeight w:val="234"/>
        </w:trPr>
        <w:tc>
          <w:tcPr>
            <w:tcW w:w="5460" w:type="dxa"/>
            <w:vAlign w:val="bottom"/>
            <w:gridSpan w:val="2"/>
          </w:tcPr>
          <w:p>
            <w:pPr>
              <w:jc w:val="center"/>
              <w:ind w:right="284"/>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(972) 448-1400</w:t>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1376680</wp:posOffset>
            </wp:positionH>
            <wp:positionV relativeFrom="paragraph">
              <wp:posOffset>-127635</wp:posOffset>
            </wp:positionV>
            <wp:extent cx="2974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11" w:lineRule="exact"/>
        <w:rPr>
          <w:sz w:val="24"/>
          <w:szCs w:val="24"/>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81" w:lineRule="exact"/>
        <w:rPr>
          <w:sz w:val="24"/>
          <w:szCs w:val="24"/>
          <w:color w:val="auto"/>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 w:type="dxa"/>
            <w:vAlign w:val="bottom"/>
            <w:vMerge w:val="restart"/>
          </w:tcPr>
          <w:p>
            <w:pPr>
              <w:spacing w:after="0"/>
              <w:rPr>
                <w:sz w:val="13"/>
                <w:szCs w:val="13"/>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3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0" w:type="dxa"/>
            <w:vAlign w:val="bottom"/>
          </w:tcPr>
          <w:p>
            <w:pPr>
              <w:spacing w:after="0"/>
              <w:rPr>
                <w:sz w:val="15"/>
                <w:szCs w:val="15"/>
                <w:color w:val="auto"/>
              </w:rPr>
            </w:pPr>
          </w:p>
        </w:tc>
        <w:tc>
          <w:tcPr>
            <w:tcW w:w="3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3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Class A common stock</w:t>
            </w:r>
          </w:p>
        </w:tc>
        <w:tc>
          <w:tcPr>
            <w:tcW w:w="160" w:type="dxa"/>
            <w:vAlign w:val="bottom"/>
          </w:tcPr>
          <w:p>
            <w:pPr>
              <w:spacing w:after="0"/>
              <w:rPr>
                <w:sz w:val="10"/>
                <w:szCs w:val="10"/>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CIX</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NYSE American</w:t>
            </w:r>
          </w:p>
        </w:tc>
        <w:tc>
          <w:tcPr>
            <w:tcW w:w="0" w:type="dxa"/>
            <w:vAlign w:val="bottom"/>
          </w:tcPr>
          <w:p>
            <w:pPr>
              <w:spacing w:after="0"/>
              <w:rPr>
                <w:sz w:val="1"/>
                <w:szCs w:val="1"/>
                <w:color w:val="auto"/>
              </w:rPr>
            </w:pPr>
          </w:p>
        </w:tc>
      </w:tr>
      <w:tr>
        <w:trPr>
          <w:trHeight w:val="188"/>
        </w:trPr>
        <w:tc>
          <w:tcPr>
            <w:tcW w:w="3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($.01 par value per share)</w:t>
            </w:r>
          </w:p>
        </w:tc>
        <w:tc>
          <w:tcPr>
            <w:tcW w:w="1540" w:type="dxa"/>
            <w:vAlign w:val="bottom"/>
            <w:gridSpan w:val="2"/>
            <w:vMerge w:val="continue"/>
          </w:tcPr>
          <w:p>
            <w:pPr>
              <w:spacing w:after="0"/>
              <w:rPr>
                <w:sz w:val="16"/>
                <w:szCs w:val="16"/>
                <w:color w:val="auto"/>
              </w:rPr>
            </w:pPr>
          </w:p>
        </w:tc>
        <w:tc>
          <w:tcPr>
            <w:tcW w:w="3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67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4"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548640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51435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85725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1332" w:right="1440" w:bottom="1440" w:gutter="0" w:footer="0" w:header="0"/>
        </w:sectPr>
      </w:pPr>
    </w:p>
    <w:bookmarkStart w:id="1" w:name="page2"/>
    <w:bookmarkEnd w:id="1"/>
    <w:p>
      <w:pPr>
        <w:ind w:left="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registrant hereby furnishes the information set forth in its press release entitled “CompX Reports Fourth Quarter 2024 Results” that the registrant issued on March 5, 2025, a copy of which is attached hereto as Exhibit 99.1 and incorporated herein by reference.</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16"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registrant hereby furnishes the information set forth in its press release entitled “CompX Declares Quarterly Dividend” that the registrant also issued on March 5, 2025, a copy of which is attached hereto as Exhibit 99.2 and incorporated herein by reference.</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press release the registrant furnishes as Exhibit 99.2 to this current report is not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3"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13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Exhibits</w:t>
            </w:r>
          </w:p>
        </w:tc>
        <w:tc>
          <w:tcPr>
            <w:tcW w:w="6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9"/>
        </w:trPr>
        <w:tc>
          <w:tcPr>
            <w:tcW w:w="600" w:type="dxa"/>
            <w:vAlign w:val="bottom"/>
          </w:tcPr>
          <w:p>
            <w:pPr>
              <w:spacing w:after="0"/>
              <w:rPr>
                <w:sz w:val="24"/>
                <w:szCs w:val="24"/>
                <w:color w:val="auto"/>
              </w:rPr>
            </w:pP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600" w:type="dxa"/>
            <w:vAlign w:val="bottom"/>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0" w:type="dxa"/>
            <w:vAlign w:val="bottom"/>
          </w:tcPr>
          <w:p>
            <w:pPr>
              <w:spacing w:after="0"/>
              <w:rPr>
                <w:sz w:val="24"/>
                <w:szCs w:val="24"/>
                <w:color w:val="auto"/>
              </w:rPr>
            </w:pPr>
          </w:p>
        </w:tc>
      </w:tr>
      <w:tr>
        <w:trPr>
          <w:trHeight w:val="392"/>
        </w:trPr>
        <w:tc>
          <w:tcPr>
            <w:tcW w:w="60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99.1</w:t>
            </w:r>
          </w:p>
        </w:tc>
        <w:tc>
          <w:tcPr>
            <w:tcW w:w="600" w:type="dxa"/>
            <w:vAlign w:val="bottom"/>
          </w:tcPr>
          <w:p>
            <w:pPr>
              <w:spacing w:after="0"/>
              <w:rPr>
                <w:sz w:val="24"/>
                <w:szCs w:val="24"/>
                <w:color w:val="auto"/>
              </w:rPr>
            </w:pPr>
          </w:p>
        </w:tc>
        <w:tc>
          <w:tcPr>
            <w:tcW w:w="61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Press release dated March 5, 2025 entitled “CompX Reports Fourth Quarter 2024</w:t>
            </w:r>
          </w:p>
        </w:tc>
        <w:tc>
          <w:tcPr>
            <w:tcW w:w="220" w:type="dxa"/>
            <w:vAlign w:val="bottom"/>
            <w:gridSpan w:val="2"/>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3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Results” and issued by the registrant</w:t>
            </w:r>
            <w:r>
              <w:rPr>
                <w:rFonts w:ascii="Times New Roman" w:cs="Times New Roman" w:eastAsia="Times New Roman" w:hAnsi="Times New Roman"/>
                <w:sz w:val="18"/>
                <w:szCs w:val="18"/>
                <w:color w:val="000000"/>
              </w:rPr>
              <w:t>.</w:t>
            </w:r>
          </w:p>
        </w:tc>
      </w:tr>
      <w:tr>
        <w:trPr>
          <w:trHeight w:val="20"/>
        </w:trPr>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99.2</w:t>
            </w:r>
          </w:p>
        </w:tc>
        <w:tc>
          <w:tcPr>
            <w:tcW w:w="600" w:type="dxa"/>
            <w:vAlign w:val="bottom"/>
          </w:tcPr>
          <w:p>
            <w:pPr>
              <w:spacing w:after="0"/>
              <w:rPr>
                <w:sz w:val="24"/>
                <w:szCs w:val="24"/>
                <w:color w:val="auto"/>
              </w:rPr>
            </w:pPr>
          </w:p>
        </w:tc>
        <w:tc>
          <w:tcPr>
            <w:tcW w:w="63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Press release dated March 5, 2025 entitled “CompX Declares Quarterly Dividend”</w:t>
            </w:r>
          </w:p>
        </w:tc>
      </w:tr>
      <w:tr>
        <w:trPr>
          <w:trHeight w:val="196"/>
        </w:trPr>
        <w:tc>
          <w:tcPr>
            <w:tcW w:w="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1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and issued by the registrant.</w:t>
            </w:r>
          </w:p>
        </w:tc>
        <w:tc>
          <w:tcPr>
            <w:tcW w:w="240" w:type="dxa"/>
            <w:vAlign w:val="bottom"/>
            <w:gridSpan w:val="3"/>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r>
      <w:tr>
        <w:trPr>
          <w:trHeight w:val="453"/>
        </w:trPr>
        <w:tc>
          <w:tcPr>
            <w:tcW w:w="600" w:type="dxa"/>
            <w:vAlign w:val="bottom"/>
          </w:tcPr>
          <w:p>
            <w:pPr>
              <w:spacing w:after="0"/>
              <w:rPr>
                <w:sz w:val="24"/>
                <w:szCs w:val="24"/>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6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681"/>
        </w:trPr>
        <w:tc>
          <w:tcPr>
            <w:tcW w:w="6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9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COMPX INTERNATIONAL INC.</w:t>
            </w:r>
          </w:p>
        </w:tc>
      </w:tr>
      <w:tr>
        <w:trPr>
          <w:trHeight w:val="234"/>
        </w:trPr>
        <w:tc>
          <w:tcPr>
            <w:tcW w:w="2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86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5, 2025</w:t>
            </w:r>
          </w:p>
        </w:tc>
        <w:tc>
          <w:tcPr>
            <w:tcW w:w="59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By:/s/ Amy A. Samford</w:t>
            </w:r>
          </w:p>
        </w:tc>
      </w:tr>
      <w:tr>
        <w:trPr>
          <w:trHeight w:val="189"/>
        </w:trPr>
        <w:tc>
          <w:tcPr>
            <w:tcW w:w="2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Amy A. Samford</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tc>
      </w:tr>
      <w:tr>
        <w:trPr>
          <w:trHeight w:val="236"/>
        </w:trPr>
        <w:tc>
          <w:tcPr>
            <w:tcW w:w="2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181"/>
        </w:trPr>
        <w:tc>
          <w:tcPr>
            <w:tcW w:w="29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2565400</wp:posOffset>
            </wp:positionH>
            <wp:positionV relativeFrom="page">
              <wp:posOffset>243205</wp:posOffset>
            </wp:positionV>
            <wp:extent cx="2442845" cy="814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44284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COMPX REPORTS FOURTH QUARTER 2024 RESULTS</w:t>
      </w:r>
    </w:p>
    <w:p>
      <w:pPr>
        <w:spacing w:after="0" w:line="222"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 xml:space="preserve">DALLAS, TEXAS </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March 5, 2025 </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CompX International Inc. (NYSE American: CIX) announced today net sales of $38.4 million for the fourth quarter of 2024 compared to $43.2 million in the same period of 2023. Operating income was $4.9 million in the fourth quarter of 2024 compared to $7.4 million in the same period of 2023. Net income was $4.5 million, or $.37 per basic and diluted common share, for the fourth quarter of 2024 compared to $6.7 million, or $.54 per basic and diluted common share, in the same period of 2023.</w:t>
      </w:r>
    </w:p>
    <w:p>
      <w:pPr>
        <w:spacing w:after="0" w:line="207"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Net sales for the year ended December 31, 2024 were $145.9 million compared to $161.3 million in the previous year. Operating income was $17.0 million for the year ended December 31, 2024 compared to $25.4 million in 2023. Net income for the year ended December 31, 2024 was $16.6 million, or $1.35 per basic and diluted common share, compared to $22.6 million, or $1.84 per basic and diluted common share, for the same period in 2023.</w:t>
      </w:r>
    </w:p>
    <w:p>
      <w:pPr>
        <w:spacing w:after="0" w:line="204"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Fourth quarter 2024 net sales decreased over the comparable 2023 period predominantly due to lower Security Products sales to a government security customer, partially offset by higher Marine Components sales to the towboat and government markets. Security Products fourth quarter 2023 net sales include sales to a government security customer for a pilot project that did not continue in 2024. Operating income decreased in the fourth quarter of 2024 compared to the same period in 2023 due to lower sales and a lower gross margin percentage at Security Products, partially offset by higher Marine Components sales and gross margin percentage.</w:t>
      </w:r>
    </w:p>
    <w:p>
      <w:pPr>
        <w:spacing w:after="0" w:line="116"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Net sales decreased for the full year of 2024 compared to the same period in 2023 primarily due to lower Marine Components sales to the towboat market and lower Security Products sales in the third and fourth quarters to a government security customer related to the pilot project noted above. Operating income for the full year of 2024 decreased compared to 2023 primarily due to lower sales and gross margin at both Security Products and Marine Components.</w:t>
      </w:r>
    </w:p>
    <w:p>
      <w:pPr>
        <w:spacing w:after="0" w:line="96"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CompX is a leading manufacturer of security products and recreational marine components. It operates from three locations in the U.S. and employs approximately 510 people.</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1"/>
          <w:szCs w:val="21"/>
          <w:color w:val="auto"/>
        </w:rPr>
        <w:t>The statements in this press release relating to matters that are not historical facts are forward-looking statements that represent management</w:t>
      </w:r>
      <w:r>
        <w:rPr>
          <w:rFonts w:ascii="Arial" w:cs="Arial" w:eastAsia="Arial" w:hAnsi="Arial"/>
          <w:sz w:val="21"/>
          <w:szCs w:val="21"/>
          <w:color w:val="auto"/>
        </w:rPr>
        <w:t>’</w:t>
      </w:r>
      <w:r>
        <w:rPr>
          <w:rFonts w:ascii="Times New Roman" w:cs="Times New Roman" w:eastAsia="Times New Roman" w:hAnsi="Times New Roman"/>
          <w:sz w:val="21"/>
          <w:szCs w:val="21"/>
          <w:color w:val="auto"/>
        </w:rPr>
        <w:t>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ind w:left="200" w:right="219"/>
        <w:spacing w:after="0" w:line="258" w:lineRule="auto"/>
        <w:rPr>
          <w:sz w:val="20"/>
          <w:szCs w:val="20"/>
          <w:color w:val="auto"/>
        </w:rPr>
      </w:pPr>
      <w:r>
        <w:rPr>
          <w:rFonts w:ascii="Times New Roman" w:cs="Times New Roman" w:eastAsia="Times New Roman" w:hAnsi="Times New Roman"/>
          <w:sz w:val="22"/>
          <w:szCs w:val="22"/>
          <w:color w:val="auto"/>
        </w:rPr>
        <w:t>The factors that could cause our actual future results to differ materially include, but are not limited to, the following:</w:t>
      </w:r>
    </w:p>
    <w:p>
      <w:pPr>
        <w:spacing w:after="0" w:line="91" w:lineRule="exact"/>
        <w:rPr>
          <w:sz w:val="20"/>
          <w:szCs w:val="20"/>
          <w:color w:val="auto"/>
        </w:rPr>
      </w:pPr>
    </w:p>
    <w:p>
      <w:pPr>
        <w:ind w:left="860" w:hanging="327"/>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Future supply and demand for our products;</w:t>
      </w:r>
    </w:p>
    <w:p>
      <w:pPr>
        <w:spacing w:after="0" w:line="98" w:lineRule="exact"/>
        <w:rPr>
          <w:rFonts w:ascii="Times New Roman" w:cs="Times New Roman" w:eastAsia="Times New Roman" w:hAnsi="Times New Roman"/>
          <w:sz w:val="18"/>
          <w:szCs w:val="18"/>
          <w:color w:val="auto"/>
        </w:rPr>
      </w:pPr>
    </w:p>
    <w:p>
      <w:pPr>
        <w:jc w:val="both"/>
        <w:ind w:left="860" w:right="219" w:hanging="327"/>
        <w:spacing w:after="0" w:line="239"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Changes in our raw material and other operating costs (such as zinc, brass, aluminum, steel and energy costs) or the implementation of tariffs on imported raw materials and our ability to pass those costs on to our customers or offset them with reductions in other operating costs;</w:t>
      </w:r>
    </w:p>
    <w:p>
      <w:pPr>
        <w:spacing w:after="0" w:line="72"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Price and product competition from low-cost manufacturing sources (such as China);</w:t>
      </w:r>
    </w:p>
    <w:p>
      <w:pPr>
        <w:spacing w:after="0" w:line="98"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impact of pricing and production decisions;</w:t>
      </w:r>
    </w:p>
    <w:p>
      <w:pPr>
        <w:spacing w:after="0" w:line="98"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Customer and competitor strategies including substitute products;</w:t>
      </w:r>
    </w:p>
    <w:p>
      <w:pPr>
        <w:spacing w:after="0" w:line="98" w:lineRule="exact"/>
        <w:rPr>
          <w:rFonts w:ascii="Times New Roman" w:cs="Times New Roman" w:eastAsia="Times New Roman" w:hAnsi="Times New Roman"/>
          <w:sz w:val="18"/>
          <w:szCs w:val="18"/>
          <w:color w:val="auto"/>
        </w:rPr>
      </w:pPr>
    </w:p>
    <w:p>
      <w:pPr>
        <w:ind w:left="860" w:right="219" w:hanging="327"/>
        <w:spacing w:after="0" w:line="258"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Uncertainties associated with new product development and the development of new product features;</w:t>
      </w:r>
    </w:p>
    <w:p>
      <w:pPr>
        <w:spacing w:after="0" w:line="50" w:lineRule="exact"/>
        <w:rPr>
          <w:rFonts w:ascii="Times New Roman" w:cs="Times New Roman" w:eastAsia="Times New Roman" w:hAnsi="Times New Roman"/>
          <w:sz w:val="18"/>
          <w:szCs w:val="18"/>
          <w:color w:val="auto"/>
        </w:rPr>
      </w:pPr>
    </w:p>
    <w:p>
      <w:pPr>
        <w:ind w:left="860" w:right="239" w:hanging="327"/>
        <w:spacing w:after="0" w:line="258"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Pending or possible future litigation (such as litigation related to our use of certain permitted chemicals in our production process) or other actions;</w:t>
      </w:r>
    </w:p>
    <w:p>
      <w:pPr>
        <w:spacing w:after="0" w:line="50"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Our ability to protect or defend our intellectual property rights;</w:t>
      </w:r>
    </w:p>
    <w:p>
      <w:pPr>
        <w:spacing w:after="0" w:line="98"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Potential difficulties in integrating future acquisitions;</w:t>
      </w:r>
    </w:p>
    <w:p>
      <w:pPr>
        <w:spacing w:after="0" w:line="98"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Decisions to sell operating assets other than in the ordinary course of business;</w:t>
      </w:r>
    </w:p>
    <w:p>
      <w:pPr>
        <w:spacing w:after="0" w:line="98" w:lineRule="exact"/>
        <w:rPr>
          <w:rFonts w:ascii="Times New Roman" w:cs="Times New Roman" w:eastAsia="Times New Roman" w:hAnsi="Times New Roman"/>
          <w:sz w:val="18"/>
          <w:szCs w:val="18"/>
          <w:color w:val="auto"/>
        </w:rPr>
      </w:pPr>
    </w:p>
    <w:p>
      <w:pPr>
        <w:ind w:left="860" w:right="219" w:hanging="327"/>
        <w:spacing w:after="0" w:line="258"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Environmental matters (such as those requiring emission and discharge standards for existing and new facilities);</w:t>
      </w:r>
    </w:p>
    <w:p>
      <w:pPr>
        <w:spacing w:after="0" w:line="50" w:lineRule="exact"/>
        <w:rPr>
          <w:rFonts w:ascii="Times New Roman" w:cs="Times New Roman" w:eastAsia="Times New Roman" w:hAnsi="Times New Roman"/>
          <w:sz w:val="18"/>
          <w:szCs w:val="18"/>
          <w:color w:val="auto"/>
        </w:rPr>
      </w:pPr>
    </w:p>
    <w:p>
      <w:pPr>
        <w:ind w:left="860" w:right="219" w:hanging="327"/>
        <w:spacing w:after="0" w:line="258"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ultimate outcome of income tax audits, tax settlement initiatives or other tax matters, including future tax reform;</w:t>
      </w:r>
    </w:p>
    <w:p>
      <w:pPr>
        <w:spacing w:after="0" w:line="50" w:lineRule="exact"/>
        <w:rPr>
          <w:rFonts w:ascii="Times New Roman" w:cs="Times New Roman" w:eastAsia="Times New Roman" w:hAnsi="Times New Roman"/>
          <w:sz w:val="18"/>
          <w:szCs w:val="18"/>
          <w:color w:val="auto"/>
        </w:rPr>
      </w:pPr>
    </w:p>
    <w:p>
      <w:pPr>
        <w:ind w:left="860" w:right="239" w:hanging="327"/>
        <w:spacing w:after="0" w:line="258"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Government laws and regulations and possible changes therein including new environmental, health and safety, sustainability or other regulations;</w:t>
      </w:r>
    </w:p>
    <w:p>
      <w:pPr>
        <w:spacing w:after="0" w:line="50" w:lineRule="exact"/>
        <w:rPr>
          <w:rFonts w:ascii="Times New Roman" w:cs="Times New Roman" w:eastAsia="Times New Roman" w:hAnsi="Times New Roman"/>
          <w:sz w:val="18"/>
          <w:szCs w:val="18"/>
          <w:color w:val="auto"/>
        </w:rPr>
      </w:pPr>
    </w:p>
    <w:p>
      <w:pPr>
        <w:jc w:val="both"/>
        <w:ind w:left="860" w:right="219" w:hanging="327"/>
        <w:spacing w:after="0" w:line="239"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p>
      <w:pPr>
        <w:spacing w:after="0" w:line="72" w:lineRule="exact"/>
        <w:rPr>
          <w:rFonts w:ascii="Times New Roman" w:cs="Times New Roman" w:eastAsia="Times New Roman" w:hAnsi="Times New Roman"/>
          <w:sz w:val="18"/>
          <w:szCs w:val="18"/>
          <w:color w:val="auto"/>
        </w:rPr>
      </w:pPr>
    </w:p>
    <w:p>
      <w:pPr>
        <w:jc w:val="both"/>
        <w:ind w:left="860" w:right="219" w:hanging="327"/>
        <w:spacing w:after="0" w:line="239"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Operating interruptions (including, but not limited to, labor disputes, leaks, natural disasters, fires, explosions, unscheduled or unplanned downtime, transportation interruptions, certain regional and world events or economic conditions and public health crises);</w:t>
      </w:r>
    </w:p>
    <w:p>
      <w:pPr>
        <w:spacing w:after="0" w:line="72" w:lineRule="exact"/>
        <w:rPr>
          <w:rFonts w:ascii="Times New Roman" w:cs="Times New Roman" w:eastAsia="Times New Roman" w:hAnsi="Times New Roman"/>
          <w:sz w:val="18"/>
          <w:szCs w:val="18"/>
          <w:color w:val="auto"/>
        </w:rPr>
      </w:pPr>
    </w:p>
    <w:p>
      <w:pPr>
        <w:ind w:left="860" w:right="239" w:hanging="327"/>
        <w:spacing w:after="0" w:line="258"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introduction of new, or changes in existing, tariffs, trade barriers or trade disputes (including tariffs imposed by the U.S. government on imports from China and Mexico);</w:t>
      </w:r>
    </w:p>
    <w:p>
      <w:pPr>
        <w:spacing w:after="0" w:line="50" w:lineRule="exact"/>
        <w:rPr>
          <w:rFonts w:ascii="Times New Roman" w:cs="Times New Roman" w:eastAsia="Times New Roman" w:hAnsi="Times New Roman"/>
          <w:sz w:val="18"/>
          <w:szCs w:val="18"/>
          <w:color w:val="auto"/>
        </w:rPr>
      </w:pPr>
    </w:p>
    <w:p>
      <w:pPr>
        <w:jc w:val="both"/>
        <w:ind w:left="860" w:right="219" w:hanging="327"/>
        <w:spacing w:after="0" w:line="238"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Technology related disruptions (including, but not limited to, cyber 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p>
      <w:pPr>
        <w:spacing w:after="0" w:line="68" w:lineRule="exact"/>
        <w:rPr>
          <w:rFonts w:ascii="Times New Roman" w:cs="Times New Roman" w:eastAsia="Times New Roman" w:hAnsi="Times New Roman"/>
          <w:sz w:val="18"/>
          <w:szCs w:val="18"/>
          <w:color w:val="auto"/>
        </w:rPr>
      </w:pPr>
    </w:p>
    <w:p>
      <w:pPr>
        <w:ind w:left="860" w:right="219" w:hanging="327"/>
        <w:spacing w:after="0" w:line="258"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Possible disruption of our business or increases in the cost of doing business resulting from terrorist activities or global conflicts.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5" w:name="page6"/>
    <w:bookmarkEnd w:id="5"/>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1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Bryan A. Hanley</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Senior Vice President and Treasurer</w:t>
      </w:r>
    </w:p>
    <w:p>
      <w:pPr>
        <w:ind w:left="200"/>
        <w:spacing w:after="0"/>
        <w:rPr>
          <w:sz w:val="20"/>
          <w:szCs w:val="20"/>
          <w:color w:val="auto"/>
        </w:rPr>
      </w:pPr>
      <w:r>
        <w:rPr>
          <w:rFonts w:ascii="Times New Roman" w:cs="Times New Roman" w:eastAsia="Times New Roman" w:hAnsi="Times New Roman"/>
          <w:sz w:val="22"/>
          <w:szCs w:val="22"/>
          <w:color w:val="auto"/>
        </w:rPr>
        <w:t>Tel. 972-233-1700</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COMPX INTERNATIONAL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SUMMARY OF CONSOLIDATED OPERATIONS</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 millions, except per share amounts)</w:t>
      </w:r>
    </w:p>
    <w:p>
      <w:pPr>
        <w:spacing w:after="0" w:line="200" w:lineRule="exact"/>
        <w:rPr>
          <w:sz w:val="20"/>
          <w:szCs w:val="20"/>
          <w:color w:val="auto"/>
        </w:rPr>
      </w:pPr>
    </w:p>
    <w:p>
      <w:pPr>
        <w:spacing w:after="0" w:line="27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4"/>
          </w:tcPr>
          <w:p>
            <w:pPr>
              <w:jc w:val="center"/>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sales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Borders>
              <w:bottom w:val="single" w:sz="8" w:color="CCEEFF"/>
            </w:tcBorders>
          </w:tcPr>
          <w:p>
            <w:pPr>
              <w:spacing w:after="0" w:line="243" w:lineRule="exact"/>
              <w:rPr>
                <w:sz w:val="20"/>
                <w:szCs w:val="20"/>
                <w:color w:val="auto"/>
              </w:rPr>
            </w:pPr>
            <w:r>
              <w:rPr>
                <w:rFonts w:ascii="Times New Roman" w:cs="Times New Roman" w:eastAsia="Times New Roman" w:hAnsi="Times New Roman"/>
                <w:sz w:val="22"/>
                <w:szCs w:val="22"/>
                <w:color w:val="auto"/>
              </w:rPr>
              <w:t>Cost of sales</w:t>
            </w:r>
          </w:p>
        </w:tc>
        <w:tc>
          <w:tcPr>
            <w:tcW w:w="3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Gross margin</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Borders>
              <w:bottom w:val="single" w:sz="8" w:color="CCEEFF"/>
            </w:tcBorders>
          </w:tcPr>
          <w:p>
            <w:pPr>
              <w:spacing w:after="0" w:line="243" w:lineRule="exact"/>
              <w:rPr>
                <w:sz w:val="20"/>
                <w:szCs w:val="20"/>
                <w:color w:val="auto"/>
              </w:rPr>
            </w:pPr>
            <w:r>
              <w:rPr>
                <w:rFonts w:ascii="Times New Roman" w:cs="Times New Roman" w:eastAsia="Times New Roman" w:hAnsi="Times New Roman"/>
                <w:sz w:val="22"/>
                <w:szCs w:val="22"/>
                <w:color w:val="auto"/>
              </w:rPr>
              <w:t>Selling, general and administrative expense</w:t>
            </w:r>
          </w:p>
        </w:tc>
        <w:tc>
          <w:tcPr>
            <w:tcW w:w="3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Operating income</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Borders>
              <w:bottom w:val="single" w:sz="8" w:color="CCEEFF"/>
            </w:tcBorders>
          </w:tcPr>
          <w:p>
            <w:pPr>
              <w:spacing w:after="0" w:line="243" w:lineRule="exact"/>
              <w:rPr>
                <w:sz w:val="20"/>
                <w:szCs w:val="20"/>
                <w:color w:val="auto"/>
              </w:rPr>
            </w:pPr>
            <w:r>
              <w:rPr>
                <w:rFonts w:ascii="Times New Roman" w:cs="Times New Roman" w:eastAsia="Times New Roman" w:hAnsi="Times New Roman"/>
                <w:sz w:val="22"/>
                <w:szCs w:val="22"/>
                <w:color w:val="auto"/>
              </w:rPr>
              <w:t>Interest income</w:t>
            </w:r>
          </w:p>
        </w:tc>
        <w:tc>
          <w:tcPr>
            <w:tcW w:w="3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Income before taxes</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Borders>
              <w:bottom w:val="single" w:sz="8" w:color="CCEEFF"/>
            </w:tcBorders>
          </w:tcPr>
          <w:p>
            <w:pPr>
              <w:spacing w:after="0" w:line="243" w:lineRule="exact"/>
              <w:rPr>
                <w:sz w:val="20"/>
                <w:szCs w:val="20"/>
                <w:color w:val="auto"/>
              </w:rPr>
            </w:pPr>
            <w:r>
              <w:rPr>
                <w:rFonts w:ascii="Times New Roman" w:cs="Times New Roman" w:eastAsia="Times New Roman" w:hAnsi="Times New Roman"/>
                <w:sz w:val="22"/>
                <w:szCs w:val="22"/>
                <w:color w:val="auto"/>
              </w:rPr>
              <w:t>Income tax expense</w:t>
            </w:r>
          </w:p>
        </w:tc>
        <w:tc>
          <w:tcPr>
            <w:tcW w:w="3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Borders>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2"/>
                <w:szCs w:val="22"/>
                <w:color w:val="auto"/>
              </w:rPr>
              <w:t>Net income</w:t>
            </w:r>
          </w:p>
        </w:tc>
        <w:tc>
          <w:tcPr>
            <w:tcW w:w="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1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w w:val="97"/>
              </w:rPr>
              <w:t>Basic and diluted net income per common share</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spacing w:after="0" w:line="209" w:lineRule="exact"/>
              <w:rPr>
                <w:sz w:val="20"/>
                <w:szCs w:val="20"/>
                <w:color w:val="auto"/>
              </w:rPr>
            </w:pPr>
            <w:r>
              <w:rPr>
                <w:rFonts w:ascii="Times New Roman" w:cs="Times New Roman" w:eastAsia="Times New Roman" w:hAnsi="Times New Roman"/>
                <w:sz w:val="22"/>
                <w:szCs w:val="22"/>
                <w:color w:val="auto"/>
              </w:rPr>
              <w:t>Weighted average diluted common shares</w:t>
            </w: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1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outstanding</w:t>
            </w: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85"/>
              </w:rPr>
              <w:t>-4-</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3"/>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57"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2565400</wp:posOffset>
            </wp:positionH>
            <wp:positionV relativeFrom="page">
              <wp:posOffset>688975</wp:posOffset>
            </wp:positionV>
            <wp:extent cx="2442845" cy="814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44284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COMPX DECLARES REGULAR QUARTERLY DIVIDEND</w:t>
      </w:r>
    </w:p>
    <w:p>
      <w:pPr>
        <w:spacing w:after="0" w:line="200" w:lineRule="exact"/>
        <w:rPr>
          <w:sz w:val="20"/>
          <w:szCs w:val="20"/>
          <w:color w:val="auto"/>
        </w:rPr>
      </w:pPr>
    </w:p>
    <w:p>
      <w:pPr>
        <w:spacing w:after="0" w:line="28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DALLAS, TEXAS . . . March 5, 2025 . . . CompX International Inc. (NYSE American: CIX) announced today that its board of directors has declared CompX’s regular quarterly dividend of thirty cents ($0.30) per share on its class A common stock, payable on March 25, 2025 to stockholders of record at the close of business on March 17, 2025.</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CompX is a leading manufacturer of security products and recreational marine components.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Bryan A. Hanley</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Senior Vice President and Treasurer</w:t>
      </w:r>
    </w:p>
    <w:p>
      <w:pPr>
        <w:ind w:left="200"/>
        <w:spacing w:after="0"/>
        <w:rPr>
          <w:sz w:val="20"/>
          <w:szCs w:val="20"/>
          <w:color w:val="auto"/>
        </w:rPr>
      </w:pPr>
      <w:r>
        <w:rPr>
          <w:rFonts w:ascii="Times New Roman" w:cs="Times New Roman" w:eastAsia="Times New Roman" w:hAnsi="Times New Roman"/>
          <w:sz w:val="22"/>
          <w:szCs w:val="22"/>
          <w:color w:val="auto"/>
        </w:rPr>
        <w:t>Tel. 972-233-1700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398780</wp:posOffset>
            </wp:positionV>
            <wp:extent cx="54521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2025-03-05T15:31:43Z</dcterms:created>
  <dcterms:modified xsi:type="dcterms:W3CDTF">2025-03-05T15:31:43Z</dcterms:modified>
</cp:coreProperties>
</file>