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22, 2019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75240-2620</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229"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229" w:right="239" w:bottom="1440" w:gutter="0" w:footer="0" w:header="0"/>
          <w:type w:val="continuous"/>
        </w:sectPr>
      </w:pP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41"/>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41"/>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4360" w:type="dxa"/>
            <w:vAlign w:val="bottom"/>
          </w:tcPr>
          <w:p>
            <w:pPr>
              <w:jc w:val="center"/>
              <w:spacing w:after="0" w:line="201" w:lineRule="exact"/>
              <w:rPr>
                <w:sz w:val="20"/>
                <w:szCs w:val="20"/>
                <w:color w:val="auto"/>
              </w:rPr>
            </w:pPr>
            <w:r>
              <w:rPr>
                <w:rFonts w:ascii="Arial" w:cs="Arial" w:eastAsia="Arial" w:hAnsi="Arial"/>
                <w:sz w:val="18"/>
                <w:szCs w:val="18"/>
                <w:color w:val="auto"/>
                <w:w w:val="90"/>
              </w:rPr>
              <w:t>Class A common stock</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88"/>
              </w:rPr>
              <w:t>($.01 par value per share)</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rPr>
              <w:t>CIX</w:t>
            </w:r>
          </w:p>
        </w:tc>
        <w:tc>
          <w:tcPr>
            <w:tcW w:w="1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0" w:lineRule="exact"/>
        <w:rPr>
          <w:sz w:val="24"/>
          <w:szCs w:val="24"/>
          <w:color w:val="auto"/>
        </w:rPr>
      </w:pPr>
    </w:p>
    <w:p>
      <w:pPr>
        <w:spacing w:after="0" w:line="27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5.05</w:t>
      </w:r>
      <w:r>
        <w:rPr>
          <w:sz w:val="20"/>
          <w:szCs w:val="20"/>
          <w:color w:val="auto"/>
        </w:rPr>
        <w:tab/>
      </w:r>
      <w:r>
        <w:rPr>
          <w:rFonts w:ascii="Arial" w:cs="Arial" w:eastAsia="Arial" w:hAnsi="Arial"/>
          <w:sz w:val="16"/>
          <w:szCs w:val="16"/>
          <w:b w:val="1"/>
          <w:bCs w:val="1"/>
          <w:color w:val="auto"/>
        </w:rPr>
        <w:t>Amendments to the Registrant’s Code of Ethics, or Waiver of a Provision of the Code of Ethics.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22, 2019, the registrant’s board of directors adopted and approved certain amendments to the registrant’s Code of Business Conduct and Ethics, as reflected in an amended and restated version of the Code of Business Conduct and Ethics (the “Code”).</w:t>
      </w:r>
    </w:p>
    <w:p>
      <w:pPr>
        <w:spacing w:after="0" w:line="19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Code was revised and updated to add the following subsections: Culture and Tone at the Top; Fair Employment Practices and Harassment Free Workplace; and Safety and Sustainability. The Code also includes revised provisions related to, among other things, confidentiality and company assets.</w:t>
      </w:r>
    </w:p>
    <w:p>
      <w:pPr>
        <w:spacing w:after="0" w:line="15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description of the amendments to the Code contained in this report is qualified in its entirety by reference to the full text of the Code filed as Exhibit 14.1 to this Current Report on Form 8-K. The Code is also available in the Corporate section of registrant’s website at www.compx.com.</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80" w:hanging="672"/>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Item No.</w:t>
            </w:r>
          </w:p>
        </w:tc>
        <w:tc>
          <w:tcPr>
            <w:tcW w:w="320" w:type="dxa"/>
            <w:vAlign w:val="bottom"/>
          </w:tcPr>
          <w:p>
            <w:pPr>
              <w:spacing w:after="0"/>
              <w:rPr>
                <w:sz w:val="20"/>
                <w:szCs w:val="20"/>
                <w:color w:val="auto"/>
              </w:rPr>
            </w:pPr>
          </w:p>
        </w:tc>
        <w:tc>
          <w:tcPr>
            <w:tcW w:w="8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Exhibit Index</w:t>
            </w:r>
          </w:p>
        </w:tc>
      </w:tr>
      <w:tr>
        <w:trPr>
          <w:trHeight w:val="392"/>
        </w:trPr>
        <w:tc>
          <w:tcPr>
            <w:tcW w:w="680" w:type="dxa"/>
            <w:vAlign w:val="bottom"/>
          </w:tcPr>
          <w:p>
            <w:pPr>
              <w:spacing w:after="0"/>
              <w:rPr>
                <w:sz w:val="24"/>
                <w:szCs w:val="24"/>
                <w:color w:val="auto"/>
              </w:rPr>
            </w:pPr>
          </w:p>
        </w:tc>
        <w:tc>
          <w:tcPr>
            <w:tcW w:w="2260" w:type="dxa"/>
            <w:vAlign w:val="bottom"/>
          </w:tcPr>
          <w:p>
            <w:pPr>
              <w:jc w:val="right"/>
              <w:ind w:right="890"/>
              <w:spacing w:after="0"/>
              <w:rPr>
                <w:sz w:val="20"/>
                <w:szCs w:val="20"/>
                <w:color w:val="auto"/>
              </w:rPr>
            </w:pPr>
            <w:r>
              <w:rPr>
                <w:rFonts w:ascii="Arial" w:cs="Arial" w:eastAsia="Arial" w:hAnsi="Arial"/>
                <w:sz w:val="18"/>
                <w:szCs w:val="18"/>
                <w:color w:val="auto"/>
              </w:rPr>
              <w:t>14.1</w:t>
            </w:r>
          </w:p>
        </w:tc>
        <w:tc>
          <w:tcPr>
            <w:tcW w:w="8480" w:type="dxa"/>
            <w:vAlign w:val="bottom"/>
            <w:gridSpan w:val="3"/>
          </w:tcPr>
          <w:p>
            <w:pPr>
              <w:jc w:val="center"/>
              <w:ind w:left="190"/>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CompX International Inc. Code of Business Conduct and Ethics, Amended and Restated Effective May 22, 2019</w:t>
              </w:r>
            </w:hyperlink>
          </w:p>
        </w:tc>
      </w:tr>
      <w:tr>
        <w:trPr>
          <w:trHeight w:val="203"/>
        </w:trPr>
        <w:tc>
          <w:tcPr>
            <w:tcW w:w="68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120" w:type="dxa"/>
            <w:vAlign w:val="bottom"/>
            <w:tcBorders>
              <w:top w:val="single" w:sz="8" w:color="0000EE"/>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gridSpan w:val="2"/>
          </w:tcPr>
          <w:p>
            <w:pPr>
              <w:ind w:left="5680"/>
              <w:spacing w:after="0"/>
              <w:rPr>
                <w:sz w:val="20"/>
                <w:szCs w:val="20"/>
                <w:color w:val="auto"/>
              </w:rPr>
            </w:pPr>
            <w:r>
              <w:rPr>
                <w:rFonts w:ascii="Arial" w:cs="Arial" w:eastAsia="Arial" w:hAnsi="Arial"/>
                <w:sz w:val="18"/>
                <w:szCs w:val="18"/>
                <w:color w:val="auto"/>
              </w:rPr>
              <w:t>By:</w:t>
            </w:r>
          </w:p>
        </w:tc>
        <w:tc>
          <w:tcPr>
            <w:tcW w:w="5380" w:type="dxa"/>
            <w:vAlign w:val="bottom"/>
          </w:tcPr>
          <w:p>
            <w:pPr>
              <w:ind w:left="380"/>
              <w:spacing w:after="0"/>
              <w:rPr>
                <w:sz w:val="20"/>
                <w:szCs w:val="20"/>
                <w:color w:val="auto"/>
              </w:rPr>
            </w:pPr>
            <w:r>
              <w:rPr>
                <w:rFonts w:ascii="Arial" w:cs="Arial" w:eastAsia="Arial" w:hAnsi="Arial"/>
                <w:sz w:val="18"/>
                <w:szCs w:val="18"/>
                <w:color w:val="auto"/>
              </w:rPr>
              <w:t>/s/ Jane Grimm</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24, 2019</w:t>
            </w:r>
          </w:p>
        </w:tc>
        <w:tc>
          <w:tcPr>
            <w:tcW w:w="360" w:type="dxa"/>
            <w:vAlign w:val="bottom"/>
            <w:tcBorders>
              <w:top w:val="single" w:sz="8" w:color="auto"/>
            </w:tcBorders>
          </w:tcPr>
          <w:p>
            <w:pPr>
              <w:spacing w:after="0"/>
              <w:rPr>
                <w:sz w:val="20"/>
                <w:szCs w:val="20"/>
                <w:color w:val="auto"/>
              </w:rPr>
            </w:pPr>
          </w:p>
        </w:tc>
        <w:tc>
          <w:tcPr>
            <w:tcW w:w="5380" w:type="dxa"/>
            <w:vAlign w:val="bottom"/>
            <w:tcBorders>
              <w:top w:val="single" w:sz="8" w:color="auto"/>
            </w:tcBorders>
          </w:tcPr>
          <w:p>
            <w:pPr>
              <w:ind w:left="120"/>
              <w:spacing w:after="0"/>
              <w:rPr>
                <w:sz w:val="20"/>
                <w:szCs w:val="20"/>
                <w:color w:val="auto"/>
              </w:rPr>
            </w:pPr>
            <w:r>
              <w:rPr>
                <w:rFonts w:ascii="Arial" w:cs="Arial" w:eastAsia="Arial" w:hAnsi="Arial"/>
                <w:sz w:val="18"/>
                <w:szCs w:val="18"/>
                <w:i w:val="1"/>
                <w:iCs w:val="1"/>
                <w:color w:val="auto"/>
              </w:rPr>
              <w:t>Jane Grimm, Vice President and Secretary</w:t>
            </w: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280920" cy="1003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80920" cy="100330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OMP</w:t>
      </w:r>
      <w:r>
        <w:rPr>
          <w:rFonts w:ascii="Arial" w:cs="Arial" w:eastAsia="Arial" w:hAnsi="Arial"/>
          <w:sz w:val="25"/>
          <w:szCs w:val="25"/>
          <w:b w:val="1"/>
          <w:bCs w:val="1"/>
          <w:color w:val="auto"/>
        </w:rPr>
        <w:t>X I</w:t>
      </w:r>
      <w:r>
        <w:rPr>
          <w:rFonts w:ascii="Arial" w:cs="Arial" w:eastAsia="Arial" w:hAnsi="Arial"/>
          <w:sz w:val="17"/>
          <w:szCs w:val="17"/>
          <w:b w:val="1"/>
          <w:bCs w:val="1"/>
          <w:color w:val="auto"/>
        </w:rPr>
        <w:t>NTERNATIONAL</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Amended and Restated Effective May 22, 2019</w:t>
      </w:r>
    </w:p>
    <w:p>
      <w:pPr>
        <w:spacing w:after="0" w:line="200" w:lineRule="exact"/>
        <w:rPr>
          <w:sz w:val="20"/>
          <w:szCs w:val="20"/>
          <w:color w:val="auto"/>
        </w:rPr>
      </w:pPr>
    </w:p>
    <w:p>
      <w:pPr>
        <w:spacing w:after="0" w:line="277"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Code of Business Conduct and Ethics (“</w:t>
      </w:r>
      <w:r>
        <w:rPr>
          <w:rFonts w:ascii="Arial" w:cs="Arial" w:eastAsia="Arial" w:hAnsi="Arial"/>
          <w:sz w:val="16"/>
          <w:szCs w:val="16"/>
          <w:i w:val="1"/>
          <w:iCs w:val="1"/>
          <w:color w:val="auto"/>
        </w:rPr>
        <w:t>Code</w:t>
      </w:r>
      <w:r>
        <w:rPr>
          <w:rFonts w:ascii="Arial" w:cs="Arial" w:eastAsia="Arial" w:hAnsi="Arial"/>
          <w:sz w:val="16"/>
          <w:szCs w:val="16"/>
          <w:color w:val="auto"/>
        </w:rPr>
        <w:t>”) sets forth the guiding principles by which we operate our company and conduct our daily business with our stockholders, customers, suppliers and with each other. These principles apply to all of the directors, officers and employees of CompX International Inc. and each of CompX’s subsidiaries except for subsidiaries that are subject to a separate code of business conduct (referred to herein as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CompX</w:t>
      </w:r>
      <w:r>
        <w:rPr>
          <w:rFonts w:ascii="Arial" w:cs="Arial" w:eastAsia="Arial" w:hAnsi="Arial"/>
          <w:sz w:val="16"/>
          <w:szCs w:val="16"/>
          <w:color w:val="auto"/>
        </w:rPr>
        <w:t>”). Unless the context indicates otherwise, the term “</w:t>
      </w:r>
      <w:r>
        <w:rPr>
          <w:rFonts w:ascii="Arial" w:cs="Arial" w:eastAsia="Arial" w:hAnsi="Arial"/>
          <w:sz w:val="16"/>
          <w:szCs w:val="16"/>
          <w:i w:val="1"/>
          <w:iCs w:val="1"/>
          <w:color w:val="auto"/>
        </w:rPr>
        <w:t>employee</w:t>
      </w:r>
      <w:r>
        <w:rPr>
          <w:rFonts w:ascii="Arial" w:cs="Arial" w:eastAsia="Arial" w:hAnsi="Arial"/>
          <w:sz w:val="16"/>
          <w:szCs w:val="16"/>
          <w:color w:val="auto"/>
        </w:rPr>
        <w:t>” as used in this Code includes CompX’s officers and directors.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All employees are required to adhere to the principles and guidelines contained in this Code in all material respects. Failure to uphold the standards of this Code will result in disciplinary action, up to and including termination of employment, and if warranted, legal proceedings. If you have questions about the applicability of this Code, please consult your supervisor or manager or the officer in charge of your department. If you have knowledge of or suspect a situation that you believe may violate or lead to a violation of this Code, please follow the reporting guidelines described in </w:t>
      </w:r>
      <w:r>
        <w:rPr>
          <w:rFonts w:ascii="Arial" w:cs="Arial" w:eastAsia="Arial" w:hAnsi="Arial"/>
          <w:sz w:val="18"/>
          <w:szCs w:val="18"/>
          <w:b w:val="1"/>
          <w:bCs w:val="1"/>
          <w:color w:val="auto"/>
        </w:rPr>
        <w:t>Section III</w:t>
      </w:r>
      <w:r>
        <w:rPr>
          <w:rFonts w:ascii="Arial" w:cs="Arial" w:eastAsia="Arial" w:hAnsi="Arial"/>
          <w:sz w:val="18"/>
          <w:szCs w:val="18"/>
          <w:color w:val="auto"/>
        </w:rPr>
        <w:t xml:space="preserve"> of this Code.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CompX engages in transactions with affiliated companies. In addition, certain executive officers and directors of CompX serve as executive officers and directors of affiliated companies. With respect to transactions between or involving CompX and one or more of its affiliates, it shall not be a violation of this Code if the transaction has been approved or ratified in accordance with the Company’s Policy Regarding Related Party Transactions.</w:t>
      </w:r>
    </w:p>
    <w:p>
      <w:pPr>
        <w:spacing w:after="0" w:line="210" w:lineRule="exact"/>
        <w:rPr>
          <w:sz w:val="20"/>
          <w:szCs w:val="20"/>
          <w:color w:val="auto"/>
        </w:rPr>
      </w:pPr>
    </w:p>
    <w:p>
      <w:pPr>
        <w:ind w:left="840" w:hanging="832"/>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Culture and Tone at the Top.</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seeks to make a financial profit using ethical practices in all aspects of its business. All employees are to have a high degree of integrity, honesty and ethics. Senior management’s commitment to integrity and ethical behavior is communicated by setting an appropriate tone at the top and leading through example.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employees of the Company should be careful to avoid any action or interest that conflicts with or gives the appearance of a conflict with CompX’s interests. A “</w:t>
      </w:r>
      <w:r>
        <w:rPr>
          <w:rFonts w:ascii="Arial" w:cs="Arial" w:eastAsia="Arial" w:hAnsi="Arial"/>
          <w:sz w:val="17"/>
          <w:szCs w:val="17"/>
          <w:i w:val="1"/>
          <w:iCs w:val="1"/>
          <w:color w:val="auto"/>
        </w:rPr>
        <w:t>conflict of interest</w:t>
      </w:r>
      <w:r>
        <w:rPr>
          <w:rFonts w:ascii="Arial" w:cs="Arial" w:eastAsia="Arial" w:hAnsi="Arial"/>
          <w:sz w:val="17"/>
          <w:szCs w:val="17"/>
          <w:color w:val="auto"/>
        </w:rPr>
        <w:t>” may exist whenever an individual’s private interests interfere or conflict (or even appear to interfere or conflict) with the interests of CompX. A conflict of interest may arise when an employee takes actions or has interests that may make it difficult to perform his or her work for CompX objectively or effectively. Conflicts of interest also may arise when an employee or a member of his or her family receives in an improper manner personal benefits as a result of his or her position with the Company, whether from a third party or from CompX.</w:t>
      </w:r>
    </w:p>
    <w:p>
      <w:pPr>
        <w:spacing w:after="0" w:line="20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Conflicts of interest are prohibited as a matter of CompX policy. If you have a question about a potential conflict, consult your supervisor or manager or the officer in charge of your department. If you become aware of a conflict of interest, you must bring it to the attention of your supervisor or manager, the officer in charge of your department or the General Counsel.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Employees owe a duty to the Company to advance CompX’s legitimate interests when the opportunity to do so arises. Employees are prohibited from (a) taking for themselves personally opportunities that properly belong to CompX or are discovered through the use of corporate property, information or position; (b) using corporate property, information or position for improper personal gain; and (c) competing with the interests of CompX.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824605" cy="694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824605" cy="694690"/>
                    </a:xfrm>
                    <a:prstGeom prst="rect">
                      <a:avLst/>
                    </a:prstGeom>
                    <a:noFill/>
                  </pic:spPr>
                </pic:pic>
              </a:graphicData>
            </a:graphic>
          </wp:anchor>
        </w:drawing>
        <w:t>Confidentiality.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Employees must maintain the confidentiality of confidential information entrusted or made accessible to them by the Company or its customers, except when disclosure is authorized by an officer of the Company or required by laws and regulations. Confidential information includes all non-public information that might be of use to competitors, or harmful to the Company or its customers, if disclosed. It also includes information that customers, suppliers and employees have entrusted to us in confidence, including personal identifiable information. This obligation not to disclose confidential information continues even after employment 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and Proper Use of Company Assets.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employees must protect the Company’s assets and ensure their efficient use. Company assets include but are not limited to its property, plant and equipment, inventories, amounts on deposit and other investments held by financial institutions, books and records (including evidence of amounts owed to the Company by third parties), intellectual property and electronic and other types of data. Theft, misappropriation, embezzlement, carelessness and waste have a direct impact on the Company’s profitability. All Company assets may be used only for legitimate business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and Fair Dealing.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seeks to outperform its competition in a fair and honest manner. The Company seeks competitive advantages through superior performance, never through unethical or illegal business practices. Stealing proprietary information, possessing trade secret information that was obtained without the owner’s consent or inducing such disclosures by past or present employees of other companies is prohibited. Each employee should endeavor to respect the rights of and deal fairly with the Company’s customers, suppliers, competitors and employees. No employee should take unfair advantage of anyone through manipulation, concealment, abuse of privileged or confidential information, misrepresentation of material facts or any other intentional unfair-dealing practice.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Employment Practices and Harassment Free Workplace.</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an equal opportunity employer and bases employment decisions on merit, competence and qualifications, without regard to race, color, national origin, gender, age, religion, disability, sex, sexual orientation or other characteristics protected by applicable law in the jurisdictions in which it operates. The Company promotes a respectful and diverse workplace in which all individuals are treated with respect and dignity. Abuse or harassment of any kind, including sexual or racial harassment or actions that are intimidating, discriminatory or offensive, whether by employees (at any level) or non-employees and third parties (e.g., customers and suppliers) if occurring in the course and scope of an employee’s job, are not tolerated.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Laws, Rules and Regulations.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employees are expected to understand, respect and comply with all of the laws, rules and regulations, including insider trading laws, that apply to them in their position with CompX. Although not all employees are expected to know the details of each of these laws, it is important that all employees know enough about the laws applicable to their position with the Company in order to know when to seek advice from supervisors, managers or other appropriate personnel.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Company Reporting.</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public company, the Company’s filings with the Securities and Exchange Commission must be full, fair, accurate, timely and understandable. Depending on your position with the Company, you may be called upon to provide necessary information to assure that the Company’s public reports satisfy these requirements. The Company expects employees to take this responsibility very seriously and to provide prompt, accurate and complete answers to inquiries related to these public disclosure requirements.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31" w:right="239" w:bottom="1440" w:gutter="0" w:footer="0" w:header="0"/>
        </w:sectPr>
      </w:pPr>
    </w:p>
    <w:bookmarkStart w:id="5" w:name="page6"/>
    <w:bookmarkEnd w:id="5"/>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3824605" cy="694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824605" cy="694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Financial Statements and Other Records.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the Company’s books, records, accounts and financial statements must be maintained in reasonable detail, must appropriately reflect the Company’s transactions and must conform both to applicable legal requirements and to the Company’s system of internal controls. The falsification of any of the Company’s books, records, accounts or financial statements by the entry of any materially inaccurate information or the omission of any material information is prohibited.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Records should always be retained or destroyed according to the Company’s record retention policies. In accordance with those policies, in the event of pending or anticipated litigation or governmental investigation, please consult the General Counsel.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Sustainability.</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is committed to maintaining a safe work environment to protect employees, the public, and the environment. The Company’s policy is to comply with applicable laws and regulations concerning employee safety, personal protection, and the environment in the jurisdictions in which it operates.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seeks to minimize the impact of its operations through sustainable development, and monitoring and auditing of its processes and procedures. This includes setting goals to improve the quality, energy performance and safety of production facilities, and taking steps to reduce its environmental footprint.</w:t>
      </w:r>
    </w:p>
    <w:p>
      <w:pPr>
        <w:spacing w:after="0" w:line="204" w:lineRule="exact"/>
        <w:rPr>
          <w:sz w:val="20"/>
          <w:szCs w:val="20"/>
          <w:color w:val="auto"/>
        </w:rPr>
      </w:pPr>
    </w:p>
    <w:p>
      <w:pPr>
        <w:ind w:right="6900" w:firstLine="8"/>
        <w:spacing w:after="0" w:line="534" w:lineRule="auto"/>
        <w:tabs>
          <w:tab w:leader="none" w:pos="90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VIOLATIONS OF THIS CODE Illegal or Unethical Behavior.</w:t>
      </w:r>
    </w:p>
    <w:p>
      <w:pPr>
        <w:spacing w:after="0" w:line="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Employees who suspect or know of a situation that may violate or lead to a violation of this Code are obligated to report such information and are strongly encouraged to report such information directly to the Company. Employees may, but are not required to, report such information on a confidential, anonymous basis using the Company’s compliance reporting line by calling 844-611-4137 (toll free) in the US or Canada or going to www.compx.ethicspoint.com. In the alternative, employees may report such information to their supervisor or manager or the officer in charge of their department. If the individual to whom such information is reported is not responsive, or if there is a reasonable basis to believe that reporting to such individual is inappropriate in a particular case, then the employee should contact the Company’s General Counsel. All such communications will be investigated and kept confidential to the extent feasible, subject to applicable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Concerns or Complaints.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policy is to comply with all applicable financial reporting and accounting regulations. Employees of the Company who have unresolved concerns or complaints regarding questionable accounting or auditing matters of the Company, are strongly encouraged to report those concerns or complaints directly to the Company. Employees may, but are not required to, report such concerns or complaints on a confidential, anonymous basis using the Company’s compliance reporting line by calling 844-611-4137 (toll free) in the US or Canada or going to www.compx.ethicspoint.com. In the alternative, employees may report such information to their supervisor or manager or the officer in charge of their department. If the individual to whom such information is reported is not responsive, or if there is a reasonable basis to believe that reporting to such individual is inappropriate in a particular case, then the employee should report his or her concerns to the Company’s Chief Financial Officer with a copy to the General Counsel. All such communications will be investigated and kept confidential to the extent feasible, subject to applicable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employees are expected to cooperate fully with any investigation or inquiry conducted by or on behalf of the Company. Employees must be forthright and truthful in connection with all such investigations or inquiries.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3824605" cy="69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824605" cy="694690"/>
                    </a:xfrm>
                    <a:prstGeom prst="rect">
                      <a:avLst/>
                    </a:prstGeom>
                    <a:noFill/>
                  </pic:spPr>
                </pic:pic>
              </a:graphicData>
            </a:graphic>
          </wp:anchor>
        </w:drawing>
        <w:t>Non-Retaliation.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prohibits retaliation of any kind against individuals who have made good faith reports or complaints of violations or suspected violations of this Code. No action will be taken or threatened against employees who submit such report or complaint unless (1) the reports or complaints were made with the knowledge that they were false or with willful disregard for their truth or accuracy, or (2) the employee was involved in the improper activity.</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AMENDMENT, MODIFICATION AND WAIVER</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Code may be amended or modified only by the Board of Directors of CompX. Any waiver of this Code may be granted only by the Audit Committee of the Board of Directors of CompX or other committee of the Board of Directors with specific delegated authority. Waivers will be disclosed as required by the Securities Exchange Act of 1934, and the rules thereunder, and the applicable rules of the New York Stock Exchange.</w:t>
      </w:r>
    </w:p>
    <w:p>
      <w:pPr>
        <w:spacing w:after="0" w:line="200" w:lineRule="exact"/>
        <w:rPr>
          <w:sz w:val="20"/>
          <w:szCs w:val="20"/>
          <w:color w:val="auto"/>
        </w:rPr>
      </w:pPr>
    </w:p>
    <w:p>
      <w:pPr>
        <w:spacing w:after="0" w:line="232" w:lineRule="exact"/>
        <w:rPr>
          <w:sz w:val="20"/>
          <w:szCs w:val="20"/>
          <w:color w:val="auto"/>
        </w:rPr>
      </w:pPr>
    </w:p>
    <w:p>
      <w:pPr>
        <w:ind w:left="4220"/>
        <w:spacing w:after="0" w:line="282" w:lineRule="auto"/>
        <w:rPr>
          <w:sz w:val="20"/>
          <w:szCs w:val="20"/>
          <w:color w:val="auto"/>
        </w:rPr>
      </w:pPr>
      <w:r>
        <w:rPr>
          <w:rFonts w:ascii="Arial" w:cs="Arial" w:eastAsia="Arial" w:hAnsi="Arial"/>
          <w:sz w:val="18"/>
          <w:szCs w:val="18"/>
          <w:b w:val="1"/>
          <w:bCs w:val="1"/>
          <w:color w:val="auto"/>
        </w:rPr>
        <w:t>AMENDED AND RESTATED BY THE BOARD OF DIRECTORS OF COMPX INTERNATIONAL INC. EFFECTIVE MAY 22, 2019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Jane R. Grimm</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Jane R. Grimm, Secretary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- 4 -</w:t>
      </w:r>
    </w:p>
    <w:sectPr>
      <w:pgSz w:w="11900" w:h="16838" w:orient="portrait"/>
      <w:cols w:equalWidth="0" w:num="1">
        <w:col w:w="11420"/>
      </w:cols>
      <w:pgMar w:left="240" w:top="12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1."/>
      <w:numFmt w:val="upperLetter"/>
      <w:start w:val="9"/>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2019-12-28T11:35:02Z</dcterms:created>
  <dcterms:modified xsi:type="dcterms:W3CDTF">2019-12-28T11:35:02Z</dcterms:modified>
</cp:coreProperties>
</file>