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Times;serif" w:hAnsi="Times New Roman;Times;serif"/>
          <w:b/>
          <w:sz w:val="20"/>
        </w:rPr>
      </w:pPr>
      <w:r>
        <w:rPr>
          <w:rFonts w:ascii="Times New Roman;Times;serif" w:hAnsi="Times New Roman;Times;serif"/>
          <w:b/>
          <w:sz w:val="20"/>
        </w:rPr>
        <w:t>UNITED STATES</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360" w:after="240"/>
        <w:jc w:val="center"/>
        <w:rPr>
          <w:rFonts w:ascii="Times New Roman;Times;serif" w:hAnsi="Times New Roman;Times;serif"/>
          <w:b/>
          <w:sz w:val="28"/>
        </w:rPr>
      </w:pPr>
      <w:r>
        <w:rPr>
          <w:rFonts w:ascii="Times New Roman;Times;serif" w:hAnsi="Times New Roman;Times;serif"/>
          <w:b/>
          <w:sz w:val="28"/>
        </w:rPr>
        <w:t>FORM 8-K</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CURRENT REPORT</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spacing w:before="0" w:after="0"/>
        <w:rPr/>
      </w:pPr>
      <w:r>
        <w:rPr/>
      </w:r>
    </w:p>
    <w:p>
      <w:pPr>
        <w:pStyle w:val="TextBody"/>
        <w:spacing w:before="0" w:after="0"/>
        <w:jc w:val="center"/>
        <w:rPr>
          <w:rFonts w:ascii="Times New Roman;Times;serif" w:hAnsi="Times New Roman;Times;serif"/>
          <w:sz w:val="20"/>
        </w:rPr>
      </w:pPr>
      <w:r>
        <w:rPr>
          <w:rFonts w:ascii="Times New Roman;Times;serif" w:hAnsi="Times New Roman;Times;serif"/>
          <w:sz w:val="20"/>
        </w:rPr>
        <w:t>Date of Report (Date of the earliest event reported)</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May 25, 2022</w:t>
      </w:r>
    </w:p>
    <w:p>
      <w:pPr>
        <w:pStyle w:val="TextBody"/>
        <w:spacing w:before="360" w:after="283"/>
        <w:jc w:val="center"/>
        <w:rPr>
          <w:rFonts w:ascii="Times New Roman;Times;serif" w:hAnsi="Times New Roman;Times;serif"/>
          <w:b/>
          <w:smallCaps/>
          <w:sz w:val="36"/>
        </w:rPr>
      </w:pPr>
      <w:r>
        <w:rPr>
          <w:rFonts w:ascii="Times New Roman;Times;serif" w:hAnsi="Times New Roman;Times;serif"/>
          <w:b/>
          <w:smallCaps/>
          <w:sz w:val="36"/>
        </w:rPr>
        <w:t>CompX International Inc.</w:t>
      </w:r>
    </w:p>
    <w:p>
      <w:pPr>
        <w:pStyle w:val="TextBody"/>
        <w:spacing w:before="0" w:after="36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6224" w:type="dxa"/>
        <w:jc w:val="left"/>
        <w:tblInd w:w="0" w:type="dxa"/>
        <w:tblCellMar>
          <w:top w:w="0" w:type="dxa"/>
          <w:left w:w="0" w:type="dxa"/>
          <w:bottom w:w="0" w:type="dxa"/>
          <w:right w:w="0" w:type="dxa"/>
        </w:tblCellMar>
      </w:tblPr>
      <w:tblGrid>
        <w:gridCol w:w="3590"/>
        <w:gridCol w:w="1100"/>
        <w:gridCol w:w="29"/>
        <w:gridCol w:w="1505"/>
      </w:tblGrid>
      <w:tr>
        <w:trPr/>
        <w:tc>
          <w:tcPr>
            <w:tcW w:w="3590" w:type="dxa"/>
            <w:tcBorders/>
            <w:shd w:fill="auto" w:val="cle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Delaware</w:t>
            </w:r>
          </w:p>
        </w:tc>
        <w:tc>
          <w:tcPr>
            <w:tcW w:w="1100" w:type="dxa"/>
            <w:tcBorders/>
            <w:shd w:fill="auto" w:val="cle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1-13905</w:t>
            </w:r>
          </w:p>
        </w:tc>
        <w:tc>
          <w:tcPr>
            <w:tcW w:w="1534" w:type="dxa"/>
            <w:gridSpan w:val="2"/>
            <w:tcBorders/>
            <w:shd w:fill="auto" w:val="cle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57-0981653</w:t>
            </w:r>
          </w:p>
        </w:tc>
      </w:tr>
      <w:tr>
        <w:trPr/>
        <w:tc>
          <w:tcPr>
            <w:tcW w:w="3590" w:type="dxa"/>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00" w:type="dxa"/>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(Commission</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File Number)</w:t>
            </w:r>
          </w:p>
        </w:tc>
        <w:tc>
          <w:tcPr>
            <w:tcW w:w="1534" w:type="dxa"/>
            <w:gridSpan w:val="2"/>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(IRS Employer</w:t>
            </w:r>
          </w:p>
          <w:p>
            <w:pPr>
              <w:pStyle w:val="TableContents"/>
              <w:spacing w:before="0" w:after="0"/>
              <w:jc w:val="center"/>
              <w:rPr>
                <w:rFonts w:ascii="Times New Roman;Times;serif" w:hAnsi="Times New Roman;Times;serif"/>
                <w:sz w:val="20"/>
              </w:rPr>
            </w:pPr>
            <w:r>
              <w:rPr>
                <w:rFonts w:ascii="Times New Roman;Times;serif" w:hAnsi="Times New Roman;Times;serif"/>
                <w:sz w:val="20"/>
              </w:rPr>
              <w:t>Identification No.)</w:t>
            </w:r>
          </w:p>
        </w:tc>
      </w:tr>
      <w:tr>
        <w:trPr/>
        <w:tc>
          <w:tcPr>
            <w:tcW w:w="359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34" w:type="dxa"/>
            <w:gridSpan w:val="2"/>
            <w:tcBorders/>
            <w:shd w:fill="auto" w:val="clear"/>
            <w:vAlign w:val="center"/>
          </w:tcPr>
          <w:p>
            <w:pPr>
              <w:pStyle w:val="TableContents"/>
              <w:spacing w:before="0" w:after="283"/>
              <w:rPr/>
            </w:pPr>
            <w:r>
              <w:rPr/>
              <w:t> </w:t>
            </w:r>
          </w:p>
        </w:tc>
      </w:tr>
      <w:tr>
        <w:trPr/>
        <w:tc>
          <w:tcPr>
            <w:tcW w:w="359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34" w:type="dxa"/>
            <w:gridSpan w:val="2"/>
            <w:tcBorders/>
            <w:shd w:fill="auto" w:val="clear"/>
            <w:vAlign w:val="center"/>
          </w:tcPr>
          <w:p>
            <w:pPr>
              <w:pStyle w:val="TableContents"/>
              <w:spacing w:before="0" w:after="283"/>
              <w:rPr/>
            </w:pPr>
            <w:r>
              <w:rPr/>
              <w:t> </w:t>
            </w:r>
          </w:p>
        </w:tc>
      </w:tr>
      <w:tr>
        <w:trPr/>
        <w:tc>
          <w:tcPr>
            <w:tcW w:w="4719" w:type="dxa"/>
            <w:gridSpan w:val="3"/>
            <w:tcBorders/>
            <w:shd w:fill="auto" w:val="cle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505" w:type="dxa"/>
            <w:tcBorders/>
            <w:shd w:fill="auto" w:val="cle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75240-2620</w:t>
            </w:r>
          </w:p>
        </w:tc>
      </w:tr>
      <w:tr>
        <w:trPr/>
        <w:tc>
          <w:tcPr>
            <w:tcW w:w="4719" w:type="dxa"/>
            <w:gridSpan w:val="3"/>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24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120"/>
        <w:jc w:val="center"/>
        <w:rPr>
          <w:rFonts w:ascii="Times New Roman;Times;serif" w:hAnsi="Times New Roman;Times;serif"/>
          <w:b/>
          <w:sz w:val="24"/>
        </w:rPr>
      </w:pPr>
      <w:r>
        <w:rPr>
          <w:rFonts w:ascii="Times New Roman;Times;serif" w:hAnsi="Times New Roman;Times;serif"/>
          <w:b/>
          <w:sz w:val="24"/>
        </w:rPr>
        <w:t>(972) 448-1400</w:t>
      </w:r>
    </w:p>
    <w:tbl>
      <w:tblPr>
        <w:tblW w:w="5075" w:type="dxa"/>
        <w:jc w:val="left"/>
        <w:tblInd w:w="0" w:type="dxa"/>
        <w:tblCellMar>
          <w:top w:w="0" w:type="dxa"/>
          <w:left w:w="0" w:type="dxa"/>
          <w:bottom w:w="0" w:type="dxa"/>
          <w:right w:w="0" w:type="dxa"/>
        </w:tblCellMar>
      </w:tblPr>
      <w:tblGrid>
        <w:gridCol w:w="75"/>
        <w:gridCol w:w="4925"/>
        <w:gridCol w:w="75"/>
      </w:tblGrid>
      <w:tr>
        <w:trPr/>
        <w:tc>
          <w:tcPr>
            <w:tcW w:w="75" w:type="dxa"/>
            <w:tcBorders/>
            <w:shd w:fill="auto" w:val="clear"/>
            <w:vAlign w:val="center"/>
          </w:tcPr>
          <w:p>
            <w:pPr>
              <w:pStyle w:val="TableContents"/>
              <w:spacing w:before="0" w:after="283"/>
              <w:rPr/>
            </w:pPr>
            <w:r>
              <w:rPr/>
              <w:t> </w:t>
            </w:r>
          </w:p>
        </w:tc>
        <w:tc>
          <w:tcPr>
            <w:tcW w:w="4925" w:type="dxa"/>
            <w:tcBorders>
              <w:bottom w:val="single" w:sz="12"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75" w:type="dxa"/>
            <w:tcBorders/>
            <w:shd w:fill="auto" w:val="clear"/>
            <w:vAlign w:val="center"/>
          </w:tcPr>
          <w:p>
            <w:pPr>
              <w:pStyle w:val="TableContents"/>
              <w:spacing w:before="0" w:after="283"/>
              <w:rPr/>
            </w:pPr>
            <w:r>
              <w:rPr/>
              <w:t> </w:t>
            </w:r>
          </w:p>
        </w:tc>
      </w:tr>
    </w:tbl>
    <w:p>
      <w:pPr>
        <w:pStyle w:val="TextBody"/>
        <w:spacing w:before="240" w:after="24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0"/>
              <w:jc w:val="center"/>
              <w:rPr/>
            </w:pPr>
            <w:r>
              <w:rPr/>
              <w:t>☐</w:t>
            </w:r>
          </w:p>
        </w:tc>
        <w:tc>
          <w:tcPr>
            <w:tcW w:w="90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0"/>
              <w:jc w:val="center"/>
              <w:rPr/>
            </w:pPr>
            <w:r>
              <w:rPr/>
              <w:t>☐</w:t>
            </w:r>
          </w:p>
        </w:tc>
        <w:tc>
          <w:tcPr>
            <w:tcW w:w="90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0"/>
              <w:jc w:val="center"/>
              <w:rPr/>
            </w:pPr>
            <w:r>
              <w:rPr/>
              <w:t>☐</w:t>
            </w:r>
          </w:p>
        </w:tc>
        <w:tc>
          <w:tcPr>
            <w:tcW w:w="90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0"/>
              <w:jc w:val="center"/>
              <w:rPr/>
            </w:pPr>
            <w:r>
              <w:rPr/>
              <w:t>☐</w:t>
            </w:r>
          </w:p>
        </w:tc>
        <w:tc>
          <w:tcPr>
            <w:tcW w:w="90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pacing w:before="240" w:after="283"/>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rPr/>
      </w:pPr>
      <w:r>
        <w:rPr/>
      </w:r>
    </w:p>
    <w:tbl>
      <w:tblPr>
        <w:tblW w:w="5895" w:type="dxa"/>
        <w:jc w:val="left"/>
        <w:tblInd w:w="0" w:type="dxa"/>
        <w:tblCellMar>
          <w:top w:w="0" w:type="dxa"/>
          <w:left w:w="0" w:type="dxa"/>
          <w:bottom w:w="28" w:type="dxa"/>
          <w:right w:w="0" w:type="dxa"/>
        </w:tblCellMar>
      </w:tblPr>
      <w:tblGrid>
        <w:gridCol w:w="1835"/>
        <w:gridCol w:w="60"/>
        <w:gridCol w:w="740"/>
        <w:gridCol w:w="60"/>
        <w:gridCol w:w="3200"/>
      </w:tblGrid>
      <w:tr>
        <w:trPr/>
        <w:tc>
          <w:tcPr>
            <w:tcW w:w="1835"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Title of each class</w:t>
            </w:r>
          </w:p>
        </w:tc>
        <w:tc>
          <w:tcPr>
            <w:tcW w:w="60" w:type="dxa"/>
            <w:tcBorders/>
            <w:shd w:fill="auto" w:val="clear"/>
            <w:tcMar>
              <w:bottom w:w="0" w:type="dxa"/>
            </w:tcMar>
            <w:vAlign w:val="center"/>
          </w:tcPr>
          <w:p>
            <w:pPr>
              <w:pStyle w:val="TableContents"/>
              <w:spacing w:before="0" w:after="283"/>
              <w:rPr/>
            </w:pPr>
            <w:r>
              <w:rPr/>
              <w:t> </w:t>
            </w:r>
          </w:p>
        </w:tc>
        <w:tc>
          <w:tcPr>
            <w:tcW w:w="740"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Trading</w:t>
            </w:r>
          </w:p>
          <w:p>
            <w:pPr>
              <w:pStyle w:val="TableContents"/>
              <w:spacing w:before="0" w:after="0"/>
              <w:jc w:val="center"/>
              <w:rPr>
                <w:rFonts w:ascii="Times New Roman;Times;serif" w:hAnsi="Times New Roman;Times;serif"/>
                <w:b/>
                <w:sz w:val="16"/>
              </w:rPr>
            </w:pPr>
            <w:r>
              <w:rPr>
                <w:rFonts w:ascii="Times New Roman;Times;serif" w:hAnsi="Times New Roman;Times;serif"/>
                <w:b/>
                <w:sz w:val="16"/>
              </w:rPr>
              <w:t>Symbol(s)</w:t>
            </w:r>
          </w:p>
        </w:tc>
        <w:tc>
          <w:tcPr>
            <w:tcW w:w="60" w:type="dxa"/>
            <w:tcBorders/>
            <w:shd w:fill="auto" w:val="clear"/>
            <w:tcMar>
              <w:bottom w:w="0" w:type="dxa"/>
            </w:tcMar>
            <w:vAlign w:val="center"/>
          </w:tcPr>
          <w:p>
            <w:pPr>
              <w:pStyle w:val="TableContents"/>
              <w:spacing w:before="0" w:after="283"/>
              <w:rPr/>
            </w:pPr>
            <w:r>
              <w:rPr/>
              <w:t> </w:t>
            </w:r>
          </w:p>
        </w:tc>
        <w:tc>
          <w:tcPr>
            <w:tcW w:w="3200"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835" w:type="dxa"/>
            <w:tcBorders/>
            <w:shd w:fill="auto" w:val="clear"/>
            <w:tcMar>
              <w:bottom w:w="0" w:type="dxa"/>
            </w:tcMar>
            <w:vAlign w:val="center"/>
          </w:tcPr>
          <w:p>
            <w:pPr>
              <w:pStyle w:val="TableContents"/>
              <w:spacing w:before="0" w:after="0"/>
              <w:jc w:val="center"/>
              <w:rPr>
                <w:rFonts w:ascii="Times New Roman;Times;serif" w:hAnsi="Times New Roman;Times;serif"/>
                <w:sz w:val="16"/>
              </w:rPr>
            </w:pPr>
            <w:r>
              <w:rPr>
                <w:rFonts w:ascii="Times New Roman;Times;serif" w:hAnsi="Times New Roman;Times;serif"/>
                <w:sz w:val="16"/>
              </w:rPr>
              <w:t>Class A common stock</w:t>
            </w:r>
          </w:p>
          <w:p>
            <w:pPr>
              <w:pStyle w:val="TableContents"/>
              <w:spacing w:before="0" w:after="0"/>
              <w:jc w:val="center"/>
              <w:rPr>
                <w:rFonts w:ascii="Times New Roman;Times;serif" w:hAnsi="Times New Roman;Times;serif"/>
                <w:sz w:val="16"/>
              </w:rPr>
            </w:pPr>
            <w:r>
              <w:rPr>
                <w:rFonts w:ascii="Times New Roman;Times;serif" w:hAnsi="Times New Roman;Times;serif"/>
                <w:sz w:val="16"/>
              </w:rPr>
              <w:t>($.01 par value per share)</w:t>
            </w:r>
          </w:p>
        </w:tc>
        <w:tc>
          <w:tcPr>
            <w:tcW w:w="60" w:type="dxa"/>
            <w:tcBorders/>
            <w:shd w:fill="auto" w:val="clear"/>
            <w:tcMar>
              <w:bottom w:w="0" w:type="dxa"/>
            </w:tcMar>
            <w:vAlign w:val="center"/>
          </w:tcPr>
          <w:p>
            <w:pPr>
              <w:pStyle w:val="TableContents"/>
              <w:spacing w:before="0" w:after="283"/>
              <w:rPr/>
            </w:pPr>
            <w:r>
              <w:rPr/>
              <w:t> </w:t>
            </w:r>
          </w:p>
        </w:tc>
        <w:tc>
          <w:tcPr>
            <w:tcW w:w="740" w:type="dxa"/>
            <w:tcBorders/>
            <w:shd w:fill="auto" w:val="clear"/>
            <w:tcMar>
              <w:bottom w:w="0" w:type="dxa"/>
            </w:tcMar>
            <w:vAlign w:val="center"/>
          </w:tcPr>
          <w:p>
            <w:pPr>
              <w:pStyle w:val="TableContents"/>
              <w:spacing w:before="0" w:after="0"/>
              <w:jc w:val="center"/>
              <w:rPr>
                <w:rFonts w:ascii="Times New Roman;Times;serif" w:hAnsi="Times New Roman;Times;serif"/>
                <w:sz w:val="16"/>
              </w:rPr>
            </w:pPr>
            <w:r>
              <w:rPr>
                <w:rFonts w:ascii="Times New Roman;Times;serif" w:hAnsi="Times New Roman;Times;serif"/>
                <w:sz w:val="16"/>
              </w:rPr>
              <w:t>CIX</w:t>
            </w:r>
          </w:p>
        </w:tc>
        <w:tc>
          <w:tcPr>
            <w:tcW w:w="60" w:type="dxa"/>
            <w:tcBorders/>
            <w:shd w:fill="auto" w:val="clear"/>
            <w:tcMar>
              <w:bottom w:w="0" w:type="dxa"/>
            </w:tcMar>
            <w:vAlign w:val="center"/>
          </w:tcPr>
          <w:p>
            <w:pPr>
              <w:pStyle w:val="TableContents"/>
              <w:spacing w:before="0" w:after="283"/>
              <w:rPr/>
            </w:pPr>
            <w:r>
              <w:rPr/>
              <w:t> </w:t>
            </w:r>
          </w:p>
        </w:tc>
        <w:tc>
          <w:tcPr>
            <w:tcW w:w="3200" w:type="dxa"/>
            <w:tcBorders/>
            <w:shd w:fill="auto" w:val="clear"/>
            <w:tcMar>
              <w:bottom w:w="0" w:type="dxa"/>
            </w:tcMar>
            <w:vAlign w:val="center"/>
          </w:tcPr>
          <w:p>
            <w:pPr>
              <w:pStyle w:val="TableContents"/>
              <w:spacing w:before="0" w:after="0"/>
              <w:jc w:val="center"/>
              <w:rPr>
                <w:rFonts w:ascii="Times New Roman;Times;serif" w:hAnsi="Times New Roman;Times;serif"/>
                <w:sz w:val="16"/>
              </w:rPr>
            </w:pPr>
            <w:r>
              <w:rPr>
                <w:rFonts w:ascii="Times New Roman;Times;serif" w:hAnsi="Times New Roman;Times;serif"/>
                <w:sz w:val="16"/>
              </w:rPr>
              <w:t>NYSE American</w:t>
            </w:r>
          </w:p>
        </w:tc>
      </w:tr>
    </w:tbl>
    <w:p>
      <w:pPr>
        <w:pStyle w:val="TextBody"/>
        <w:spacing w:before="0" w:after="0"/>
        <w:rPr/>
      </w:pPr>
      <w:r>
        <w:rPr/>
      </w:r>
    </w:p>
    <w:p>
      <w:pPr>
        <w:pStyle w:val="TextBody"/>
        <w:spacing w:before="0" w:after="0"/>
        <w:rPr/>
      </w:pPr>
      <w:r>
        <w:rPr/>
      </w:r>
    </w:p>
    <w:p>
      <w:pPr>
        <w:pStyle w:val="TextBody"/>
        <w:spacing w:before="0" w:after="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rPr/>
      </w:pPr>
      <w:r>
        <w:rPr/>
      </w:r>
    </w:p>
    <w:p>
      <w:pPr>
        <w:pStyle w:val="TextBody"/>
        <w:spacing w:before="120" w:after="283"/>
        <w:jc w:val="right"/>
        <w:rPr>
          <w:rFonts w:ascii="Times New Roman;Times;serif" w:hAnsi="Times New Roman;Times;serif"/>
          <w:sz w:val="20"/>
        </w:rPr>
      </w:pPr>
      <w:r>
        <w:rPr>
          <w:rFonts w:ascii="Times New Roman;Times;serif" w:hAnsi="Times New Roman;Times;serif"/>
          <w:sz w:val="20"/>
        </w:rPr>
        <w:t>Emerging growth company  ☐</w:t>
      </w:r>
    </w:p>
    <w:p>
      <w:pPr>
        <w:pStyle w:val="TextBody"/>
        <w:spacing w:before="0" w:after="0"/>
        <w:rPr/>
      </w:pPr>
      <w:r>
        <w:rPr/>
      </w:r>
    </w:p>
    <w:p>
      <w:pPr>
        <w:pStyle w:val="TextBody"/>
        <w:spacing w:before="12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HorizontalLine"/>
        <w:spacing w:before="200" w:after="200"/>
        <w:rPr/>
      </w:pPr>
      <w:r>
        <w:rPr/>
      </w:r>
    </w:p>
    <w:tbl>
      <w:tblPr>
        <w:tblW w:w="10205" w:type="dxa"/>
        <w:jc w:val="left"/>
        <w:tblInd w:w="0" w:type="dxa"/>
        <w:tblCellMar>
          <w:top w:w="0" w:type="dxa"/>
          <w:left w:w="0" w:type="dxa"/>
          <w:bottom w:w="0" w:type="dxa"/>
          <w:right w:w="0" w:type="dxa"/>
        </w:tblCellMar>
      </w:tblPr>
      <w:tblGrid>
        <w:gridCol w:w="778"/>
        <w:gridCol w:w="9427"/>
      </w:tblGrid>
      <w:tr>
        <w:trPr/>
        <w:tc>
          <w:tcPr>
            <w:tcW w:w="778" w:type="dxa"/>
            <w:tcBorders/>
            <w:shd w:fill="auto" w:val="clear"/>
            <w:vAlign w:val="center"/>
          </w:tcPr>
          <w:p>
            <w:pPr>
              <w:pStyle w:val="TableContents"/>
              <w:spacing w:before="0" w:after="283"/>
              <w:rPr>
                <w:rFonts w:ascii="Times New Roman;Times;serif" w:hAnsi="Times New Roman;Times;serif"/>
                <w:b/>
                <w:sz w:val="24"/>
              </w:rPr>
            </w:pPr>
            <w:r>
              <w:rPr>
                <w:rFonts w:ascii="Times New Roman;Times;serif" w:hAnsi="Times New Roman;Times;serif"/>
                <w:b/>
                <w:sz w:val="24"/>
              </w:rPr>
              <w:t>Item 5.02</w:t>
            </w:r>
          </w:p>
        </w:tc>
        <w:tc>
          <w:tcPr>
            <w:tcW w:w="9427"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Departure of Directors or Certain Officers; Election of Directors; Appointment of Certain Officers; Compensatory Arrangements of Certain Officers.</w:t>
            </w:r>
          </w:p>
        </w:tc>
      </w:tr>
    </w:tbl>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Effective May 25, 2022, the registrant’s board of directors increased the size of the board from seven to nine and elected Kevin B. Kramer and Michael S. Simmons to fill the newly created vacancies, with each to serve as a director until his successor is elected and qualified or his earlier resignation, removal or death.  The board of directors also appointed Mr. Kramer to serve on its audit committee. </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Also effective May 25, 2022, the registrant’s board of directors elected Amy A. Samford as the registrant’s executive vice president and chief financial officer. Michael S. Simmons was formerly the registrant’s chief financial officer, and Mr. Simmons now serves as the registrant’s executive vice president.</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Kevin B. Kramer, age 62,  has served as senior vice president, chief commercial and marketing officer for Allegheny Technologies, Incorporated, a publicly traded global manufacturer of specialty materials and components supplying the aerospace, defense, energy, medical, consumer electronics and automotive industries, since 2014.  Prior to joining Allegheny Technologies, Mr. Kramer worked for Stoneridge, Inc. where he was president—Stoneridge wiring division and vice president from 2012 to 2014.  Earlier experience includes serving as  president—growth initiatives and president—wheel and transportation products for Alcoa, Inc. from 2004 to 2012 and serving in various roles for Goodyear Tire and Rubber Company from 1983 to 2004.</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Michael S. Simmons, age 50, has served as the registrant’s executive vice president since May 25, 2022. He previously served as the registrant’s senior vice president and chief financial officer from 2021 to May 2022.  He currently serves as executive vice president of the registrant’s affiliate NL Industries, Inc. (“NL”), as executive vice president, finance of the registrant’s affiliate Kronos Worldwide, Inc. (“Kronos Worldwide”), and as senior vice president, finance of the registrant’s affiliate Valhi, Inc. (“Valhi”) and of Contran Corporation, the parent corporation of the registrant’s consolidated tax group (“Contran”). Mr. Simmons has served in various accounting and financial positions (including officer positions) in various companies related to the registrant and Contran since 2018.  From 1994 to 2018, Mr. Simmons was employed by PricewaterhouseCoopers LLP, the registrant’s independent registered public accounting firm, most recently as a managing director.</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Amy A. Samford, age 48, has served as the registrant’s executive vice president and chief financial officer since May 25, 2022.  She previously served as the registrant’s vice president and chief financial officer from 2019 to 2021.  She currently serves as executive vice president and chief financial officer of NL, as executive vice president of Kronos Worldwide, and as senior vice president and chief financial officer of Valhi and Contran.  Ms. Samford has served in various accounting and financial positions (including officer positions) in various companies related to the registrant and Contran since 2006.</w:t>
      </w:r>
    </w:p>
    <w:p>
      <w:pPr>
        <w:pStyle w:val="TextBody"/>
        <w:spacing w:before="0" w:after="0"/>
        <w:rPr/>
      </w:pPr>
      <w:r>
        <w:rPr/>
      </w:r>
    </w:p>
    <w:p>
      <w:pPr>
        <w:pStyle w:val="HorizontalLine"/>
        <w:spacing w:before="200" w:after="20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Mr. Simmons and Ms. Samford are employees of Contran and provide their services to the registrant under an intercorporate services agreement between the registrant and Contran.  For a description of the intercorporate services agreement, see “Certain Relationships and Transactions” in the registrant’s 2022 proxy statement, which description is incorporated herein by reference.  In addition, for a discussion of potential conflicts of interest of officers who serve more than one corporation, see “Certain Relationships and Transactions” in the 2022 proxy statement, which discussion is also incorporated herein by reference.</w:t>
      </w:r>
    </w:p>
    <w:p>
      <w:pPr>
        <w:pStyle w:val="TextBody"/>
        <w:spacing w:before="0" w:after="0"/>
        <w:rPr/>
      </w:pPr>
      <w:r>
        <w:rPr/>
      </w:r>
    </w:p>
    <w:tbl>
      <w:tblPr>
        <w:tblW w:w="6325" w:type="dxa"/>
        <w:jc w:val="left"/>
        <w:tblInd w:w="0" w:type="dxa"/>
        <w:tblCellMar>
          <w:top w:w="0" w:type="dxa"/>
          <w:left w:w="0" w:type="dxa"/>
          <w:bottom w:w="0" w:type="dxa"/>
          <w:right w:w="0" w:type="dxa"/>
        </w:tblCellMar>
      </w:tblPr>
      <w:tblGrid>
        <w:gridCol w:w="980"/>
        <w:gridCol w:w="5345"/>
      </w:tblGrid>
      <w:tr>
        <w:trPr/>
        <w:tc>
          <w:tcPr>
            <w:tcW w:w="980" w:type="dxa"/>
            <w:tcBorders/>
            <w:shd w:fill="auto" w:val="clear"/>
            <w:vAlign w:val="center"/>
          </w:tcPr>
          <w:p>
            <w:pPr>
              <w:pStyle w:val="TableContents"/>
              <w:spacing w:before="0" w:after="283"/>
              <w:rPr>
                <w:rFonts w:ascii="Times New Roman;Times;serif" w:hAnsi="Times New Roman;Times;serif"/>
                <w:b/>
                <w:sz w:val="24"/>
              </w:rPr>
            </w:pPr>
            <w:r>
              <w:rPr>
                <w:rFonts w:ascii="Times New Roman;Times;serif" w:hAnsi="Times New Roman;Times;serif"/>
                <w:b/>
                <w:sz w:val="24"/>
              </w:rPr>
              <w:t>Item 5.07</w:t>
            </w:r>
          </w:p>
        </w:tc>
        <w:tc>
          <w:tcPr>
            <w:tcW w:w="5345"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Submission of Matters to a Vote of Security Holders.</w:t>
            </w:r>
          </w:p>
        </w:tc>
      </w:tr>
    </w:tbl>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The registrant held its 2022 annual meeting of stockholders on May 25, 2022.  At the 2022 annual meeting, the registrant’s stockholders voted on the two proposals described in detail in the registrant’s definitive proxy statement on Schedule 14A filed with the U.S. Securities and Exchange Commission on April 12, 2022.  Stockholders present at the 2022 annual meeting, either in person or by proxy, represented 97.0% of the 12,380,657 shares eligible to vote at the meeting.</w:t>
      </w:r>
    </w:p>
    <w:p>
      <w:pPr>
        <w:pStyle w:val="TextBody"/>
        <w:spacing w:before="0" w:after="0"/>
        <w:rPr/>
      </w:pPr>
      <w:r>
        <w:rPr/>
      </w:r>
    </w:p>
    <w:p>
      <w:pPr>
        <w:pStyle w:val="TextBody"/>
        <w:spacing w:before="0" w:after="0"/>
        <w:ind w:left="0" w:right="0" w:hanging="0"/>
        <w:jc w:val="both"/>
        <w:rPr/>
      </w:pPr>
      <w:r>
        <w:rPr>
          <w:rFonts w:ascii="Times New Roman;Times;serif" w:hAnsi="Times New Roman;Times;serif"/>
          <w:smallCaps/>
          <w:sz w:val="24"/>
        </w:rPr>
        <w:t>Proposal 1:</w:t>
      </w:r>
      <w:r>
        <w:rPr/>
        <w:t> </w:t>
      </w:r>
      <w:r>
        <w:rPr>
          <w:rFonts w:ascii="Times New Roman;Times;serif" w:hAnsi="Times New Roman;Times;serif"/>
          <w:smallCaps/>
          <w:sz w:val="24"/>
        </w:rPr>
        <w:t>Election of Directors</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The registrant’s stockholders elected Thomas E. Barry, Loretta J. Feehan, Robert D. Graham, Terri L. Herrington, Scott C. James, Ann Manix and Mary A. Tidlund as directors.  Each director nominee received votes “For” his or her election from at least 92.2% of the shares eligible to vote at the annual meeting.</w:t>
      </w:r>
    </w:p>
    <w:p>
      <w:pPr>
        <w:pStyle w:val="TextBody"/>
        <w:spacing w:before="0" w:after="0"/>
        <w:rPr/>
      </w:pPr>
      <w:r>
        <w:rPr/>
      </w:r>
    </w:p>
    <w:p>
      <w:pPr>
        <w:pStyle w:val="TextBody"/>
        <w:spacing w:before="0" w:after="0"/>
        <w:ind w:left="0" w:right="0" w:hanging="0"/>
        <w:jc w:val="both"/>
        <w:rPr/>
      </w:pPr>
      <w:r>
        <w:rPr>
          <w:rFonts w:ascii="Times New Roman;Times;serif" w:hAnsi="Times New Roman;Times;serif"/>
          <w:smallCaps/>
          <w:sz w:val="24"/>
        </w:rPr>
        <w:t>Proposal 2:</w:t>
      </w:r>
      <w:r>
        <w:rPr/>
        <w:t> </w:t>
      </w:r>
      <w:r>
        <w:rPr>
          <w:rFonts w:ascii="Times New Roman;Times;serif" w:hAnsi="Times New Roman;Times;serif"/>
          <w:smallCaps/>
          <w:sz w:val="24"/>
        </w:rPr>
        <w:t>Say-on-Pay, Nonbinding Advisory Vote Approving Executive Compensation</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The registrant’s stockholders adopted a resolution, on a nonbinding advisory basis, approving the compensation of the registrant’s named executive officers as described in the registrant’s 2022 proxy statement.  The resolution received the approval from 90.3% of the shares eligible to vote at the annual meeting.</w:t>
      </w:r>
    </w:p>
    <w:p>
      <w:pPr>
        <w:pStyle w:val="TextBody"/>
        <w:spacing w:before="0" w:after="0"/>
        <w:rPr/>
      </w:pPr>
      <w:r>
        <w:rPr/>
      </w:r>
    </w:p>
    <w:p>
      <w:pPr>
        <w:pStyle w:val="HorizontalLine"/>
        <w:spacing w:before="200" w:after="200"/>
        <w:rPr/>
      </w:pPr>
      <w:r>
        <w:rPr/>
      </w:r>
    </w:p>
    <w:p>
      <w:pPr>
        <w:pStyle w:val="TextBody"/>
        <w:spacing w:before="0" w:after="0"/>
        <w:rPr/>
      </w:pPr>
      <w:r>
        <w:rPr/>
      </w:r>
    </w:p>
    <w:tbl>
      <w:tblPr>
        <w:tblW w:w="3685" w:type="dxa"/>
        <w:jc w:val="left"/>
        <w:tblInd w:w="0" w:type="dxa"/>
        <w:tblCellMar>
          <w:top w:w="0" w:type="dxa"/>
          <w:left w:w="0" w:type="dxa"/>
          <w:bottom w:w="0" w:type="dxa"/>
          <w:right w:w="0" w:type="dxa"/>
        </w:tblCellMar>
      </w:tblPr>
      <w:tblGrid>
        <w:gridCol w:w="980"/>
        <w:gridCol w:w="2705"/>
      </w:tblGrid>
      <w:tr>
        <w:trPr/>
        <w:tc>
          <w:tcPr>
            <w:tcW w:w="980" w:type="dxa"/>
            <w:tcBorders/>
            <w:shd w:fill="auto" w:val="clear"/>
            <w:vAlign w:val="center"/>
          </w:tcPr>
          <w:p>
            <w:pPr>
              <w:pStyle w:val="TableContents"/>
              <w:spacing w:before="0" w:after="283"/>
              <w:rPr>
                <w:rFonts w:ascii="Times New Roman;Times;serif" w:hAnsi="Times New Roman;Times;serif"/>
                <w:b/>
                <w:sz w:val="24"/>
              </w:rPr>
            </w:pPr>
            <w:r>
              <w:rPr>
                <w:rFonts w:ascii="Times New Roman;Times;serif" w:hAnsi="Times New Roman;Times;serif"/>
                <w:b/>
                <w:sz w:val="24"/>
              </w:rPr>
              <w:t>Item 7.01</w:t>
            </w:r>
          </w:p>
        </w:tc>
        <w:tc>
          <w:tcPr>
            <w:tcW w:w="2705"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Regulation FD Disclosure.</w:t>
            </w:r>
          </w:p>
        </w:tc>
      </w:tr>
    </w:tbl>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The registrant hereby furnishes the information set forth in its press release issued on May 25, 2022,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spacing w:before="0" w:after="0"/>
        <w:rPr/>
      </w:pPr>
      <w:r>
        <w:rPr/>
      </w:r>
    </w:p>
    <w:tbl>
      <w:tblPr>
        <w:tblW w:w="4540" w:type="dxa"/>
        <w:jc w:val="left"/>
        <w:tblInd w:w="0" w:type="dxa"/>
        <w:tblCellMar>
          <w:top w:w="0" w:type="dxa"/>
          <w:left w:w="0" w:type="dxa"/>
          <w:bottom w:w="0" w:type="dxa"/>
          <w:right w:w="0" w:type="dxa"/>
        </w:tblCellMar>
      </w:tblPr>
      <w:tblGrid>
        <w:gridCol w:w="980"/>
        <w:gridCol w:w="3560"/>
      </w:tblGrid>
      <w:tr>
        <w:trPr/>
        <w:tc>
          <w:tcPr>
            <w:tcW w:w="980" w:type="dxa"/>
            <w:tcBorders/>
            <w:shd w:fill="auto" w:val="clear"/>
            <w:vAlign w:val="center"/>
          </w:tcPr>
          <w:p>
            <w:pPr>
              <w:pStyle w:val="TableContents"/>
              <w:spacing w:before="0" w:after="283"/>
              <w:rPr>
                <w:rFonts w:ascii="Times New Roman;Times;serif" w:hAnsi="Times New Roman;Times;serif"/>
                <w:b/>
                <w:sz w:val="24"/>
              </w:rPr>
            </w:pPr>
            <w:r>
              <w:rPr>
                <w:rFonts w:ascii="Times New Roman;Times;serif" w:hAnsi="Times New Roman;Times;serif"/>
                <w:b/>
                <w:sz w:val="24"/>
              </w:rPr>
              <w:t>Item 9.01</w:t>
            </w:r>
          </w:p>
        </w:tc>
        <w:tc>
          <w:tcPr>
            <w:tcW w:w="3560"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Financial Statements and Exhibits.</w:t>
            </w:r>
          </w:p>
        </w:tc>
      </w:tr>
    </w:tbl>
    <w:p>
      <w:pPr>
        <w:pStyle w:val="TextBody"/>
        <w:spacing w:before="0" w:after="0"/>
        <w:rPr/>
      </w:pPr>
      <w:r>
        <w:rPr/>
      </w:r>
    </w:p>
    <w:tbl>
      <w:tblPr>
        <w:tblW w:w="8895" w:type="dxa"/>
        <w:jc w:val="left"/>
        <w:tblInd w:w="0" w:type="dxa"/>
        <w:tblCellMar>
          <w:top w:w="0" w:type="dxa"/>
          <w:left w:w="0" w:type="dxa"/>
          <w:bottom w:w="0" w:type="dxa"/>
          <w:right w:w="0" w:type="dxa"/>
        </w:tblCellMar>
      </w:tblPr>
      <w:tblGrid>
        <w:gridCol w:w="305"/>
        <w:gridCol w:w="905"/>
        <w:gridCol w:w="60"/>
        <w:gridCol w:w="7625"/>
      </w:tblGrid>
      <w:tr>
        <w:trPr/>
        <w:tc>
          <w:tcPr>
            <w:tcW w:w="30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w:t>
            </w:r>
          </w:p>
        </w:tc>
        <w:tc>
          <w:tcPr>
            <w:tcW w:w="90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Exhibits</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905" w:type="dxa"/>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Item No.</w:t>
            </w:r>
          </w:p>
        </w:tc>
        <w:tc>
          <w:tcPr>
            <w:tcW w:w="60" w:type="dxa"/>
            <w:tcBorders/>
            <w:shd w:fill="auto" w:val="clear"/>
            <w:vAlign w:val="center"/>
          </w:tcPr>
          <w:p>
            <w:pPr>
              <w:pStyle w:val="TableContents"/>
              <w:spacing w:before="0" w:after="283"/>
              <w:rPr/>
            </w:pPr>
            <w:r>
              <w:rPr/>
              <w:t> </w:t>
            </w:r>
          </w:p>
        </w:tc>
        <w:tc>
          <w:tcPr>
            <w:tcW w:w="7625" w:type="dxa"/>
            <w:tcBorders>
              <w:bottom w:val="single" w:sz="12" w:space="0" w:color="000000"/>
            </w:tcBorders>
            <w:shd w:fill="auto" w:val="clear"/>
            <w:tcMar>
              <w:bottom w:w="28" w:type="dxa"/>
            </w:tcMar>
            <w:vAlign w:val="center"/>
          </w:tcPr>
          <w:p>
            <w:pPr>
              <w:pStyle w:val="TableContents"/>
              <w:spacing w:before="0" w:after="0"/>
              <w:jc w:val="center"/>
              <w:rPr>
                <w:rFonts w:ascii="Times New Roman;Times;serif" w:hAnsi="Times New Roman;Times;serif"/>
                <w:b/>
                <w:sz w:val="24"/>
              </w:rPr>
            </w:pPr>
            <w:r>
              <w:rPr>
                <w:rFonts w:ascii="Times New Roman;Times;serif" w:hAnsi="Times New Roman;Times;serif"/>
                <w:b/>
                <w:sz w:val="24"/>
              </w:rPr>
              <w:t>Exhibit Index</w:t>
            </w:r>
          </w:p>
        </w:tc>
      </w:tr>
      <w:tr>
        <w:trPr/>
        <w:tc>
          <w:tcPr>
            <w:tcW w:w="30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0"/>
              <w:jc w:val="center"/>
              <w:rPr>
                <w:rFonts w:ascii="Times New Roman;Times;serif" w:hAnsi="Times New Roman;Times;serif"/>
                <w:sz w:val="24"/>
              </w:rPr>
            </w:pPr>
            <w:r>
              <w:rPr>
                <w:rFonts w:ascii="Times New Roman;Times;serif" w:hAnsi="Times New Roman;Times;serif"/>
                <w:sz w:val="24"/>
              </w:rPr>
              <w:t>99.1</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both"/>
              <w:rPr/>
            </w:pPr>
            <w:hyperlink w:anchor="exh991.htm">
              <w:r>
                <w:rPr>
                  <w:rStyle w:val="InternetLink"/>
                  <w:rFonts w:ascii="Times New Roman;Times;serif" w:hAnsi="Times New Roman;Times;serif"/>
                  <w:sz w:val="24"/>
                </w:rPr>
                <w:t>Press release dated May 25, 2022 issued by the registrant</w:t>
              </w:r>
            </w:hyperlink>
            <w:r>
              <w:rPr>
                <w:rFonts w:ascii="Times New Roman;Times;serif" w:hAnsi="Times New Roman;Times;serif"/>
                <w:sz w:val="24"/>
              </w:rPr>
              <w:t>.</w:t>
            </w:r>
          </w:p>
        </w:tc>
      </w:tr>
      <w:tr>
        <w:trPr/>
        <w:tc>
          <w:tcPr>
            <w:tcW w:w="30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0"/>
              <w:jc w:val="center"/>
              <w:rPr>
                <w:rFonts w:ascii="Times New Roman;Times;serif" w:hAnsi="Times New Roman;Times;serif"/>
                <w:sz w:val="24"/>
              </w:rPr>
            </w:pPr>
            <w:r>
              <w:rPr>
                <w:rFonts w:ascii="Times New Roman;Times;serif" w:hAnsi="Times New Roman;Times;serif"/>
                <w:sz w:val="24"/>
              </w:rPr>
              <w:t>104</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Cover Page Interactive Data File (embedded within the Inline XBRL document)</w:t>
            </w:r>
          </w:p>
        </w:tc>
      </w:tr>
    </w:tbl>
    <w:p>
      <w:pPr>
        <w:pStyle w:val="HorizontalLine"/>
        <w:spacing w:before="200" w:after="200"/>
        <w:rPr/>
      </w:pPr>
      <w:r>
        <w:rPr/>
      </w:r>
    </w:p>
    <w:p>
      <w:pPr>
        <w:pStyle w:val="TextBody"/>
        <w:spacing w:before="0" w:after="0"/>
        <w:jc w:val="center"/>
        <w:rPr>
          <w:rFonts w:ascii="Times New Roman;Times;serif" w:hAnsi="Times New Roman;Times;serif"/>
          <w:b/>
          <w:sz w:val="24"/>
        </w:rPr>
      </w:pPr>
      <w:r>
        <w:rPr>
          <w:rFonts w:ascii="Times New Roman;Times;serif" w:hAnsi="Times New Roman;Times;serif"/>
          <w:b/>
          <w:sz w:val="24"/>
        </w:rPr>
        <w:t>SIGNATURE</w:t>
      </w:r>
    </w:p>
    <w:p>
      <w:pPr>
        <w:pStyle w:val="TextBody"/>
        <w:spacing w:before="0" w:after="0"/>
        <w:rPr/>
      </w:pPr>
      <w:r>
        <w:rPr/>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6115" w:type="dxa"/>
        <w:jc w:val="left"/>
        <w:tblInd w:w="0" w:type="dxa"/>
        <w:tblCellMar>
          <w:top w:w="0" w:type="dxa"/>
          <w:left w:w="0" w:type="dxa"/>
          <w:bottom w:w="0" w:type="dxa"/>
          <w:right w:w="0" w:type="dxa"/>
        </w:tblCellMar>
      </w:tblPr>
      <w:tblGrid>
        <w:gridCol w:w="2000"/>
        <w:gridCol w:w="4115"/>
      </w:tblGrid>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both"/>
              <w:rPr>
                <w:rFonts w:ascii="Times New Roman;Times;serif" w:hAnsi="Times New Roman;Times;serif"/>
                <w:b/>
                <w:smallCaps/>
                <w:sz w:val="24"/>
              </w:rPr>
            </w:pPr>
            <w:r>
              <w:rPr>
                <w:rFonts w:ascii="Times New Roman;Times;serif" w:hAnsi="Times New Roman;Times;serif"/>
                <w:b/>
                <w:smallCaps/>
                <w:sz w:val="24"/>
              </w:rPr>
              <w:t>CompX International Inc.</w:t>
            </w:r>
          </w:p>
        </w:tc>
      </w:tr>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(Registrant)</w:t>
            </w:r>
          </w:p>
        </w:tc>
      </w:tr>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4115" w:type="dxa"/>
            <w:tcBorders>
              <w:bottom w:val="single" w:sz="1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By: /s/ Jane Grimm </w:t>
            </w:r>
          </w:p>
        </w:tc>
      </w:tr>
      <w:tr>
        <w:trPr/>
        <w:tc>
          <w:tcPr>
            <w:tcW w:w="20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Date:  May 25, 2022</w:t>
            </w:r>
          </w:p>
          <w:p>
            <w:pPr>
              <w:pStyle w:val="TableContents"/>
              <w:spacing w:before="0" w:after="0"/>
              <w:rPr/>
            </w:pPr>
            <w:r>
              <w:rPr/>
              <w:t> </w:t>
            </w:r>
          </w:p>
        </w:tc>
        <w:tc>
          <w:tcPr>
            <w:tcW w:w="4115" w:type="dxa"/>
            <w:tcBorders/>
            <w:shd w:fill="auto" w:val="clear"/>
            <w:vAlign w:val="center"/>
          </w:tcPr>
          <w:p>
            <w:pPr>
              <w:pStyle w:val="TableContents"/>
              <w:spacing w:before="0" w:after="0"/>
              <w:ind w:left="522" w:right="0" w:hanging="0"/>
              <w:jc w:val="both"/>
              <w:rPr>
                <w:rFonts w:ascii="Times New Roman;Times;serif" w:hAnsi="Times New Roman;Times;serif"/>
                <w:i/>
                <w:sz w:val="24"/>
              </w:rPr>
            </w:pPr>
            <w:r>
              <w:rPr>
                <w:rFonts w:ascii="Times New Roman;Times;serif" w:hAnsi="Times New Roman;Times;serif"/>
                <w:i/>
                <w:sz w:val="24"/>
              </w:rPr>
              <w:t>Jane Grimm, Vice President and Secretary</w:t>
            </w:r>
          </w:p>
        </w:tc>
      </w:tr>
    </w:tbl>
    <w:p>
      <w:pPr>
        <w:pStyle w:val="TextBody"/>
        <w:spacing w:before="0" w:after="0"/>
        <w:rPr/>
      </w:pPr>
      <w:r>
        <w:rPr/>
      </w:r>
    </w:p>
    <w:p>
      <w:pPr>
        <w:pStyle w:val="TextBody"/>
        <w:spacing w:before="0" w:after="0"/>
        <w:jc w:val="both"/>
        <w:rPr/>
      </w:pPr>
      <w:r>
        <w:rPr/>
      </w:r>
    </w:p>
    <w:p>
      <w:pPr>
        <w:pStyle w:val="TextBody"/>
        <w:rPr/>
      </w:pPr>
      <w:r>
        <w:rPr/>
      </w:r>
      <w:r>
        <w:br w:type="page"/>
      </w:r>
    </w:p>
    <w:p>
      <w:pPr>
        <w:pStyle w:val="Normal"/>
        <w:spacing w:before="0" w:after="0"/>
        <w:rPr>
          <w:sz w:val="4"/>
          <w:szCs w:val="4"/>
        </w:rPr>
      </w:pPr>
      <w:r>
        <w:rPr>
          <w:sz w:val="4"/>
          <w:szCs w:val="4"/>
        </w:rPr>
      </w:r>
      <w:bookmarkStart w:id="0" w:name="z9bcfd428dfa44498aaa0b53928c0fb60"/>
      <w:bookmarkStart w:id="1" w:name="exh991.htm"/>
      <w:bookmarkStart w:id="2" w:name="ksexh991"/>
      <w:bookmarkStart w:id="3" w:name="z9bcfd428dfa44498aaa0b53928c0fb60"/>
      <w:bookmarkStart w:id="4" w:name="exh991.htm"/>
      <w:bookmarkStart w:id="5" w:name="ksexh991"/>
      <w:bookmarkEnd w:id="3"/>
      <w:bookmarkEnd w:id="4"/>
      <w:bookmarkEnd w:id="5"/>
    </w:p>
    <w:tbl>
      <w:tblPr>
        <w:tblW w:w="2670" w:type="dxa"/>
        <w:jc w:val="left"/>
        <w:tblInd w:w="0" w:type="dxa"/>
        <w:tblCellMar>
          <w:top w:w="0" w:type="dxa"/>
          <w:left w:w="0" w:type="dxa"/>
          <w:bottom w:w="0" w:type="dxa"/>
          <w:right w:w="0" w:type="dxa"/>
        </w:tblCellMar>
      </w:tblPr>
      <w:tblGrid>
        <w:gridCol w:w="2595"/>
        <w:gridCol w:w="75"/>
      </w:tblGrid>
      <w:tr>
        <w:trPr/>
        <w:tc>
          <w:tcPr>
            <w:tcW w:w="2595" w:type="dxa"/>
            <w:tcBorders/>
            <w:shd w:fill="auto" w:val="clear"/>
            <w:vAlign w:val="center"/>
          </w:tcPr>
          <w:p>
            <w:pPr>
              <w:pStyle w:val="TableContents"/>
              <w:spacing w:before="0" w:after="0"/>
              <w:jc w:val="left"/>
              <w:rPr/>
            </w:pPr>
            <w:r>
              <w:rPr/>
              <w:drawing>
                <wp:inline distT="0" distB="0" distL="0" distR="0">
                  <wp:extent cx="16383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57200"/>
                          </a:xfrm>
                          <a:prstGeom prst="rect">
                            <a:avLst/>
                          </a:prstGeom>
                        </pic:spPr>
                      </pic:pic>
                    </a:graphicData>
                  </a:graphic>
                </wp:inline>
              </w:drawing>
            </w:r>
          </w:p>
          <w:p>
            <w:pPr>
              <w:pStyle w:val="TableContents"/>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TextBody"/>
        <w:spacing w:before="0" w:after="0"/>
        <w:jc w:val="center"/>
        <w:rPr>
          <w:rFonts w:ascii="Times New Roman;Times;serif" w:hAnsi="Times New Roman;Times;serif"/>
          <w:b/>
          <w:sz w:val="36"/>
        </w:rPr>
      </w:pPr>
      <w:r>
        <w:rPr>
          <w:rFonts w:ascii="Times New Roman;Times;serif" w:hAnsi="Times New Roman;Times;serif"/>
          <w:b/>
          <w:sz w:val="36"/>
        </w:rPr>
        <w:t>PRESS RELEASE</w:t>
      </w:r>
    </w:p>
    <w:p>
      <w:pPr>
        <w:pStyle w:val="TextBody"/>
        <w:spacing w:before="0" w:after="0"/>
        <w:rPr/>
      </w:pPr>
      <w:r>
        <w:rPr/>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6" w:name="z2d9a10026b244788965854066f7f182e"/>
      <w:bookmarkStart w:id="7" w:name="z2d9a10026b244788965854066f7f182e"/>
      <w:bookmarkEnd w:id="7"/>
    </w:p>
    <w:tbl>
      <w:tblPr>
        <w:tblW w:w="5245" w:type="dxa"/>
        <w:jc w:val="left"/>
        <w:tblInd w:w="0" w:type="dxa"/>
        <w:tblCellMar>
          <w:top w:w="0" w:type="dxa"/>
          <w:left w:w="0" w:type="dxa"/>
          <w:bottom w:w="0" w:type="dxa"/>
          <w:right w:w="0" w:type="dxa"/>
        </w:tblCellMar>
      </w:tblPr>
      <w:tblGrid>
        <w:gridCol w:w="3380"/>
        <w:gridCol w:w="1865"/>
      </w:tblGrid>
      <w:tr>
        <w:trPr/>
        <w:tc>
          <w:tcPr>
            <w:tcW w:w="3380"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FOR IMMEDIATE RELEASE:</w:t>
            </w:r>
          </w:p>
        </w:tc>
        <w:tc>
          <w:tcPr>
            <w:tcW w:w="1865" w:type="dxa"/>
            <w:tcBorders/>
            <w:shd w:fill="auto" w:val="clear"/>
            <w:vAlign w:val="center"/>
          </w:tcPr>
          <w:p>
            <w:pPr>
              <w:pStyle w:val="TableContents"/>
              <w:spacing w:before="0" w:after="0"/>
              <w:jc w:val="both"/>
              <w:rPr>
                <w:rFonts w:ascii="Times New Roman;Times;serif" w:hAnsi="Times New Roman;Times;serif"/>
                <w:b/>
                <w:sz w:val="24"/>
              </w:rPr>
            </w:pPr>
            <w:r>
              <w:rPr>
                <w:rFonts w:ascii="Times New Roman;Times;serif" w:hAnsi="Times New Roman;Times;serif"/>
                <w:b/>
                <w:sz w:val="24"/>
              </w:rPr>
              <w:t>CONTACT:</w:t>
            </w:r>
          </w:p>
        </w:tc>
      </w:tr>
      <w:tr>
        <w:trPr/>
        <w:tc>
          <w:tcPr>
            <w:tcW w:w="338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283"/>
              <w:rPr/>
            </w:pPr>
            <w:r>
              <w:rPr/>
              <w:t> </w:t>
            </w:r>
          </w:p>
        </w:tc>
      </w:tr>
      <w:tr>
        <w:trPr/>
        <w:tc>
          <w:tcPr>
            <w:tcW w:w="338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CompX International Inc.</w:t>
            </w:r>
          </w:p>
        </w:tc>
        <w:tc>
          <w:tcPr>
            <w:tcW w:w="186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Janet G. Keckeisen</w:t>
            </w:r>
          </w:p>
        </w:tc>
      </w:tr>
      <w:tr>
        <w:trPr/>
        <w:tc>
          <w:tcPr>
            <w:tcW w:w="338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Three Lincoln Centre</w:t>
            </w:r>
          </w:p>
        </w:tc>
        <w:tc>
          <w:tcPr>
            <w:tcW w:w="186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Investor Relations</w:t>
            </w:r>
          </w:p>
        </w:tc>
      </w:tr>
      <w:tr>
        <w:trPr/>
        <w:tc>
          <w:tcPr>
            <w:tcW w:w="338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5430 LBJ Freeway, Suite 1700</w:t>
            </w:r>
          </w:p>
        </w:tc>
        <w:tc>
          <w:tcPr>
            <w:tcW w:w="186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Tel. 972-233-1700</w:t>
            </w:r>
          </w:p>
        </w:tc>
      </w:tr>
      <w:tr>
        <w:trPr/>
        <w:tc>
          <w:tcPr>
            <w:tcW w:w="338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Dallas, Texas 75240</w:t>
            </w:r>
          </w:p>
        </w:tc>
        <w:tc>
          <w:tcPr>
            <w:tcW w:w="186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TextBody"/>
        <w:spacing w:before="0" w:after="0"/>
        <w:jc w:val="center"/>
        <w:rPr>
          <w:rFonts w:ascii="Times New Roman;Times;serif" w:hAnsi="Times New Roman;Times;serif"/>
          <w:b/>
          <w:sz w:val="24"/>
        </w:rPr>
      </w:pPr>
      <w:bookmarkStart w:id="8" w:name="COMPXANNOUNCESREGULARQUAR"/>
      <w:bookmarkEnd w:id="8"/>
      <w:r>
        <w:rPr>
          <w:rFonts w:ascii="Times New Roman;Times;serif" w:hAnsi="Times New Roman;Times;serif"/>
          <w:b/>
          <w:sz w:val="24"/>
        </w:rPr>
        <w:t>COMPX ANNOUNCES REGULAR QUARTERLY DIVIDEND</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AND</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RESULTS OF THE ANNUAL STOCKHOLDER MEETING</w:t>
      </w:r>
    </w:p>
    <w:p>
      <w:pPr>
        <w:pStyle w:val="TextBody"/>
        <w:spacing w:before="0" w:after="0"/>
        <w:rPr/>
      </w:pPr>
      <w:r>
        <w:rPr/>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May 25, 2022 . . . CompX International Inc. (NYSE American:  CIX) announced today that its board of directors has declared CompX’s regular quarterly dividend of twenty-five cents ($0.25) per share on its class A common stock, payable on June 14, 2022 to stockholders of record at the close of business on June 6, 2022.</w:t>
      </w:r>
    </w:p>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CompX also announced that at its annual stockholder meeting held on May 25, 2022, its stockholders:</w:t>
      </w:r>
    </w:p>
    <w:p>
      <w:pPr>
        <w:pStyle w:val="TextBody"/>
        <w:spacing w:before="0" w:after="0"/>
        <w:rPr/>
      </w:pPr>
      <w:r>
        <w:rPr/>
      </w:r>
    </w:p>
    <w:p>
      <w:pPr>
        <w:pStyle w:val="Normal"/>
        <w:spacing w:before="0" w:after="0"/>
        <w:rPr>
          <w:sz w:val="4"/>
          <w:szCs w:val="4"/>
        </w:rPr>
      </w:pPr>
      <w:r>
        <w:rPr>
          <w:sz w:val="4"/>
          <w:szCs w:val="4"/>
        </w:rPr>
      </w:r>
      <w:bookmarkStart w:id="9" w:name="z469a658e375748b4a80799e81d8f607f"/>
      <w:bookmarkStart w:id="10" w:name="z469a658e375748b4a80799e81d8f607f"/>
      <w:bookmarkEnd w:id="10"/>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720" w:right="0" w:hanging="0"/>
              <w:jc w:val="left"/>
              <w:rPr/>
            </w:pPr>
            <w:r>
              <w:rPr/>
              <w:t>•</w:t>
            </w:r>
          </w:p>
        </w:tc>
        <w:tc>
          <w:tcPr>
            <w:tcW w:w="1008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elected each of Thomas E. Barry, Loretta J. Feehan, Robert D. Graham, Terri L. Herrington, Scott C. James, Ann Manix and Mary A. Tidlund as a director for a one year term; and</w:t>
            </w:r>
          </w:p>
        </w:tc>
      </w:tr>
    </w:tbl>
    <w:p>
      <w:pPr>
        <w:pStyle w:val="TextBody"/>
        <w:spacing w:before="0" w:after="0"/>
        <w:rPr/>
      </w:pPr>
      <w:r>
        <w:rPr/>
      </w:r>
    </w:p>
    <w:p>
      <w:pPr>
        <w:pStyle w:val="Normal"/>
        <w:spacing w:before="0" w:after="0"/>
        <w:rPr>
          <w:sz w:val="4"/>
          <w:szCs w:val="4"/>
        </w:rPr>
      </w:pPr>
      <w:r>
        <w:rPr>
          <w:sz w:val="4"/>
          <w:szCs w:val="4"/>
        </w:rPr>
      </w:r>
      <w:bookmarkStart w:id="11" w:name="zc80274a098984b1f98b8db45dd3db512"/>
      <w:bookmarkStart w:id="12" w:name="zc80274a098984b1f98b8db45dd3db512"/>
      <w:bookmarkEnd w:id="12"/>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120"/>
              <w:ind w:left="720" w:right="0" w:hanging="0"/>
              <w:jc w:val="left"/>
              <w:rPr/>
            </w:pPr>
            <w:r>
              <w:rPr/>
              <w:t>•</w:t>
            </w:r>
          </w:p>
        </w:tc>
        <w:tc>
          <w:tcPr>
            <w:tcW w:w="10080" w:type="dxa"/>
            <w:tcBorders/>
            <w:shd w:fill="auto" w:val="clear"/>
            <w:vAlign w:val="center"/>
          </w:tcPr>
          <w:p>
            <w:pPr>
              <w:pStyle w:val="TableContents"/>
              <w:spacing w:before="0" w:after="120"/>
              <w:jc w:val="left"/>
              <w:rPr>
                <w:rFonts w:ascii="Times New Roman;Times;serif" w:hAnsi="Times New Roman;Times;serif"/>
                <w:sz w:val="24"/>
              </w:rPr>
            </w:pPr>
            <w:r>
              <w:rPr>
                <w:rFonts w:ascii="Times New Roman;Times;serif" w:hAnsi="Times New Roman;Times;serif"/>
                <w:sz w:val="24"/>
              </w:rPr>
              <w:t>adopted a resolution that approved, on a nonbinding advisory basis, the compensation of its named executive officers as disclosed in the proxy statement for the 2022 annual stockholder meeting.</w:t>
            </w:r>
          </w:p>
        </w:tc>
      </w:tr>
    </w:tbl>
    <w:p>
      <w:pPr>
        <w:pStyle w:val="TextBody"/>
        <w:spacing w:before="0" w:after="0"/>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Following the annual meeting of stockholders, today the CompX board of directors increased the size of the board from seven to nine and elected Kevin B. Kramer and Michael S. Simmons to fill the newly created vacancies.  The board of directors also appointed Mr. Kramer to serve on its audit committee.</w:t>
      </w:r>
    </w:p>
    <w:p>
      <w:pPr>
        <w:pStyle w:val="TextBody"/>
        <w:spacing w:before="0" w:after="0"/>
        <w:rPr/>
      </w:pPr>
      <w:r>
        <w:rPr/>
      </w:r>
    </w:p>
    <w:p>
      <w:pPr>
        <w:pStyle w:val="TextBody"/>
        <w:spacing w:before="0" w:after="283"/>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1494</Words>
  <CharactersWithSpaces>9773</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