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216535</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156845</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t>UNITED STATES</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109220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112395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67" w:lineRule="exact"/>
        <w:rPr>
          <w:sz w:val="24"/>
          <w:szCs w:val="24"/>
          <w:color w:val="auto"/>
        </w:rPr>
      </w:pPr>
    </w:p>
    <w:p>
      <w:pPr>
        <w:ind w:left="1860" w:right="380" w:hanging="369"/>
        <w:spacing w:after="0" w:line="256" w:lineRule="auto"/>
        <w:tabs>
          <w:tab w:leader="none" w:pos="18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236" w:lineRule="exact"/>
        <w:rPr>
          <w:sz w:val="24"/>
          <w:szCs w:val="24"/>
          <w:color w:val="auto"/>
        </w:rPr>
      </w:pPr>
    </w:p>
    <w:p>
      <w:pPr>
        <w:ind w:left="1880" w:right="2220" w:hanging="389"/>
        <w:spacing w:after="0" w:line="270" w:lineRule="auto"/>
        <w:tabs>
          <w:tab w:leader="none" w:pos="1853"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56" w:lineRule="exact"/>
        <w:rPr>
          <w:sz w:val="24"/>
          <w:szCs w:val="24"/>
          <w:color w:val="auto"/>
        </w:rPr>
      </w:pPr>
    </w:p>
    <w:tbl>
      <w:tblPr>
        <w:tblLayout w:type="fixed"/>
        <w:tblInd w:w="1400" w:type="dxa"/>
        <w:tblCellMar>
          <w:top w:w="0" w:type="dxa"/>
          <w:left w:w="0" w:type="dxa"/>
          <w:bottom w:w="0" w:type="dxa"/>
          <w:right w:w="0" w:type="dxa"/>
        </w:tblCellMar>
      </w:tblPr>
      <w:tr>
        <w:trPr>
          <w:trHeight w:val="231"/>
        </w:trPr>
        <w:tc>
          <w:tcPr>
            <w:tcW w:w="64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0"/>
              </w:rPr>
              <w:t>For the transition period from _________ to _________</w:t>
            </w:r>
          </w:p>
        </w:tc>
        <w:tc>
          <w:tcPr>
            <w:tcW w:w="1120" w:type="dxa"/>
            <w:vAlign w:val="bottom"/>
          </w:tcPr>
          <w:p>
            <w:pPr>
              <w:spacing w:after="0"/>
              <w:rPr>
                <w:sz w:val="20"/>
                <w:szCs w:val="20"/>
                <w:color w:val="auto"/>
              </w:rPr>
            </w:pPr>
          </w:p>
        </w:tc>
      </w:tr>
      <w:tr>
        <w:trPr>
          <w:trHeight w:val="428"/>
        </w:trPr>
        <w:tc>
          <w:tcPr>
            <w:tcW w:w="6480" w:type="dxa"/>
            <w:vAlign w:val="bottom"/>
            <w:gridSpan w:val="3"/>
          </w:tcPr>
          <w:p>
            <w:pPr>
              <w:jc w:val="center"/>
              <w:ind w:left="1869"/>
              <w:spacing w:after="0"/>
              <w:rPr>
                <w:sz w:val="20"/>
                <w:szCs w:val="20"/>
                <w:color w:val="auto"/>
              </w:rPr>
            </w:pPr>
            <w:r>
              <w:rPr>
                <w:rFonts w:ascii="Arial" w:cs="Arial" w:eastAsia="Arial" w:hAnsi="Arial"/>
                <w:sz w:val="18"/>
                <w:szCs w:val="18"/>
                <w:b w:val="1"/>
                <w:bCs w:val="1"/>
                <w:color w:val="auto"/>
                <w:w w:val="89"/>
              </w:rPr>
              <w:t>Commission file number 1-13905</w:t>
            </w:r>
          </w:p>
        </w:tc>
        <w:tc>
          <w:tcPr>
            <w:tcW w:w="112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447"/>
        </w:trPr>
        <w:tc>
          <w:tcPr>
            <w:tcW w:w="7600" w:type="dxa"/>
            <w:vAlign w:val="bottom"/>
            <w:gridSpan w:val="4"/>
          </w:tcPr>
          <w:p>
            <w:pPr>
              <w:jc w:val="center"/>
              <w:ind w:left="749"/>
              <w:spacing w:after="0"/>
              <w:rPr>
                <w:sz w:val="20"/>
                <w:szCs w:val="20"/>
                <w:color w:val="auto"/>
              </w:rPr>
            </w:pPr>
            <w:r>
              <w:rPr>
                <w:rFonts w:ascii="Arial" w:cs="Arial" w:eastAsia="Arial" w:hAnsi="Arial"/>
                <w:sz w:val="32"/>
                <w:szCs w:val="32"/>
                <w:b w:val="1"/>
                <w:bCs w:val="1"/>
                <w:color w:val="auto"/>
              </w:rPr>
              <w:t>COMPX INTERNATIONAL INC.</w:t>
            </w:r>
          </w:p>
        </w:tc>
      </w:tr>
      <w:tr>
        <w:trPr>
          <w:trHeight w:val="227"/>
        </w:trPr>
        <w:tc>
          <w:tcPr>
            <w:tcW w:w="6480" w:type="dxa"/>
            <w:vAlign w:val="bottom"/>
            <w:gridSpan w:val="3"/>
          </w:tcPr>
          <w:p>
            <w:pPr>
              <w:jc w:val="center"/>
              <w:ind w:left="1889"/>
              <w:spacing w:after="0"/>
              <w:rPr>
                <w:sz w:val="20"/>
                <w:szCs w:val="20"/>
                <w:color w:val="auto"/>
              </w:rPr>
            </w:pPr>
            <w:r>
              <w:rPr>
                <w:rFonts w:ascii="Arial" w:cs="Arial" w:eastAsia="Arial" w:hAnsi="Arial"/>
                <w:sz w:val="18"/>
                <w:szCs w:val="18"/>
                <w:color w:val="auto"/>
                <w:w w:val="89"/>
              </w:rPr>
              <w:t>(Exact name of Registrant as specified in its charter)</w:t>
            </w:r>
          </w:p>
        </w:tc>
        <w:tc>
          <w:tcPr>
            <w:tcW w:w="1120" w:type="dxa"/>
            <w:vAlign w:val="bottom"/>
          </w:tcPr>
          <w:p>
            <w:pPr>
              <w:spacing w:after="0"/>
              <w:rPr>
                <w:sz w:val="19"/>
                <w:szCs w:val="19"/>
                <w:color w:val="auto"/>
              </w:rPr>
            </w:pPr>
          </w:p>
        </w:tc>
      </w:tr>
      <w:tr>
        <w:trPr>
          <w:trHeight w:val="344"/>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57-0981653</w:t>
            </w:r>
          </w:p>
        </w:tc>
      </w:tr>
      <w:tr>
        <w:trPr>
          <w:trHeight w:val="147"/>
        </w:trPr>
        <w:tc>
          <w:tcPr>
            <w:tcW w:w="6480" w:type="dxa"/>
            <w:vAlign w:val="bottom"/>
            <w:gridSpan w:val="3"/>
          </w:tcPr>
          <w:p>
            <w:pPr>
              <w:jc w:val="center"/>
              <w:ind w:right="378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r>
      <w:tr>
        <w:trPr>
          <w:trHeight w:val="181"/>
        </w:trPr>
        <w:tc>
          <w:tcPr>
            <w:tcW w:w="6480" w:type="dxa"/>
            <w:vAlign w:val="bottom"/>
            <w:gridSpan w:val="3"/>
          </w:tcPr>
          <w:p>
            <w:pPr>
              <w:jc w:val="center"/>
              <w:ind w:right="3760"/>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4"/>
        </w:trPr>
        <w:tc>
          <w:tcPr>
            <w:tcW w:w="64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5430 LBJ Freeway, Suite 1700,</w:t>
            </w:r>
          </w:p>
        </w:tc>
        <w:tc>
          <w:tcPr>
            <w:tcW w:w="1120" w:type="dxa"/>
            <w:vAlign w:val="bottom"/>
          </w:tcPr>
          <w:p>
            <w:pPr>
              <w:spacing w:after="0"/>
              <w:rPr>
                <w:sz w:val="24"/>
                <w:szCs w:val="24"/>
                <w:color w:val="auto"/>
              </w:rPr>
            </w:pPr>
          </w:p>
        </w:tc>
      </w:tr>
      <w:tr>
        <w:trPr>
          <w:trHeight w:val="227"/>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Three Lincoln Centre, Dallas, Texas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75240-2620</w:t>
            </w:r>
          </w:p>
        </w:tc>
      </w:tr>
      <w:tr>
        <w:trPr>
          <w:trHeight w:val="181"/>
        </w:trPr>
        <w:tc>
          <w:tcPr>
            <w:tcW w:w="6480" w:type="dxa"/>
            <w:vAlign w:val="bottom"/>
            <w:gridSpan w:val="3"/>
          </w:tcPr>
          <w:p>
            <w:pPr>
              <w:jc w:val="center"/>
              <w:ind w:right="3780"/>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8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CIX</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4377690</wp:posOffset>
            </wp:positionH>
            <wp:positionV relativeFrom="paragraph">
              <wp:posOffset>-118745</wp:posOffset>
            </wp:positionV>
            <wp:extent cx="77470" cy="7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-118745</wp:posOffset>
            </wp:positionV>
            <wp:extent cx="77470" cy="7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69"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5391785</wp:posOffset>
            </wp:positionH>
            <wp:positionV relativeFrom="paragraph">
              <wp:posOffset>-119380</wp:posOffset>
            </wp:positionV>
            <wp:extent cx="77470" cy="78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5762625</wp:posOffset>
            </wp:positionH>
            <wp:positionV relativeFrom="paragraph">
              <wp:posOffset>-119380</wp:posOffset>
            </wp:positionV>
            <wp:extent cx="77470" cy="78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68" w:lineRule="exact"/>
        <w:rPr>
          <w:sz w:val="24"/>
          <w:szCs w:val="24"/>
          <w:color w:val="auto"/>
        </w:rPr>
      </w:pPr>
    </w:p>
    <w:p>
      <w:pPr>
        <w:jc w:val="both"/>
        <w:spacing w:after="0" w:line="27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spacing w:after="0" w:line="184" w:lineRule="exact"/>
        <w:tabs>
          <w:tab w:leader="none" w:pos="1860" w:val="left"/>
          <w:tab w:leader="none" w:pos="334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1019175</wp:posOffset>
            </wp:positionH>
            <wp:positionV relativeFrom="paragraph">
              <wp:posOffset>-76200</wp:posOffset>
            </wp:positionV>
            <wp:extent cx="77470" cy="78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-76200</wp:posOffset>
            </wp:positionV>
            <wp:extent cx="77470" cy="78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-76200</wp:posOffset>
            </wp:positionV>
            <wp:extent cx="77470" cy="78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-76200</wp:posOffset>
            </wp:positionV>
            <wp:extent cx="77470" cy="7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21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1223010</wp:posOffset>
            </wp:positionH>
            <wp:positionV relativeFrom="paragraph">
              <wp:posOffset>-76200</wp:posOffset>
            </wp:positionV>
            <wp:extent cx="77470" cy="78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237"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3862070</wp:posOffset>
            </wp:positionH>
            <wp:positionV relativeFrom="paragraph">
              <wp:posOffset>-118745</wp:posOffset>
            </wp:positionV>
            <wp:extent cx="77470" cy="78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43" w:lineRule="exact"/>
        <w:rPr>
          <w:sz w:val="24"/>
          <w:szCs w:val="24"/>
          <w:color w:val="auto"/>
        </w:rPr>
      </w:pPr>
    </w:p>
    <w:p>
      <w:pPr>
        <w:spacing w:after="0" w:line="184" w:lineRule="exact"/>
        <w:tabs>
          <w:tab w:leader="none" w:pos="7860" w:val="left"/>
          <w:tab w:leader="none" w:pos="84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rPr>
        <w:t>☒</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5216525</wp:posOffset>
            </wp:positionH>
            <wp:positionV relativeFrom="paragraph">
              <wp:posOffset>-76200</wp:posOffset>
            </wp:positionV>
            <wp:extent cx="77470" cy="78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-76200</wp:posOffset>
            </wp:positionV>
            <wp:extent cx="77470" cy="78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July 30, 2020, the registrant had 12,451,157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503555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p>
        </w:tc>
        <w:tc>
          <w:tcPr>
            <w:tcW w:w="9680" w:type="dxa"/>
            <w:vAlign w:val="bottom"/>
          </w:tcPr>
          <w:p>
            <w:pPr>
              <w:ind w:left="3540"/>
              <w:spacing w:after="0"/>
              <w:rPr>
                <w:sz w:val="20"/>
                <w:szCs w:val="20"/>
                <w:color w:val="auto"/>
              </w:rPr>
            </w:pPr>
            <w:r>
              <w:rPr>
                <w:rFonts w:ascii="Arial" w:cs="Arial" w:eastAsia="Arial" w:hAnsi="Arial"/>
                <w:sz w:val="18"/>
                <w:szCs w:val="18"/>
                <w:b w:val="1"/>
                <w:bCs w:val="1"/>
                <w:color w:val="auto"/>
              </w:rPr>
              <w:t>COMPX INTERNATIONAL INC.</w:t>
            </w:r>
          </w:p>
        </w:tc>
        <w:tc>
          <w:tcPr>
            <w:tcW w:w="800" w:type="dxa"/>
            <w:vAlign w:val="bottom"/>
          </w:tcPr>
          <w:p>
            <w:pPr>
              <w:spacing w:after="0"/>
              <w:rPr>
                <w:sz w:val="20"/>
                <w:szCs w:val="20"/>
                <w:color w:val="auto"/>
              </w:rPr>
            </w:pPr>
          </w:p>
        </w:tc>
      </w:tr>
      <w:tr>
        <w:trPr>
          <w:trHeight w:val="428"/>
        </w:trPr>
        <w:tc>
          <w:tcPr>
            <w:tcW w:w="760" w:type="dxa"/>
            <w:vAlign w:val="bottom"/>
          </w:tcPr>
          <w:p>
            <w:pPr>
              <w:spacing w:after="0"/>
              <w:rPr>
                <w:sz w:val="24"/>
                <w:szCs w:val="24"/>
                <w:color w:val="auto"/>
              </w:rPr>
            </w:pPr>
          </w:p>
        </w:tc>
        <w:tc>
          <w:tcPr>
            <w:tcW w:w="9680" w:type="dxa"/>
            <w:vAlign w:val="bottom"/>
          </w:tcPr>
          <w:p>
            <w:pPr>
              <w:ind w:left="464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r>
      <w:tr>
        <w:trPr>
          <w:trHeight w:val="443"/>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7"/>
                <w:szCs w:val="17"/>
                <w:color w:val="auto"/>
              </w:rPr>
            </w:pPr>
          </w:p>
        </w:tc>
      </w:tr>
      <w:tr>
        <w:trPr>
          <w:trHeight w:val="333"/>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December 31, 2019 and June 30, 2020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- 3 -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(unaudited) – Three and six months ended June 30,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- 4 -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Condensed Consolidated Statements of Stockholders’ Equity (unaudited) – Three and six months ended June 30,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- 5 -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(unaudited) - Six months ended June 30,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- 6 -</w:t>
            </w:r>
          </w:p>
        </w:tc>
      </w:tr>
      <w:tr>
        <w:trPr>
          <w:trHeight w:val="334"/>
        </w:trPr>
        <w:tc>
          <w:tcPr>
            <w:tcW w:w="76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- 7 -</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Management’s Discussion and Analysis of Financial Condition and Results of Operations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-11-</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Quantitative and Qualitative Disclosure About Market Risk</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-16-</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Controls and Procedures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-16-</w:t>
            </w:r>
          </w:p>
        </w:tc>
      </w:tr>
      <w:tr>
        <w:trPr>
          <w:trHeight w:val="3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80" w:type="dxa"/>
            <w:vAlign w:val="bottom"/>
          </w:tcPr>
          <w:p>
            <w:pPr>
              <w:ind w:left="12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OTHER INFORMATION</w:t>
              </w:r>
            </w:hyperlink>
          </w:p>
        </w:tc>
        <w:tc>
          <w:tcPr>
            <w:tcW w:w="800" w:type="dxa"/>
            <w:vAlign w:val="bottom"/>
          </w:tcPr>
          <w:p>
            <w:pPr>
              <w:spacing w:after="0"/>
              <w:rPr>
                <w:sz w:val="24"/>
                <w:szCs w:val="24"/>
                <w:color w:val="auto"/>
              </w:rPr>
            </w:pP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-18-</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Exhibits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-18-</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0"/>
        </w:trPr>
        <w:tc>
          <w:tcPr>
            <w:tcW w:w="5800" w:type="dxa"/>
            <w:vAlign w:val="bottom"/>
            <w:tcBorders>
              <w:bottom w:val="single" w:sz="8" w:color="CFF0FC"/>
            </w:tcBorders>
          </w:tcPr>
          <w:p>
            <w:pPr>
              <w:spacing w:after="0"/>
              <w:rPr>
                <w:sz w:val="14"/>
                <w:szCs w:val="14"/>
                <w:color w:val="auto"/>
              </w:rPr>
            </w:pPr>
          </w:p>
        </w:tc>
        <w:tc>
          <w:tcPr>
            <w:tcW w:w="2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00" w:type="dxa"/>
            <w:vAlign w:val="bottom"/>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ASSETS</w:t>
            </w:r>
          </w:p>
        </w:tc>
        <w:tc>
          <w:tcPr>
            <w:tcW w:w="2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center"/>
              <w:ind w:right="93"/>
              <w:spacing w:after="0" w:line="154"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2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95,097</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tcPr>
          <w:p>
            <w:pPr>
              <w:spacing w:after="0"/>
              <w:rPr>
                <w:sz w:val="20"/>
                <w:szCs w:val="20"/>
                <w:color w:val="auto"/>
              </w:rPr>
            </w:pPr>
            <w:r>
              <w:rPr>
                <w:rFonts w:ascii="Arial" w:cs="Arial" w:eastAsia="Arial" w:hAnsi="Arial"/>
                <w:sz w:val="18"/>
                <w:szCs w:val="18"/>
                <w:color w:val="auto"/>
              </w:rPr>
              <w:t>Other assets:</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2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2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Land</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2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97,290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2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65,692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2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181,228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80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12,078</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2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2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55,869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106,202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166,160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181,228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89"/>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r>
      <w:tr>
        <w:trPr>
          <w:trHeight w:val="154"/>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76"/>
              <w:spacing w:after="0" w:line="154"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left="376"/>
              <w:spacing w:after="0" w:line="154"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33,730</w:t>
            </w:r>
          </w:p>
        </w:tc>
        <w:tc>
          <w:tcPr>
            <w:tcW w:w="60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23,800</w:t>
            </w:r>
          </w:p>
        </w:tc>
        <w:tc>
          <w:tcPr>
            <w:tcW w:w="52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64,907</w:t>
            </w:r>
          </w:p>
        </w:tc>
        <w:tc>
          <w:tcPr>
            <w:tcW w:w="680" w:type="dxa"/>
            <w:vAlign w:val="bottom"/>
            <w:gridSpan w:val="2"/>
            <w:shd w:val="clear" w:color="auto" w:fill="CFF0FC"/>
          </w:tcPr>
          <w:p>
            <w:pPr>
              <w:jc w:val="right"/>
              <w:ind w:right="231"/>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56,111</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44,344</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38,314</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17,797</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10,408</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7,389</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8,366</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2,030</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8,881</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per common share</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60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0.17</w:t>
            </w:r>
          </w:p>
        </w:tc>
        <w:tc>
          <w:tcPr>
            <w:tcW w:w="52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680" w:type="dxa"/>
            <w:vAlign w:val="bottom"/>
            <w:gridSpan w:val="2"/>
            <w:shd w:val="clear" w:color="auto" w:fill="CFF0FC"/>
          </w:tcPr>
          <w:p>
            <w:pPr>
              <w:jc w:val="right"/>
              <w:ind w:right="231"/>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shd w:val="clear" w:color="auto" w:fill="CFF0FC"/>
          </w:tcPr>
          <w:p>
            <w:pPr>
              <w:spacing w:after="0"/>
              <w:rPr>
                <w:sz w:val="19"/>
                <w:szCs w:val="19"/>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7"/>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12,439</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12,446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Three months ended June 30, 2019 and 2020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9"/>
              </w:rPr>
              <w:t>Class A</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140"/>
              <w:spacing w:after="0" w:line="146"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right="180"/>
              <w:spacing w:after="0" w:line="146"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4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common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r>
      <w:tr>
        <w:trPr>
          <w:trHeight w:val="447"/>
        </w:trPr>
        <w:tc>
          <w:tcPr>
            <w:tcW w:w="480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55,751</w:t>
            </w:r>
          </w:p>
        </w:tc>
        <w:tc>
          <w:tcPr>
            <w:tcW w:w="540" w:type="dxa"/>
            <w:vAlign w:val="bottom"/>
            <w:gridSpan w:val="3"/>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96,803</w:t>
            </w:r>
          </w:p>
        </w:tc>
        <w:tc>
          <w:tcPr>
            <w:tcW w:w="220" w:type="dxa"/>
            <w:vAlign w:val="bottom"/>
          </w:tcPr>
          <w:p>
            <w:pPr>
              <w:spacing w:after="0"/>
              <w:rPr>
                <w:sz w:val="24"/>
                <w:szCs w:val="24"/>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152,678</w:t>
            </w:r>
          </w:p>
        </w:tc>
        <w:tc>
          <w:tcPr>
            <w:tcW w:w="120" w:type="dxa"/>
            <w:vAlign w:val="bottom"/>
          </w:tcPr>
          <w:p>
            <w:pPr>
              <w:spacing w:after="0"/>
              <w:rPr>
                <w:sz w:val="24"/>
                <w:szCs w:val="24"/>
                <w:color w:val="auto"/>
              </w:rPr>
            </w:pPr>
          </w:p>
        </w:tc>
      </w:tr>
      <w:tr>
        <w:trPr>
          <w:trHeight w:val="228"/>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FF0FC"/>
          </w:tcPr>
          <w:p>
            <w:pPr>
              <w:spacing w:after="0"/>
              <w:rPr>
                <w:sz w:val="19"/>
                <w:szCs w:val="19"/>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8"/>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($0.07 per share)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(872)</w:t>
            </w:r>
          </w:p>
        </w:tc>
      </w:tr>
      <w:tr>
        <w:trPr>
          <w:trHeight w:val="26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2019</w:t>
            </w: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55,869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100,826</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gridSpan w:val="2"/>
          </w:tcPr>
          <w:p>
            <w:pPr>
              <w:spacing w:after="0"/>
              <w:rPr>
                <w:sz w:val="22"/>
                <w:szCs w:val="22"/>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156,819</w:t>
            </w:r>
          </w:p>
        </w:tc>
        <w:tc>
          <w:tcPr>
            <w:tcW w:w="120" w:type="dxa"/>
            <w:vAlign w:val="bottom"/>
            <w:tcBorders>
              <w:bottom w:val="single" w:sz="8" w:color="CFF0FC"/>
            </w:tcBorders>
          </w:tcPr>
          <w:p>
            <w:pPr>
              <w:spacing w:after="0"/>
              <w:rPr>
                <w:sz w:val="22"/>
                <w:szCs w:val="22"/>
                <w:color w:val="auto"/>
              </w:rPr>
            </w:pPr>
          </w:p>
        </w:tc>
      </w:tr>
      <w:tr>
        <w:trPr>
          <w:trHeight w:val="208"/>
        </w:trPr>
        <w:tc>
          <w:tcPr>
            <w:tcW w:w="4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55,869</w:t>
            </w:r>
          </w:p>
        </w:tc>
        <w:tc>
          <w:tcPr>
            <w:tcW w:w="54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109,229</w:t>
            </w:r>
          </w:p>
        </w:tc>
        <w:tc>
          <w:tcPr>
            <w:tcW w:w="220" w:type="dxa"/>
            <w:vAlign w:val="bottom"/>
          </w:tcPr>
          <w:p>
            <w:pPr>
              <w:spacing w:after="0"/>
              <w:rPr>
                <w:sz w:val="19"/>
                <w:szCs w:val="19"/>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165,222</w:t>
            </w:r>
          </w:p>
        </w:tc>
        <w:tc>
          <w:tcPr>
            <w:tcW w:w="120" w:type="dxa"/>
            <w:vAlign w:val="bottom"/>
          </w:tcPr>
          <w:p>
            <w:pPr>
              <w:spacing w:after="0"/>
              <w:rPr>
                <w:sz w:val="19"/>
                <w:szCs w:val="19"/>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2,065</w:t>
            </w:r>
          </w:p>
        </w:tc>
        <w:tc>
          <w:tcPr>
            <w:tcW w:w="120" w:type="dxa"/>
            <w:vAlign w:val="bottom"/>
            <w:shd w:val="clear" w:color="auto" w:fill="CFF0FC"/>
          </w:tcPr>
          <w:p>
            <w:pPr>
              <w:spacing w:after="0"/>
              <w:rPr>
                <w:sz w:val="19"/>
                <w:szCs w:val="19"/>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19"/>
                <w:szCs w:val="19"/>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($0.10 per share)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(1,245)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(1,245)</w:t>
            </w:r>
          </w:p>
        </w:tc>
      </w:tr>
      <w:tr>
        <w:trPr>
          <w:trHeight w:val="221"/>
        </w:trPr>
        <w:tc>
          <w:tcPr>
            <w:tcW w:w="48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55,987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110,049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166,160</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5"/>
        </w:trPr>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20"/>
          </w:tcPr>
          <w:p>
            <w:pPr>
              <w:jc w:val="right"/>
              <w:ind w:right="1300"/>
              <w:spacing w:after="0"/>
              <w:rPr>
                <w:sz w:val="20"/>
                <w:szCs w:val="20"/>
                <w:color w:val="auto"/>
              </w:rPr>
            </w:pPr>
            <w:r>
              <w:rPr>
                <w:rFonts w:ascii="Arial" w:cs="Arial" w:eastAsia="Arial" w:hAnsi="Arial"/>
                <w:sz w:val="18"/>
                <w:szCs w:val="18"/>
                <w:b w:val="1"/>
                <w:bCs w:val="1"/>
                <w:color w:val="auto"/>
              </w:rPr>
              <w:t>Six months ended June 30, 2019 and 2020 (unaudited)</w:t>
            </w:r>
          </w:p>
        </w:tc>
      </w:tr>
      <w:tr>
        <w:trPr>
          <w:trHeight w:val="145"/>
        </w:trPr>
        <w:tc>
          <w:tcPr>
            <w:tcW w:w="48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Class A</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95"/>
              <w:spacing w:after="0" w:line="145"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gridSpan w:val="3"/>
          </w:tcPr>
          <w:p>
            <w:pPr>
              <w:spacing w:after="0"/>
              <w:rPr>
                <w:sz w:val="12"/>
                <w:szCs w:val="12"/>
                <w:color w:val="auto"/>
              </w:rPr>
            </w:pPr>
          </w:p>
        </w:tc>
      </w:tr>
      <w:tr>
        <w:trPr>
          <w:trHeight w:val="160"/>
        </w:trPr>
        <w:tc>
          <w:tcPr>
            <w:tcW w:w="4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common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stockholders'</w:t>
            </w:r>
          </w:p>
        </w:tc>
      </w:tr>
      <w:tr>
        <w:trPr>
          <w:trHeight w:val="170"/>
        </w:trPr>
        <w:tc>
          <w:tcPr>
            <w:tcW w:w="48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stock</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earnings</w:t>
            </w:r>
          </w:p>
        </w:tc>
        <w:tc>
          <w:tcPr>
            <w:tcW w:w="32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equity</w:t>
            </w:r>
          </w:p>
        </w:tc>
        <w:tc>
          <w:tcPr>
            <w:tcW w:w="240" w:type="dxa"/>
            <w:vAlign w:val="bottom"/>
            <w:gridSpan w:val="3"/>
          </w:tcPr>
          <w:p>
            <w:pPr>
              <w:spacing w:after="0"/>
              <w:rPr>
                <w:sz w:val="14"/>
                <w:szCs w:val="14"/>
                <w:color w:val="auto"/>
              </w:rPr>
            </w:pPr>
          </w:p>
        </w:tc>
      </w:tr>
      <w:tr>
        <w:trPr>
          <w:trHeight w:val="447"/>
        </w:trPr>
        <w:tc>
          <w:tcPr>
            <w:tcW w:w="480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4"/>
                <w:szCs w:val="24"/>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55,751</w:t>
            </w:r>
          </w:p>
        </w:tc>
        <w:tc>
          <w:tcPr>
            <w:tcW w:w="80" w:type="dxa"/>
            <w:vAlign w:val="bottom"/>
          </w:tcPr>
          <w:p>
            <w:pPr>
              <w:spacing w:after="0"/>
              <w:rPr>
                <w:sz w:val="24"/>
                <w:szCs w:val="24"/>
                <w:color w:val="auto"/>
              </w:rPr>
            </w:pPr>
          </w:p>
        </w:tc>
        <w:tc>
          <w:tcPr>
            <w:tcW w:w="54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93,687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($0.14 per share)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top w:val="single" w:sz="8" w:color="auto"/>
              <w:bottom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55,869</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100,826</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156,819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8"/>
        </w:trPr>
        <w:tc>
          <w:tcPr>
            <w:tcW w:w="4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60" w:type="dxa"/>
            <w:vAlign w:val="bottom"/>
          </w:tcPr>
          <w:p>
            <w:pPr>
              <w:spacing w:after="0"/>
              <w:rPr>
                <w:sz w:val="19"/>
                <w:szCs w:val="19"/>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55,869</w:t>
            </w:r>
          </w:p>
        </w:tc>
        <w:tc>
          <w:tcPr>
            <w:tcW w:w="80" w:type="dxa"/>
            <w:vAlign w:val="bottom"/>
          </w:tcPr>
          <w:p>
            <w:pPr>
              <w:spacing w:after="0"/>
              <w:rPr>
                <w:sz w:val="19"/>
                <w:szCs w:val="19"/>
                <w:color w:val="auto"/>
              </w:rPr>
            </w:pPr>
          </w:p>
        </w:tc>
        <w:tc>
          <w:tcPr>
            <w:tcW w:w="540" w:type="dxa"/>
            <w:vAlign w:val="bottom"/>
            <w:gridSpan w:val="3"/>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106,202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162,195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6,336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($0.20 per share)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(2,489)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(2,489)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top w:val="single" w:sz="8" w:color="auto"/>
              <w:bottom w:val="single" w:sz="8" w:color="auto"/>
            </w:tcBorders>
            <w:gridSpan w:val="2"/>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166,160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89"/>
              </w:rPr>
              <w:t>Six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8,881</w:t>
            </w:r>
          </w:p>
        </w:tc>
        <w:tc>
          <w:tcPr>
            <w:tcW w:w="280" w:type="dxa"/>
            <w:vAlign w:val="bottom"/>
          </w:tcPr>
          <w:p>
            <w:pPr>
              <w:spacing w:after="0"/>
              <w:rPr>
                <w:sz w:val="19"/>
                <w:szCs w:val="19"/>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(2,770)</w:t>
            </w: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(3,555)</w:t>
            </w: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(1,929)</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(2,415)</w:t>
            </w:r>
          </w:p>
        </w:tc>
        <w:tc>
          <w:tcPr>
            <w:tcW w:w="0" w:type="dxa"/>
            <w:vAlign w:val="bottom"/>
          </w:tcPr>
          <w:p>
            <w:pPr>
              <w:spacing w:after="0"/>
              <w:rPr>
                <w:sz w:val="1"/>
                <w:szCs w:val="1"/>
                <w:color w:val="auto"/>
              </w:rPr>
            </w:pPr>
          </w:p>
        </w:tc>
      </w:tr>
      <w:tr>
        <w:trPr>
          <w:trHeight w:val="227"/>
        </w:trPr>
        <w:tc>
          <w:tcPr>
            <w:tcW w:w="606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2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(861)</w:t>
            </w: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fixed assets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Note receivable from affiliate:</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Collections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500"/>
              <w:spacing w:after="0"/>
              <w:rPr>
                <w:sz w:val="20"/>
                <w:szCs w:val="20"/>
                <w:color w:val="auto"/>
              </w:rPr>
            </w:pPr>
            <w:r>
              <w:rPr>
                <w:rFonts w:ascii="Arial" w:cs="Arial" w:eastAsia="Arial" w:hAnsi="Arial"/>
                <w:sz w:val="18"/>
                <w:szCs w:val="18"/>
                <w:color w:val="auto"/>
              </w:rPr>
              <w:t>Advances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(28,100)</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(23,028)</w:t>
            </w:r>
          </w:p>
        </w:tc>
        <w:tc>
          <w:tcPr>
            <w:tcW w:w="0" w:type="dxa"/>
            <w:vAlign w:val="bottom"/>
          </w:tcPr>
          <w:p>
            <w:pPr>
              <w:spacing w:after="0"/>
              <w:rPr>
                <w:sz w:val="1"/>
                <w:szCs w:val="1"/>
                <w:color w:val="auto"/>
              </w:rPr>
            </w:pPr>
          </w:p>
        </w:tc>
      </w:tr>
      <w:tr>
        <w:trPr>
          <w:trHeight w:val="221"/>
        </w:trPr>
        <w:tc>
          <w:tcPr>
            <w:tcW w:w="6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Cash flows from financing activities -</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(1,742)</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(2,489)</w:t>
            </w: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Cash and cash equivalents - net change from:</w:t>
            </w:r>
          </w:p>
        </w:tc>
        <w:tc>
          <w:tcPr>
            <w:tcW w:w="2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(3,497)</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(805)</w:t>
            </w:r>
          </w:p>
        </w:tc>
        <w:tc>
          <w:tcPr>
            <w:tcW w:w="0" w:type="dxa"/>
            <w:vAlign w:val="bottom"/>
          </w:tcPr>
          <w:p>
            <w:pPr>
              <w:spacing w:after="0"/>
              <w:rPr>
                <w:sz w:val="1"/>
                <w:szCs w:val="1"/>
                <w:color w:val="auto"/>
              </w:rPr>
            </w:pPr>
          </w:p>
        </w:tc>
      </w:tr>
      <w:tr>
        <w:trPr>
          <w:trHeight w:val="227"/>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beginning of period</w:t>
            </w:r>
          </w:p>
        </w:tc>
        <w:tc>
          <w:tcPr>
            <w:tcW w:w="2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w:t>
            </w:r>
          </w:p>
        </w:tc>
        <w:tc>
          <w:tcPr>
            <w:tcW w:w="2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41,917</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62,450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60" w:type="dxa"/>
            <w:vAlign w:val="bottom"/>
            <w:vMerge w:val="continue"/>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26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18"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We (NYSE American: CIX) were 86% owned by NL Industries, Inc. (NYSE: NL) at June 30, 2020. We manufacture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products (security products and recreational marine components). At June 30, 2020, Valhi, Inc. (NYSE: VHI) owned 83% of NL’s outstanding common stock and a wholly-owned subsidiary of Contran Corporation owned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June 30, 2020 Ms. Simmons and the Family Trust may be deemed to control Contran, and therefore may be deemed to indirectly control the wholly-owned subsidiary of Contran, Valhi, NL and us.</w:t>
      </w:r>
    </w:p>
    <w:p>
      <w:pPr>
        <w:spacing w:after="0" w:line="303"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 subsidiaries.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Financial Statements contained in this Quarterly Report have been prepared on the same basis as the audited Consolidated Financial Statements included in our Annual Report on Form 10-K for the year ended December 31, 2019 that we filed with the Securities and Exchange Commission (“SEC”) on February 26, 2020 (the “2019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2019 contained in this Quarterly Report as compared to our audited Consolidated Financial Statements at that date, and we have omitted certain information and footnote disclosures (including those related to the Consolidated Balance Sheet at December 31, 2019) normally included in financial statements prepared in accordance with accounting principles generally accepted in the United States of America (“GAAP”). Our results of operations for the interim periods ended June 30, 2020 may not be indicative of our operating results for the full year. The Condensed Consolidated Financial Statements contained in this Quarterly Report should be read in conjunction with our 2019 Consolidated Financial Statements contained in our 2019 Annual Report.</w:t>
      </w:r>
    </w:p>
    <w:p>
      <w:pPr>
        <w:spacing w:after="0" w:line="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June 30, 2019, December 31, 2019 and June 30, 2020. The actual dates of our annual and quarterly periods are June 30, 2019, December 29, 2019 and June 28, 2020, respectively. Unless otherwise indicated, references in this report to “we”, “us” or “our” refer to CompX International Inc. and its subsidiaries, taken as a whole.</w:t>
      </w:r>
    </w:p>
    <w:p>
      <w:pPr>
        <w:spacing w:after="0" w:line="8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color w:val="auto"/>
        </w:rPr>
        <w:t>Our results of operations for the second quarter of 2020 were significantly impacted by the COVID-19 pandemic due to government mandated closures and reduced demand for many of our products resulting from the rapid contraction of vast areas of the economy. The extent of the COVID-19 impact on our future operations will depend on the time period and degree to which the COVID-19 pandemic persists in the economy thereby reducing customer demand for certain of our products,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center"/>
              <w:ind w:left="10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3"/>
              </w:rPr>
              <w:t>2020</w:t>
            </w:r>
          </w:p>
        </w:tc>
        <w:tc>
          <w:tcPr>
            <w:tcW w:w="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83"/>
              </w:rPr>
              <w:t>2019</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4"/>
          </w:tcPr>
          <w:p>
            <w:pPr>
              <w:jc w:val="center"/>
              <w:ind w:left="316"/>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26,927</w:t>
            </w:r>
          </w:p>
        </w:tc>
        <w:tc>
          <w:tcPr>
            <w:tcW w:w="1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18,573</w:t>
            </w:r>
          </w:p>
        </w:tc>
        <w:tc>
          <w:tcPr>
            <w:tcW w:w="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51,631</w:t>
            </w:r>
          </w:p>
        </w:tc>
        <w:tc>
          <w:tcPr>
            <w:tcW w:w="24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44,042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5,227</w:t>
            </w:r>
          </w:p>
        </w:tc>
        <w:tc>
          <w:tcPr>
            <w:tcW w:w="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13,276</w:t>
            </w:r>
          </w:p>
        </w:tc>
        <w:tc>
          <w:tcPr>
            <w:tcW w:w="2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12,069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26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33,730</w:t>
            </w:r>
          </w:p>
        </w:tc>
        <w:tc>
          <w:tcPr>
            <w:tcW w:w="160" w:type="dxa"/>
            <w:vAlign w:val="bottom"/>
          </w:tcPr>
          <w:p>
            <w:pPr>
              <w:spacing w:after="0"/>
              <w:rPr>
                <w:sz w:val="23"/>
                <w:szCs w:val="2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23,800</w:t>
            </w:r>
          </w:p>
        </w:tc>
        <w:tc>
          <w:tcPr>
            <w:tcW w:w="6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64,907</w:t>
            </w:r>
          </w:p>
        </w:tc>
        <w:tc>
          <w:tcPr>
            <w:tcW w:w="24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56,111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3,361</w:t>
            </w:r>
          </w:p>
        </w:tc>
        <w:tc>
          <w:tcPr>
            <w:tcW w:w="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9,074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799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(1,706)</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(1,791)</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(3,392)</w:t>
            </w:r>
          </w:p>
        </w:tc>
        <w:tc>
          <w:tcPr>
            <w:tcW w:w="1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(3,566)</w:t>
            </w:r>
          </w:p>
        </w:tc>
        <w:tc>
          <w:tcPr>
            <w:tcW w:w="0" w:type="dxa"/>
            <w:vAlign w:val="bottom"/>
          </w:tcPr>
          <w:p>
            <w:pPr>
              <w:spacing w:after="0"/>
              <w:rPr>
                <w:sz w:val="1"/>
                <w:szCs w:val="1"/>
                <w:color w:val="auto"/>
              </w:rPr>
            </w:pPr>
          </w:p>
        </w:tc>
      </w:tr>
      <w:tr>
        <w:trPr>
          <w:trHeight w:val="234"/>
        </w:trPr>
        <w:tc>
          <w:tcPr>
            <w:tcW w:w="426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0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9,913</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0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370</w:t>
            </w:r>
          </w:p>
        </w:tc>
        <w:tc>
          <w:tcPr>
            <w:tcW w:w="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8"/>
                <w:szCs w:val="18"/>
                <w:color w:val="auto"/>
              </w:rPr>
              <w:t>Income before taxes</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6,450</w:t>
            </w:r>
          </w:p>
        </w:tc>
        <w:tc>
          <w:tcPr>
            <w:tcW w:w="1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2,739</w:t>
            </w:r>
          </w:p>
        </w:tc>
        <w:tc>
          <w:tcPr>
            <w:tcW w:w="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11,577</w:t>
            </w:r>
          </w:p>
        </w:tc>
        <w:tc>
          <w:tcPr>
            <w:tcW w:w="24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6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10,321</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11,870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26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ind w:left="22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2,134</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0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3,361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9,138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0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11,771</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13,649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0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4,808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18,348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21,818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80" w:type="dxa"/>
            <w:vAlign w:val="bottom"/>
            <w:vMerge w:val="restart"/>
          </w:tcPr>
          <w:p>
            <w:pPr>
              <w:jc w:val="right"/>
              <w:ind w:right="471"/>
              <w:spacing w:after="0"/>
              <w:rPr>
                <w:sz w:val="20"/>
                <w:szCs w:val="20"/>
                <w:color w:val="auto"/>
              </w:rPr>
            </w:pPr>
            <w:r>
              <w:rPr>
                <w:rFonts w:ascii="Arial" w:cs="Arial" w:eastAsia="Arial" w:hAnsi="Arial"/>
                <w:sz w:val="18"/>
                <w:szCs w:val="18"/>
                <w:color w:val="auto"/>
              </w:rPr>
              <w:t>- 8 -</w:t>
            </w: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2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0"/>
        </w:trPr>
        <w:tc>
          <w:tcPr>
            <w:tcW w:w="5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ind w:right="157"/>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1,975</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8"/>
                <w:szCs w:val="18"/>
                <w:color w:val="auto"/>
              </w:rPr>
              <w:t>Accrued liabilities: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5,611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12,078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9,629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5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90"/>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center"/>
              <w:ind w:left="255"/>
              <w:spacing w:after="0"/>
              <w:rPr>
                <w:sz w:val="20"/>
                <w:szCs w:val="20"/>
                <w:color w:val="auto"/>
              </w:rPr>
            </w:pPr>
            <w:r>
              <w:rPr>
                <w:rFonts w:ascii="Arial" w:cs="Arial" w:eastAsia="Arial" w:hAnsi="Arial"/>
                <w:sz w:val="14"/>
                <w:szCs w:val="14"/>
                <w:b w:val="1"/>
                <w:bCs w:val="1"/>
                <w:color w:val="auto"/>
                <w:w w:val="89"/>
              </w:rPr>
              <w:t>Six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ind w:right="457"/>
              <w:spacing w:after="0"/>
              <w:rPr>
                <w:sz w:val="20"/>
                <w:szCs w:val="20"/>
                <w:color w:val="auto"/>
              </w:rPr>
            </w:pPr>
            <w:r>
              <w:rPr>
                <w:rFonts w:ascii="Arial" w:cs="Arial" w:eastAsia="Arial" w:hAnsi="Arial"/>
                <w:sz w:val="18"/>
                <w:szCs w:val="18"/>
                <w:b w:val="1"/>
                <w:bCs w:val="1"/>
                <w:color w:val="auto"/>
                <w:w w:val="79"/>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575</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vMerge w:val="restart"/>
            <w:shd w:val="clear" w:color="auto" w:fill="CFF0FC"/>
          </w:tcPr>
          <w:p>
            <w:pPr>
              <w:jc w:val="right"/>
              <w:ind w:right="368"/>
              <w:spacing w:after="0"/>
              <w:rPr>
                <w:sz w:val="20"/>
                <w:szCs w:val="20"/>
                <w:color w:val="auto"/>
              </w:rPr>
            </w:pPr>
            <w:r>
              <w:rPr>
                <w:rFonts w:ascii="Arial" w:cs="Arial" w:eastAsia="Arial" w:hAnsi="Arial"/>
                <w:sz w:val="14"/>
                <w:szCs w:val="14"/>
                <w:b w:val="1"/>
                <w:bCs w:val="1"/>
                <w:color w:val="auto"/>
                <w:w w:val="76"/>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rate of 21%</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40" w:type="dxa"/>
            <w:vAlign w:val="bottom"/>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240" w:type="dxa"/>
            <w:vAlign w:val="bottom"/>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40" w:type="dxa"/>
            <w:vAlign w:val="bottom"/>
          </w:tcPr>
          <w:p>
            <w:pPr>
              <w:spacing w:after="0"/>
              <w:rPr>
                <w:sz w:val="20"/>
                <w:szCs w:val="20"/>
                <w:color w:val="auto"/>
              </w:rPr>
            </w:pPr>
            <w:r>
              <w:rPr>
                <w:rFonts w:ascii="Arial" w:cs="Arial" w:eastAsia="Arial" w:hAnsi="Arial"/>
                <w:sz w:val="18"/>
                <w:szCs w:val="18"/>
                <w:color w:val="auto"/>
              </w:rPr>
              <w:t>State income taxes</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403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1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0"/>
              </w:rPr>
              <w:t>(148)</w:t>
            </w:r>
          </w:p>
        </w:tc>
        <w:tc>
          <w:tcPr>
            <w:tcW w:w="5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4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FF0FC"/>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provision for income taxes</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7"/>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674</w:t>
            </w:r>
          </w:p>
        </w:tc>
        <w:tc>
          <w:tcPr>
            <w:tcW w:w="10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2,030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color w:val="auto"/>
        </w:rPr>
        <w:t>We qualify for the foreign derived intangible income (FDII) deduction. We recognized a current cash tax benefit of $32,000 in the first six months of 2020 and $148,000 in the first six months of 2019 ($98,000 of our 2019 current cash tax benefit is related to 2018).</w:t>
      </w:r>
    </w:p>
    <w:p>
      <w:pPr>
        <w:spacing w:after="0" w:line="68"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6"/>
          <w:szCs w:val="16"/>
          <w:color w:val="auto"/>
        </w:rPr>
        <w:t>On March 27, 2020, the “Coronavirus Aid, Relief and Economic Security (CARES) Act” was signed into law in response to the COVID-19 pandemic. The CARES Act, among other things, includes provisions relating to refundable payroll tax credits, deferment of employer side social security payments, modifications to the limitation of business interest for 2019 and 2020 and technical corrections to tax depreciation methods for qualified improvement property. We have evaluated the relevant provisions of the CARES Act and determined the impact is not material to our tax provision.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left="54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3"/>
              </w:rPr>
              <w:t>2019</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83"/>
              </w:rPr>
              <w:t>2020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5"/>
        </w:trPr>
        <w:tc>
          <w:tcPr>
            <w:tcW w:w="3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40"/>
              <w:spacing w:after="0" w:line="145"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2"/>
                <w:szCs w:val="12"/>
                <w:color w:val="auto"/>
              </w:rPr>
            </w:pPr>
          </w:p>
        </w:tc>
        <w:tc>
          <w:tcPr>
            <w:tcW w:w="880" w:type="dxa"/>
            <w:vAlign w:val="bottom"/>
          </w:tcPr>
          <w:p>
            <w:pPr>
              <w:jc w:val="right"/>
              <w:ind w:right="420"/>
              <w:spacing w:after="0" w:line="145"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260"/>
              <w:spacing w:after="0" w:line="145" w:lineRule="exact"/>
              <w:rPr>
                <w:sz w:val="20"/>
                <w:szCs w:val="20"/>
                <w:color w:val="auto"/>
              </w:rPr>
            </w:pPr>
            <w:r>
              <w:rPr>
                <w:rFonts w:ascii="Arial" w:cs="Arial" w:eastAsia="Arial" w:hAnsi="Arial"/>
                <w:sz w:val="14"/>
                <w:szCs w:val="14"/>
                <w:b w:val="1"/>
                <w:bCs w:val="1"/>
                <w:color w:val="auto"/>
                <w:w w:val="93"/>
              </w:rPr>
              <w:t>Carrying</w:t>
            </w:r>
          </w:p>
        </w:tc>
        <w:tc>
          <w:tcPr>
            <w:tcW w:w="560" w:type="dxa"/>
            <w:vAlign w:val="bottom"/>
          </w:tcPr>
          <w:p>
            <w:pPr>
              <w:spacing w:after="0"/>
              <w:rPr>
                <w:sz w:val="12"/>
                <w:szCs w:val="12"/>
                <w:color w:val="auto"/>
              </w:rPr>
            </w:pPr>
          </w:p>
        </w:tc>
        <w:tc>
          <w:tcPr>
            <w:tcW w:w="960" w:type="dxa"/>
            <w:vAlign w:val="bottom"/>
          </w:tcPr>
          <w:p>
            <w:pPr>
              <w:jc w:val="center"/>
              <w:ind w:right="218"/>
              <w:spacing w:after="0" w:line="14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880" w:type="dxa"/>
            <w:vAlign w:val="bottom"/>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5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r>
      <w:tr>
        <w:trPr>
          <w:trHeight w:val="154"/>
        </w:trPr>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6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62,450</w:t>
            </w:r>
          </w:p>
        </w:tc>
        <w:tc>
          <w:tcPr>
            <w:tcW w:w="560" w:type="dxa"/>
            <w:vAlign w:val="bottom"/>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62,450</w:t>
            </w:r>
          </w:p>
        </w:tc>
        <w:tc>
          <w:tcPr>
            <w:tcW w:w="120" w:type="dxa"/>
            <w:vAlign w:val="bottom"/>
            <w:shd w:val="clear" w:color="auto" w:fill="CFF0FC"/>
          </w:tcPr>
          <w:p>
            <w:pPr>
              <w:spacing w:after="0"/>
              <w:rPr>
                <w:sz w:val="20"/>
                <w:szCs w:val="20"/>
                <w:color w:val="auto"/>
              </w:rPr>
            </w:pPr>
          </w:p>
        </w:tc>
      </w:tr>
      <w:tr>
        <w:trPr>
          <w:trHeight w:val="240"/>
        </w:trPr>
        <w:tc>
          <w:tcPr>
            <w:tcW w:w="3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11,870</w:t>
            </w: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11,340</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11,340</w:t>
            </w:r>
          </w:p>
        </w:tc>
        <w:tc>
          <w:tcPr>
            <w:tcW w:w="120" w:type="dxa"/>
            <w:vAlign w:val="bottom"/>
          </w:tcPr>
          <w:p>
            <w:pPr>
              <w:spacing w:after="0"/>
              <w:rPr>
                <w:sz w:val="20"/>
                <w:szCs w:val="20"/>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6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2,790</w:t>
            </w: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2,790</w:t>
            </w:r>
          </w:p>
        </w:tc>
        <w:tc>
          <w:tcPr>
            <w:tcW w:w="120" w:type="dxa"/>
            <w:vAlign w:val="bottom"/>
            <w:shd w:val="clear" w:color="auto" w:fill="CFF0FC"/>
          </w:tcPr>
          <w:p>
            <w:pPr>
              <w:spacing w:after="0"/>
              <w:rPr>
                <w:sz w:val="20"/>
                <w:szCs w:val="20"/>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18"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2021. Loans made to Valhi at any time under the agreement are at our discretion. At June 30, 2020, the outstanding principal balance receivable from Valhi under the promissory note was $30.5 million. Interest income (including unused commitment fees) on our loan to Valhi was $1.2 million and $0.8 million for the six months ended June 30, 2019 and 2020,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5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 xml:space="preserve">In December 2019, the Financial Accounting Standards Board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changes the accounting for certain income tax transactions and reduces complexity in accounting for income taxes in certain areas. The ASU introduces new guidance including providing a policy election for an entity to not allocate consolidated current and deferred tax expense when a member of a consolidated tax return is not subject to income tax in its separate financial statements and is a disregarded entity by the taxing authority; and providing guidance to evaluate whether a step-up in tax basis of goodwill relates to a business combination in which book goodwill was recognized or a separate transaction. The ASU also changes existing guidance in a number of areas, including: the method of making an intraperiod allocation of total income tax expense if there is a loss in continuing operations and gains outside of continuing operations; accounting for tax law changes and year-to-date losses in interim periods; and determining how to apply the income tax guidance to franchise taxes that are partially based on income. We adopted this ASU in the first quarter of 2020 and the adoption of this standard did not have a material effect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9"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3" w:lineRule="exact"/>
        <w:rPr>
          <w:rFonts w:ascii="Arial" w:cs="Arial" w:eastAsia="Arial" w:hAnsi="Arial"/>
          <w:sz w:val="18"/>
          <w:szCs w:val="18"/>
          <w:color w:val="auto"/>
        </w:rPr>
      </w:pPr>
    </w:p>
    <w:p>
      <w:pPr>
        <w:ind w:left="1020" w:hanging="50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3" w:lineRule="exact"/>
        <w:rPr>
          <w:rFonts w:ascii="Arial" w:cs="Arial" w:eastAsia="Arial" w:hAnsi="Arial"/>
          <w:sz w:val="18"/>
          <w:szCs w:val="18"/>
          <w:color w:val="auto"/>
        </w:rPr>
      </w:pPr>
    </w:p>
    <w:p>
      <w:pPr>
        <w:jc w:val="both"/>
        <w:ind w:left="1020" w:hanging="505"/>
        <w:spacing w:after="0" w:line="307"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42" w:lineRule="exact"/>
        <w:rPr>
          <w:rFonts w:ascii="Arial" w:cs="Arial" w:eastAsia="Arial" w:hAnsi="Arial"/>
          <w:sz w:val="16"/>
          <w:szCs w:val="16"/>
          <w:color w:val="auto"/>
        </w:rPr>
      </w:pPr>
    </w:p>
    <w:p>
      <w:pPr>
        <w:ind w:left="1020" w:hanging="50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4" w:lineRule="exact"/>
        <w:rPr>
          <w:rFonts w:ascii="Arial" w:cs="Arial" w:eastAsia="Arial" w:hAnsi="Arial"/>
          <w:sz w:val="17"/>
          <w:szCs w:val="17"/>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5"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experienced normal sales volumes and operations during the first quarter of 2020. Beginning in late March 2020 as a result of the COVID-19 pandemic, we began receiving requests from certain customers of both our Security Products and Marine Components segments to postpone shipments, in some cases because our customers’ production facilities were temporarily closed. We operate three facilities, each of which specializes in certain manufacturing processes and is therefore dependent upon the other facilities to some extent to manufacture finished goods. With the onset of COVID-19, within each facility we enhanced cleaning and sanitization procedures, mandated social distancing and implemented other health and safety protocols. In late April, we closed our Chicago area location for one week due to COVID-19 activity in the area. The temporary closure of our Illinois facility had a minimal negative impact on our ability to manufacture and ship during the second quarter due to the decline in demand during the same period.</w:t>
      </w:r>
    </w:p>
    <w:p>
      <w:pPr>
        <w:spacing w:after="0" w:line="1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Second quarter 2020 net sales and operating income were significantly impacted by reduced demand for our products as a result of orders postponed at the request of our original equipment manufacturing customers and distributors. We reported operating income of $2.4 million in the second quarter of 2020 compared to $5.6 million in the same period of 2019. Operating income for the first six months of 2020 was $7.4 million compared to $9.9 million for the comparable period in 2019.</w:t>
      </w:r>
    </w:p>
    <w:p>
      <w:pPr>
        <w:spacing w:after="0" w:line="190" w:lineRule="exact"/>
        <w:rPr>
          <w:sz w:val="20"/>
          <w:szCs w:val="20"/>
          <w:color w:val="auto"/>
        </w:rPr>
      </w:pPr>
    </w:p>
    <w:p>
      <w:pPr>
        <w:jc w:val="both"/>
        <w:ind w:firstLine="510"/>
        <w:spacing w:after="0" w:line="335"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4"/>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680"/>
              <w:spacing w:after="0" w:line="154"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1"/>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33,730</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23,800</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6</w:t>
            </w:r>
          </w:p>
        </w:tc>
        <w:tc>
          <w:tcPr>
            <w:tcW w:w="3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16,434</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200" w:type="dxa"/>
            <w:vAlign w:val="bottom"/>
            <w:tcBorders>
              <w:bottom w:val="single" w:sz="8" w:color="CFF0FC"/>
            </w:tcBorders>
          </w:tcPr>
          <w:p>
            <w:pPr>
              <w:spacing w:after="0"/>
              <w:rPr>
                <w:sz w:val="20"/>
                <w:szCs w:val="20"/>
                <w:color w:val="auto"/>
              </w:rPr>
            </w:pPr>
          </w:p>
        </w:tc>
      </w:tr>
      <w:tr>
        <w:trPr>
          <w:trHeight w:val="23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10,939</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7,366</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30.9</w:t>
            </w:r>
          </w:p>
        </w:tc>
        <w:tc>
          <w:tcPr>
            <w:tcW w:w="200" w:type="dxa"/>
            <w:vAlign w:val="bottom"/>
            <w:shd w:val="clear" w:color="auto" w:fill="CFF0FC"/>
          </w:tcPr>
          <w:p>
            <w:pPr>
              <w:spacing w:after="0"/>
              <w:rPr>
                <w:sz w:val="20"/>
                <w:szCs w:val="20"/>
                <w:color w:val="auto"/>
              </w:rPr>
            </w:pP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4,997</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200" w:type="dxa"/>
            <w:vAlign w:val="bottom"/>
            <w:tcBorders>
              <w:bottom w:val="single" w:sz="8" w:color="CFF0FC"/>
            </w:tcBorders>
          </w:tcPr>
          <w:p>
            <w:pPr>
              <w:spacing w:after="0"/>
              <w:rPr>
                <w:sz w:val="20"/>
                <w:szCs w:val="20"/>
                <w:color w:val="auto"/>
              </w:rPr>
            </w:pPr>
          </w:p>
        </w:tc>
      </w:tr>
      <w:tr>
        <w:trPr>
          <w:trHeight w:val="23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2,369</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3"/>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89"/>
              </w:rPr>
              <w:t>Six months ended</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0"/>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78"/>
        </w:trPr>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64,907</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56,111</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44,344</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3</w:t>
            </w:r>
          </w:p>
        </w:tc>
        <w:tc>
          <w:tcPr>
            <w:tcW w:w="3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38,314</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200" w:type="dxa"/>
            <w:vAlign w:val="bottom"/>
            <w:tcBorders>
              <w:bottom w:val="single" w:sz="8" w:color="CFF0FC"/>
            </w:tcBorders>
          </w:tcPr>
          <w:p>
            <w:pPr>
              <w:spacing w:after="0"/>
              <w:rPr>
                <w:sz w:val="20"/>
                <w:szCs w:val="20"/>
                <w:color w:val="auto"/>
              </w:rPr>
            </w:pPr>
          </w:p>
        </w:tc>
      </w:tr>
      <w:tr>
        <w:trPr>
          <w:trHeight w:val="23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20,563</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17,797</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w:t>
            </w:r>
          </w:p>
        </w:tc>
        <w:tc>
          <w:tcPr>
            <w:tcW w:w="200" w:type="dxa"/>
            <w:vAlign w:val="bottom"/>
            <w:shd w:val="clear" w:color="auto" w:fill="CFF0FC"/>
          </w:tcPr>
          <w:p>
            <w:pPr>
              <w:spacing w:after="0"/>
              <w:rPr>
                <w:sz w:val="20"/>
                <w:szCs w:val="20"/>
                <w:color w:val="auto"/>
              </w:rPr>
            </w:pP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10,408</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tcBorders>
              <w:bottom w:val="single" w:sz="8" w:color="CFF0FC"/>
            </w:tcBorders>
          </w:tcPr>
          <w:p>
            <w:pPr>
              <w:spacing w:after="0"/>
              <w:rPr>
                <w:sz w:val="20"/>
                <w:szCs w:val="20"/>
                <w:color w:val="auto"/>
              </w:rPr>
            </w:pPr>
          </w:p>
        </w:tc>
      </w:tr>
      <w:tr>
        <w:trPr>
          <w:trHeight w:val="23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7,389</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13.2%</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$9.9 million and $8.8 million in the second quarter and for the first six months of 2020, respectively,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periods in 2019. The significant decrease in sales is due to lower sales volumes at both of our segments in the second quarter of 2020 as many of our customers were temporarily closed or reduced production during the quarter due to government ordered closures or reduced demand resulting from the COVID-19 pandemic. Relative changes in selling prices did not have a material impact on net sales comparisons.</w:t>
      </w:r>
    </w:p>
    <w:p>
      <w:pPr>
        <w:spacing w:after="0" w:line="17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i w:val="1"/>
          <w:iCs w:val="1"/>
          <w:color w:val="auto"/>
        </w:rPr>
        <w:t xml:space="preserve">Cost of sales and gross margin. </w:t>
      </w:r>
      <w:r>
        <w:rPr>
          <w:rFonts w:ascii="Arial" w:cs="Arial" w:eastAsia="Arial" w:hAnsi="Arial"/>
          <w:sz w:val="17"/>
          <w:szCs w:val="17"/>
          <w:color w:val="auto"/>
        </w:rPr>
        <w:t>Cost of sales as a percentage of sales for the second quarter of 2020 was 1.5% higher than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As a result, gross margin as a percentage of sales decreased over the same period. The decrease in gross margin percentage is the result of the decline in both Security Products and Marine Components gross margin percentage for the second quarter. See segment discussion below. Cost of sales and gross margin as a percentage of sales for the first six months of 2020 is comparable to the same period in 2019.</w:t>
      </w:r>
    </w:p>
    <w:p>
      <w:pPr>
        <w:spacing w:after="0" w:line="17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directly related to product sales and administrative costs relating to business unit and corporate management activities, as well as gains and losses on plant, property and equipment. Operating costs and expenses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the second quarter and first six months of 2020 were lower than the same periods last year, particularly travel and advertising costs which declined by $0.2 million for the second quarter compared to the same prior year period. Operating costs and expenses as a percentage of net sales increased in both periods due to the lower sales.</w:t>
      </w:r>
    </w:p>
    <w:p>
      <w:pPr>
        <w:spacing w:after="0" w:line="186" w:lineRule="exact"/>
        <w:rPr>
          <w:sz w:val="20"/>
          <w:szCs w:val="20"/>
          <w:color w:val="auto"/>
        </w:rPr>
      </w:pPr>
    </w:p>
    <w:p>
      <w:pPr>
        <w:jc w:val="both"/>
        <w:ind w:firstLine="510"/>
        <w:spacing w:after="0" w:line="417" w:lineRule="auto"/>
        <w:rPr>
          <w:sz w:val="20"/>
          <w:szCs w:val="20"/>
          <w:color w:val="auto"/>
        </w:rPr>
      </w:pPr>
      <w:r>
        <w:rPr>
          <w:rFonts w:ascii="Arial" w:cs="Arial" w:eastAsia="Arial" w:hAnsi="Arial"/>
          <w:sz w:val="14"/>
          <w:szCs w:val="14"/>
          <w:i w:val="1"/>
          <w:iCs w:val="1"/>
          <w:color w:val="auto"/>
        </w:rPr>
        <w:t xml:space="preserve">Operating income. </w:t>
      </w:r>
      <w:r>
        <w:rPr>
          <w:rFonts w:ascii="Arial" w:cs="Arial" w:eastAsia="Arial" w:hAnsi="Arial"/>
          <w:sz w:val="14"/>
          <w:szCs w:val="14"/>
          <w:color w:val="auto"/>
        </w:rPr>
        <w:t>As a percentage of net sales, operating income for the second quarter and first six months of 2020 decreased compared to the same</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of 2019 and was primarily impacted by the factors impacting cost of goods sold, gross margin and operating costs. See segment discussion below.</w:t>
      </w:r>
    </w:p>
    <w:p>
      <w:pPr>
        <w:spacing w:after="0" w:line="8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Our operations are wholly within the U.S. and therefore our effective income tax rate is primarily reflective of the U.S. federal statutory rate and applicable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9"/>
              </w:rPr>
              <w:t>Six months ended</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left="537"/>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0"/>
              </w:rPr>
              <w:t>(Dollars in thousands)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2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26,927</w:t>
            </w:r>
          </w:p>
        </w:tc>
        <w:tc>
          <w:tcPr>
            <w:tcW w:w="24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18,573</w:t>
            </w:r>
          </w:p>
        </w:tc>
        <w:tc>
          <w:tcPr>
            <w:tcW w:w="34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b w:val="1"/>
                <w:bCs w:val="1"/>
                <w:color w:val="auto"/>
              </w:rPr>
              <w:t>-31%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51,631</w:t>
            </w:r>
          </w:p>
        </w:tc>
        <w:tc>
          <w:tcPr>
            <w:tcW w:w="22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44,042</w:t>
            </w:r>
          </w:p>
        </w:tc>
        <w:tc>
          <w:tcPr>
            <w:tcW w:w="3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41"/>
        </w:trPr>
        <w:tc>
          <w:tcPr>
            <w:tcW w:w="3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12,679</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w w:val="84"/>
              </w:rPr>
              <w:t>-30</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29,590</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5,894</w:t>
            </w:r>
          </w:p>
        </w:tc>
        <w:tc>
          <w:tcPr>
            <w:tcW w:w="34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b w:val="1"/>
                <w:bCs w:val="1"/>
                <w:color w:val="auto"/>
                <w:w w:val="84"/>
              </w:rPr>
              <w:t>-34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16,898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14,452</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2,533</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w w:val="84"/>
              </w:rPr>
              <w:t>-12</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5,378</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42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6,048</w:t>
            </w:r>
          </w:p>
        </w:tc>
        <w:tc>
          <w:tcPr>
            <w:tcW w:w="24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3,361</w:t>
            </w:r>
          </w:p>
        </w:tc>
        <w:tc>
          <w:tcPr>
            <w:tcW w:w="340" w:type="dxa"/>
            <w:vAlign w:val="bottom"/>
          </w:tcPr>
          <w:p>
            <w:pPr>
              <w:spacing w:after="0"/>
              <w:rPr>
                <w:sz w:val="23"/>
                <w:szCs w:val="23"/>
                <w:color w:val="auto"/>
              </w:rPr>
            </w:pPr>
          </w:p>
        </w:tc>
        <w:tc>
          <w:tcPr>
            <w:tcW w:w="760" w:type="dxa"/>
            <w:vAlign w:val="bottom"/>
          </w:tcPr>
          <w:p>
            <w:pPr>
              <w:ind w:left="520"/>
              <w:spacing w:after="0"/>
              <w:rPr>
                <w:sz w:val="20"/>
                <w:szCs w:val="20"/>
                <w:color w:val="auto"/>
              </w:rPr>
            </w:pPr>
            <w:r>
              <w:rPr>
                <w:rFonts w:ascii="Arial" w:cs="Arial" w:eastAsia="Arial" w:hAnsi="Arial"/>
                <w:sz w:val="18"/>
                <w:szCs w:val="18"/>
                <w:b w:val="1"/>
                <w:bCs w:val="1"/>
                <w:color w:val="auto"/>
                <w:w w:val="84"/>
              </w:rPr>
              <w:t>-44</w:t>
            </w:r>
          </w:p>
        </w:tc>
        <w:tc>
          <w:tcPr>
            <w:tcW w:w="26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11,124</w:t>
            </w:r>
          </w:p>
        </w:tc>
        <w:tc>
          <w:tcPr>
            <w:tcW w:w="220" w:type="dxa"/>
            <w:vAlign w:val="bottom"/>
          </w:tcPr>
          <w:p>
            <w:pPr>
              <w:spacing w:after="0"/>
              <w:rPr>
                <w:sz w:val="23"/>
                <w:szCs w:val="2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9,074</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31.7%</w:t>
            </w: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32.8%</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510"/>
        <w:spacing w:after="0" w:line="329" w:lineRule="auto"/>
        <w:rPr>
          <w:sz w:val="20"/>
          <w:szCs w:val="20"/>
          <w:color w:val="auto"/>
        </w:rPr>
      </w:pPr>
      <w:r>
        <w:rPr>
          <w:rFonts w:ascii="Arial" w:cs="Arial" w:eastAsia="Arial" w:hAnsi="Arial"/>
          <w:sz w:val="14"/>
          <w:szCs w:val="14"/>
          <w:i w:val="1"/>
          <w:iCs w:val="1"/>
          <w:color w:val="auto"/>
        </w:rPr>
        <w:t>Security Products</w:t>
      </w:r>
      <w:r>
        <w:rPr>
          <w:rFonts w:ascii="Arial" w:cs="Arial" w:eastAsia="Arial" w:hAnsi="Arial"/>
          <w:sz w:val="14"/>
          <w:szCs w:val="14"/>
          <w:color w:val="auto"/>
        </w:rPr>
        <w:t>. Security Products net sales in the second quarter of 2020 decreased 31% compared to the same period in 2019 due to reduced</w:t>
      </w:r>
      <w:r>
        <w:rPr>
          <w:rFonts w:ascii="Arial" w:cs="Arial" w:eastAsia="Arial" w:hAnsi="Arial"/>
          <w:sz w:val="14"/>
          <w:szCs w:val="14"/>
          <w:i w:val="1"/>
          <w:iCs w:val="1"/>
          <w:color w:val="auto"/>
        </w:rPr>
        <w:t xml:space="preserve"> </w:t>
      </w:r>
      <w:r>
        <w:rPr>
          <w:rFonts w:ascii="Arial" w:cs="Arial" w:eastAsia="Arial" w:hAnsi="Arial"/>
          <w:sz w:val="14"/>
          <w:szCs w:val="14"/>
          <w:color w:val="auto"/>
        </w:rPr>
        <w:t>demand attributed to COVID-19 as discussed above. Relative to prior year, we experienced $2.5 million lower sales to the government security market, $2.4 million in lower sales to the transportation market, and $1.4 million in lower sales to distribution customers during the quarter. Security Products net sales decreased 15% in the first six months of 2020 compared to the same period last year due to the lower second quarter 2020 sales. Gross margin as a percentage of net sales for the second quarter declined as compared to the same period last year due to less favorable customer and product mix and reduced fixed cost coverage from lower production and sales volumes. Gross margin as a percentage of net sales for the first six months of 2020 is comparable to the same period last year. Operating costs and expenses decreased in the second quarter and the first six months of 2020 compared to the same periods last year predominantly due to decreased second quarter expenses related to travel, certain employee benefits expenses, and cancelled or postponed advertising expenses which were $0.3 million lower in aggregate for the second quarter of 2020 compared to the same period in 2019. Operating income as a percentage of net sales for the second quarter and first six months of 2020 decreased compared to the same periods of 2019 as a result of the factors impacting gross margin for the second quarter as well as reduced coverage of operating costs and expenses from lower sales for both comparative periods.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34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Marine Components:</w:t>
            </w: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06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6,803</w:t>
            </w:r>
          </w:p>
        </w:tc>
        <w:tc>
          <w:tcPr>
            <w:tcW w:w="320" w:type="dxa"/>
            <w:vAlign w:val="bottom"/>
          </w:tcPr>
          <w:p>
            <w:pPr>
              <w:spacing w:after="0"/>
              <w:rPr>
                <w:sz w:val="20"/>
                <w:szCs w:val="20"/>
                <w:color w:val="auto"/>
              </w:rPr>
            </w:pPr>
          </w:p>
        </w:tc>
        <w:tc>
          <w:tcPr>
            <w:tcW w:w="700" w:type="dxa"/>
            <w:vAlign w:val="bottom"/>
          </w:tcPr>
          <w:p>
            <w:pPr>
              <w:jc w:val="right"/>
              <w:ind w:right="54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5,227</w:t>
            </w:r>
          </w:p>
        </w:tc>
        <w:tc>
          <w:tcPr>
            <w:tcW w:w="3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13,276</w:t>
            </w:r>
          </w:p>
        </w:tc>
        <w:tc>
          <w:tcPr>
            <w:tcW w:w="24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12,069</w:t>
            </w:r>
          </w:p>
        </w:tc>
        <w:tc>
          <w:tcPr>
            <w:tcW w:w="3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1"/>
        </w:trPr>
        <w:tc>
          <w:tcPr>
            <w:tcW w:w="2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4,791</w:t>
            </w:r>
          </w:p>
        </w:tc>
        <w:tc>
          <w:tcPr>
            <w:tcW w:w="3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3,755</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9,611</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8,724</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2,012</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1,472</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3,345</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8"/>
              </w:rPr>
              <w:t>Operating costs and expenses</w:t>
            </w:r>
          </w:p>
        </w:tc>
        <w:tc>
          <w:tcPr>
            <w:tcW w:w="3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1,464</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92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1,280</w:t>
            </w:r>
          </w:p>
        </w:tc>
        <w:tc>
          <w:tcPr>
            <w:tcW w:w="320" w:type="dxa"/>
            <w:vAlign w:val="bottom"/>
          </w:tcPr>
          <w:p>
            <w:pPr>
              <w:spacing w:after="0"/>
              <w:rPr>
                <w:sz w:val="23"/>
                <w:szCs w:val="23"/>
                <w:color w:val="auto"/>
              </w:rPr>
            </w:pPr>
          </w:p>
        </w:tc>
        <w:tc>
          <w:tcPr>
            <w:tcW w:w="700" w:type="dxa"/>
            <w:vAlign w:val="bottom"/>
          </w:tcPr>
          <w:p>
            <w:pPr>
              <w:jc w:val="right"/>
              <w:ind w:right="54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4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2,181</w:t>
            </w:r>
          </w:p>
        </w:tc>
        <w:tc>
          <w:tcPr>
            <w:tcW w:w="240" w:type="dxa"/>
            <w:vAlign w:val="bottom"/>
          </w:tcPr>
          <w:p>
            <w:pPr>
              <w:spacing w:after="0"/>
              <w:rPr>
                <w:sz w:val="23"/>
                <w:szCs w:val="23"/>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29.6%</w:t>
            </w:r>
          </w:p>
        </w:tc>
        <w:tc>
          <w:tcPr>
            <w:tcW w:w="7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28.2%</w:t>
            </w: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27.7%</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Marine Components net sales in the second quarter of 2020 decreased 23% compared to the same period in 2019 due to</w:t>
      </w:r>
      <w:r>
        <w:rPr>
          <w:rFonts w:ascii="Arial" w:cs="Arial" w:eastAsia="Arial" w:hAnsi="Arial"/>
          <w:sz w:val="17"/>
          <w:szCs w:val="17"/>
          <w:i w:val="1"/>
          <w:iCs w:val="1"/>
          <w:color w:val="auto"/>
        </w:rPr>
        <w:t xml:space="preserve"> </w:t>
      </w:r>
      <w:r>
        <w:rPr>
          <w:rFonts w:ascii="Arial" w:cs="Arial" w:eastAsia="Arial" w:hAnsi="Arial"/>
          <w:sz w:val="17"/>
          <w:szCs w:val="17"/>
          <w:color w:val="auto"/>
        </w:rPr>
        <w:t>COVID-19 related reduced demand as discussed above. During the quarter, we experienced $0.8 million lower sales to the towboat market, $0.4 million in lower sales to the engine manufacturing market, and $0.3 million in lower sales to the industrial market as compared to 2019. Marine Components net sales decreased 9% in the first six months of 2020 compared to the same period last year due to the lower second quarter 2020 sales. As a percentage of net sales, gross margin and operating income decreased in the second quarter of 2020 compared to the same period in 2019 due to reduced overhead coverage from lower production and sales volumes. Gross margin percentage for the first six months of 2020 is comparable to the same period last year. Operating income as a percentage of net sales decreased in the first six months of 2020 compared to the same periods in the prior year due to reduced coverage of operating cost and expenses on lower sales.</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In the second quarter of 2020, the COVID-19 pandemic created multiple challenges, both in our operations and from the reduced demand</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products. Both global and domestic supply chains remain intact and we have experienced minimal supply chain disruptions. We continue to work closely with all of our customers and monitor their progress as they continue to adjust their operations. While some of our customers expect to recover quickly, others expect to take longer to recover, including transportation, office furniture and cabinetry manufacturers.</w:t>
      </w:r>
    </w:p>
    <w:p>
      <w:pPr>
        <w:spacing w:after="0" w:line="17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Considerable effort continues at all of our locations to manage current COVID-19 conditions including, enhanced health and safety protocols and additional cleaning and disinfecting efforts. After the temporary closure in late April 2020 at our manufacturing facility outside of Chicago, Illinois, we have been able to operate the facility at normal operating rates. Throughout the course of the COVID-19 pandemic, we have focused our efforts on maintaining efficient operations, while closely managing our expenses and capital projects. In this regard we are constantly evaluating our staffing levels and have recently reduced production staffing levels to adjust to anticipated levels of demand for the second half of 2020.</w:t>
      </w:r>
    </w:p>
    <w:p>
      <w:pPr>
        <w:spacing w:after="0" w:line="16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The advance of the COVID-19 pandemic and the global efforts to mitigate its spread have resulted in sharp contractions of vast areas of the global economy and are expected to continue to challenge workers, businesses and governments for the foreseeable future. Government actions in various regions have generally permitted the gradual resumption of commercial activities following various regional shutdowns, but further government action restricting economic activity is possible in an effort to mitigate increases in COVID-19 cases in certain regions. The success and timing of these mitigating actions will depend in part on deployment of effective tools to fight COVID-19, including increased testing, enhanced monitoring, data analysis, effective treatments and a safe vaccine, before economic growth is likely to return to pre-pandemic levels. Even as these measures are implemented and become effective, they will not directly address the business and employment losses already experienced. As a result, we expect U.S. and worldwide gross domestic product to be significantly impacted for an indeterminate period.</w:t>
      </w:r>
    </w:p>
    <w:p>
      <w:pPr>
        <w:spacing w:after="0" w:line="180"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Based on current conditions, we expect to report reduced revenue and operating income in 2020 compared to 2019. We believe the second quarter of 2020 will be the period most impacted by COVID-19 but the severity of the impact on the remainder of the year will depend on customer demand for our products, including the timing and extent to which our customers operations continue to be impacted, on our customers’ perception as to when consumer demand for their products will return to pre-pandemic levels and on any future disruptions in our operations or our suppliers’ operations, all of which are difficult to predict. Our operations teams meet daily to ensure we are taking appropriate actions to maintain a safe working environment for all of our employees, minimize operational disruptions and manage inventory levels. We increased inventory at both of our segments during the second quarter of 2020 to keep our workforce productive by focusing on high-demand products and components. We expect inventory balances will decline over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10"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remainder of the year as we align our production to current demand levels. It is possible we may temporarily close one or more of our facilities again for the health and safety of our employees before the COVID-19 crisis is over. We have significant cash balances of approximately $62.5 million at June 30, 2020, and we believe we are well positioned to navigate the uncertainty ahead.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50"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Net cash provided by operating activities for the first six months of 2020 decreased by $1.0 million as compared to the first six months of 2019. Changes in working capital were not material. The decrease is primarily due to the net effects of:</w:t>
      </w:r>
    </w:p>
    <w:p>
      <w:pPr>
        <w:spacing w:after="0" w:line="68" w:lineRule="exact"/>
        <w:rPr>
          <w:sz w:val="20"/>
          <w:szCs w:val="20"/>
          <w:color w:val="auto"/>
        </w:rPr>
      </w:pPr>
    </w:p>
    <w:p>
      <w:pPr>
        <w:ind w:left="1020" w:hanging="37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$2.5 million decrease in operating income in 2020,</w:t>
      </w:r>
    </w:p>
    <w:p>
      <w:pPr>
        <w:spacing w:after="0" w:line="113" w:lineRule="exact"/>
        <w:rPr>
          <w:rFonts w:ascii="Arial" w:cs="Arial" w:eastAsia="Arial" w:hAnsi="Arial"/>
          <w:sz w:val="18"/>
          <w:szCs w:val="18"/>
          <w:color w:val="auto"/>
        </w:rPr>
      </w:pPr>
    </w:p>
    <w:p>
      <w:pPr>
        <w:ind w:left="1020" w:hanging="37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$0.7 million decrease in interest received in 2020 due to the relative timing of interest received, and</w:t>
      </w:r>
    </w:p>
    <w:p>
      <w:pPr>
        <w:spacing w:after="0" w:line="113" w:lineRule="exact"/>
        <w:rPr>
          <w:rFonts w:ascii="Arial" w:cs="Arial" w:eastAsia="Arial" w:hAnsi="Arial"/>
          <w:sz w:val="18"/>
          <w:szCs w:val="18"/>
          <w:color w:val="auto"/>
        </w:rPr>
      </w:pPr>
    </w:p>
    <w:p>
      <w:pPr>
        <w:ind w:left="1020" w:hanging="37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$2.1 million decrease in cash paid for taxes in 2020 due to the relative timing of payments and lower operating income.</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2019 to June 30, 2020 varied by segment, primarily as a result of relative changes in the timing of collections. For comparative purposes, we have provided December 31, 2018 and June 30, 2019 numbers.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Days Sales Outstanding: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2020</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42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38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44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27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40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36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r>
    </w:tbl>
    <w:p>
      <w:pPr>
        <w:spacing w:after="0" w:line="20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total average number of days in inventory increased from December 31, 2019 to June 30, 2020 as a result of an intentional inventory build during the second quarter of 2020 to keep trained and tenured employees productive. The variability in days in inventory among our segments relates to the differences in the average length of time it takes to produce and sell end-products. For comparative purposes, we have provided December 31, 2018 and June 30, 2019 numbers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460"/>
              <w:spacing w:after="0"/>
              <w:rPr>
                <w:sz w:val="20"/>
                <w:szCs w:val="20"/>
                <w:color w:val="auto"/>
              </w:rPr>
            </w:pPr>
            <w:r>
              <w:rPr>
                <w:rFonts w:ascii="Arial" w:cs="Arial" w:eastAsia="Arial" w:hAnsi="Arial"/>
                <w:sz w:val="14"/>
                <w:szCs w:val="14"/>
                <w:b w:val="1"/>
                <w:bCs w:val="1"/>
                <w:color w:val="auto"/>
              </w:rPr>
              <w:t>Days in Inventory:</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2020</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70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120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91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75 Days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125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80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71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81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121 Days</w:t>
            </w:r>
          </w:p>
        </w:tc>
      </w:tr>
    </w:tbl>
    <w:p>
      <w:pPr>
        <w:spacing w:after="0" w:line="22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$0.9 million in the first six months of 2020 compared to $1.8 million in the first six months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as we have limited expenditures to those required to meet our expected customer demand and those required to properly maintain our facilities and technology infrastructure as a result of the COVID-19 pandemic. During the first six months of 2020, Valhi borrowed a net $2.4 million under the promissory note ($23.0 million of gross borrowings and $20.6 million of gross repayments). During the first six months of 2019, Valhi borrowed a net $6.0 million under the promissory note ($28.1 million of gross borrowings and $22.1 million of gross repayments). See Note 8 to the Condensed Consolidated Financial Statements.</w:t>
      </w:r>
    </w:p>
    <w:p>
      <w:pPr>
        <w:spacing w:after="0" w:line="19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only of quarterly cash dividends. In February 2020, our board of directors increased our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 from $.07 per share to $.10 per share beginning in the first quarter of 2020.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jc w:val="both"/>
        <w:ind w:firstLine="510"/>
        <w:spacing w:after="0" w:line="270"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$62.5 million aggregate cash and cash equivalents at June 30, 2020 were held in the U.S.</w:t>
      </w:r>
    </w:p>
    <w:p>
      <w:pPr>
        <w:spacing w:after="0" w:line="221"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Firm purchase commitments for capital projects in process at June 30, 2020 totaled $0.4 million. Our 2020 capital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limited to those expenditures required to meet our expected customer demand and those required to properly maintain our facilities and technology infrastructure. It is possible we will curtail or eliminate planned capital projects based on market conditions.</w:t>
      </w:r>
    </w:p>
    <w:p>
      <w:pPr>
        <w:spacing w:after="0" w:line="16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2019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There have been no changes in the first six months of 2020 with respect to our critical accounting policies presented in Management’s Discussion and Analysis of Financial Condition and Results of Operations in our 2019 Annual Report.</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2019 Annual Report, and we refer you to Part I, Item 7A – “Quantitative and Qualitative Disclosure About Market Risk” in our 2019 Annual Report. See also Note 7 to the Condensed Consolidated Financial Statements.</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Allbach Samford, our Vice President and Chief Financial Officer, has evaluated the design and operating effectiveness of our disclosure controls and procedures as of June 30, 2020. Based upon their evaluation, these executive officers have concluded that our disclosure controls and procedures are effective as of the date of such evaluation.</w:t>
      </w:r>
    </w:p>
    <w:p>
      <w:pPr>
        <w:spacing w:after="0" w:line="7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jc w:val="both"/>
        <w:spacing w:after="0" w:line="281" w:lineRule="auto"/>
        <w:rPr>
          <w:sz w:val="20"/>
          <w:szCs w:val="20"/>
          <w:color w:val="auto"/>
        </w:rPr>
      </w:pPr>
      <w:r>
        <w:rPr>
          <w:rFonts w:ascii="Arial" w:cs="Arial" w:eastAsia="Arial" w:hAnsi="Arial"/>
          <w:sz w:val="17"/>
          <w:szCs w:val="17"/>
          <w:color w:val="auto"/>
        </w:rPr>
        <w:t>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1020" w:hanging="50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020" w:right="20" w:hanging="505"/>
        <w:spacing w:after="0" w:line="33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21" w:lineRule="exact"/>
        <w:rPr>
          <w:rFonts w:ascii="Arial" w:cs="Arial" w:eastAsia="Arial" w:hAnsi="Arial"/>
          <w:sz w:val="16"/>
          <w:szCs w:val="16"/>
          <w:color w:val="auto"/>
        </w:rPr>
      </w:pPr>
    </w:p>
    <w:p>
      <w:pPr>
        <w:ind w:left="1020" w:hanging="50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1" w:lineRule="exact"/>
        <w:rPr>
          <w:sz w:val="20"/>
          <w:szCs w:val="20"/>
          <w:color w:val="auto"/>
        </w:rPr>
      </w:pPr>
    </w:p>
    <w:p>
      <w:pPr>
        <w:ind w:firstLine="510"/>
        <w:spacing w:after="0" w:line="306"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June 30, 2020 that have materially affected, or are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8"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Reference is made to the 2019 Annual Report and our Quarterly Report on Form 10-Q for the quarter ended March 31, 2020 for a discussion of risk factors related to our businesses.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4"/>
                <w:szCs w:val="14"/>
                <w:b w:val="1"/>
                <w:bCs w:val="1"/>
                <w:color w:val="auto"/>
              </w:rPr>
              <w:t>Exhibit Index</w:t>
            </w:r>
          </w:p>
        </w:tc>
      </w:tr>
      <w:tr>
        <w:trPr>
          <w:trHeight w:val="333"/>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Calculation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Definition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Presentation Linkbase</w:t>
            </w:r>
          </w:p>
        </w:tc>
      </w:tr>
    </w:tbl>
    <w:p>
      <w:pPr>
        <w:ind w:left="1260" w:hanging="1253"/>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540" w:hanging="109"/>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36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b w:val="1"/>
                <w:bCs w:val="1"/>
                <w:color w:val="auto"/>
              </w:rPr>
              <w:t>(Registrant)</w:t>
            </w:r>
          </w:p>
        </w:tc>
      </w:tr>
      <w:tr>
        <w:trPr>
          <w:trHeight w:val="455"/>
        </w:trPr>
        <w:tc>
          <w:tcPr>
            <w:tcW w:w="3500" w:type="dxa"/>
            <w:vAlign w:val="bottom"/>
          </w:tcPr>
          <w:p>
            <w:pPr>
              <w:spacing w:after="0"/>
              <w:rPr>
                <w:sz w:val="20"/>
                <w:szCs w:val="20"/>
                <w:color w:val="auto"/>
              </w:rPr>
            </w:pPr>
            <w:r>
              <w:rPr>
                <w:rFonts w:ascii="Arial" w:cs="Arial" w:eastAsia="Arial" w:hAnsi="Arial"/>
                <w:sz w:val="18"/>
                <w:szCs w:val="18"/>
                <w:color w:val="auto"/>
              </w:rPr>
              <w:t>Date: August 4, 2020</w:t>
            </w:r>
          </w:p>
        </w:tc>
        <w:tc>
          <w:tcPr>
            <w:tcW w:w="7740" w:type="dxa"/>
            <w:vAlign w:val="bottom"/>
            <w:gridSpan w:val="4"/>
          </w:tcPr>
          <w:p>
            <w:pPr>
              <w:ind w:left="2720"/>
              <w:spacing w:after="0"/>
              <w:rPr>
                <w:sz w:val="20"/>
                <w:szCs w:val="20"/>
                <w:color w:val="auto"/>
              </w:rPr>
            </w:pPr>
            <w:r>
              <w:rPr>
                <w:rFonts w:ascii="Arial" w:cs="Arial" w:eastAsia="Arial" w:hAnsi="Arial"/>
                <w:sz w:val="18"/>
                <w:szCs w:val="18"/>
                <w:color w:val="auto"/>
              </w:rPr>
              <w:t>By:  /s/ Amy Allbach Samford</w:t>
            </w:r>
          </w:p>
        </w:tc>
      </w:tr>
      <w:tr>
        <w:trPr>
          <w:trHeight w:val="194"/>
        </w:trPr>
        <w:tc>
          <w:tcPr>
            <w:tcW w:w="3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Allbach Samford</w:t>
            </w:r>
          </w:p>
        </w:tc>
      </w:tr>
      <w:tr>
        <w:trPr>
          <w:trHeight w:val="227"/>
        </w:trPr>
        <w:tc>
          <w:tcPr>
            <w:tcW w:w="35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3"/>
        </w:trPr>
        <w:tc>
          <w:tcPr>
            <w:tcW w:w="3500" w:type="dxa"/>
            <w:vAlign w:val="bottom"/>
          </w:tcPr>
          <w:p>
            <w:pPr>
              <w:spacing w:after="0"/>
              <w:rPr>
                <w:sz w:val="24"/>
                <w:szCs w:val="24"/>
                <w:color w:val="auto"/>
              </w:rPr>
            </w:pPr>
          </w:p>
        </w:tc>
        <w:tc>
          <w:tcPr>
            <w:tcW w:w="7740" w:type="dxa"/>
            <w:vAlign w:val="bottom"/>
            <w:gridSpan w:val="4"/>
          </w:tcPr>
          <w:p>
            <w:pPr>
              <w:ind w:left="2720"/>
              <w:spacing w:after="0"/>
              <w:rPr>
                <w:sz w:val="20"/>
                <w:szCs w:val="20"/>
                <w:color w:val="auto"/>
              </w:rPr>
            </w:pPr>
            <w:r>
              <w:rPr>
                <w:rFonts w:ascii="Arial" w:cs="Arial" w:eastAsia="Arial" w:hAnsi="Arial"/>
                <w:sz w:val="18"/>
                <w:szCs w:val="18"/>
                <w:color w:val="auto"/>
              </w:rPr>
              <w:t>By:  /s/ Amy E. Ruf</w:t>
            </w:r>
          </w:p>
        </w:tc>
      </w:tr>
      <w:tr>
        <w:trPr>
          <w:trHeight w:val="194"/>
        </w:trPr>
        <w:tc>
          <w:tcPr>
            <w:tcW w:w="3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E. Ruf</w:t>
            </w:r>
          </w:p>
        </w:tc>
      </w:tr>
      <w:tr>
        <w:trPr>
          <w:trHeight w:val="227"/>
        </w:trPr>
        <w:tc>
          <w:tcPr>
            <w:tcW w:w="35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856"/>
        </w:trPr>
        <w:tc>
          <w:tcPr>
            <w:tcW w:w="3500" w:type="dxa"/>
            <w:vAlign w:val="bottom"/>
          </w:tcPr>
          <w:p>
            <w:pPr>
              <w:spacing w:after="0"/>
              <w:rPr>
                <w:sz w:val="24"/>
                <w:szCs w:val="24"/>
                <w:color w:val="auto"/>
              </w:rPr>
            </w:pPr>
          </w:p>
        </w:tc>
        <w:tc>
          <w:tcPr>
            <w:tcW w:w="2720" w:type="dxa"/>
            <w:vAlign w:val="bottom"/>
          </w:tcPr>
          <w:p>
            <w:pPr>
              <w:jc w:val="right"/>
              <w:ind w:right="311"/>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4"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Scott C. James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-130175</wp:posOffset>
            </wp:positionV>
            <wp:extent cx="2590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Amy Allbach Samford, certify that:</w:t>
      </w:r>
    </w:p>
    <w:p>
      <w:pPr>
        <w:spacing w:after="0" w:line="114"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Amy Allbach Samford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Amy Allbach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26244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June 30, 2020 as filed with the Securities and Exchange Commission on the date hereof (the Report), I, Scott C. James, President and Chief Executive Officer of the Company and I, Amy Allbach Samford, Vice President and Chief Financial Officer of the Company, certify, pursuant to 18 U.S.C. §1350, as adopted pursuant to §906 of the Sarbanes-Oxley Act of 2002, that:</w:t>
      </w:r>
    </w:p>
    <w:p>
      <w:pPr>
        <w:spacing w:after="0" w:line="83" w:lineRule="exact"/>
        <w:rPr>
          <w:sz w:val="20"/>
          <w:szCs w:val="20"/>
          <w:color w:val="auto"/>
        </w:rPr>
      </w:pPr>
    </w:p>
    <w:p>
      <w:pPr>
        <w:ind w:left="1020" w:hanging="50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Amy Allbach Samford</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Amy Allbach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Vice President and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4"/>
    </w:lvl>
    <w:lvl w:ilvl="1">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2020-08-04T15:19:27Z</dcterms:created>
  <dcterms:modified xsi:type="dcterms:W3CDTF">2020-08-04T15:19:27Z</dcterms:modified>
</cp:coreProperties>
</file>