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2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the earliest event reported)</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November 3, 2021</w:t>
      </w:r>
    </w:p>
    <w:p>
      <w:pPr>
        <w:spacing w:after="0" w:line="6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w:t>
      </w:r>
      <w:r>
        <w:rPr>
          <w:rFonts w:ascii="Arial" w:cs="Arial" w:eastAsia="Arial" w:hAnsi="Arial"/>
          <w:sz w:val="22"/>
          <w:szCs w:val="22"/>
          <w:b w:val="1"/>
          <w:bCs w:val="1"/>
          <w:color w:val="auto"/>
        </w:rPr>
        <w:t>OMP</w:t>
      </w:r>
      <w:r>
        <w:rPr>
          <w:rFonts w:ascii="Arial" w:cs="Arial" w:eastAsia="Arial" w:hAnsi="Arial"/>
          <w:sz w:val="32"/>
          <w:szCs w:val="32"/>
          <w:b w:val="1"/>
          <w:bCs w:val="1"/>
          <w:color w:val="auto"/>
        </w:rPr>
        <w:t>X I</w:t>
      </w:r>
      <w:r>
        <w:rPr>
          <w:rFonts w:ascii="Arial" w:cs="Arial" w:eastAsia="Arial" w:hAnsi="Arial"/>
          <w:sz w:val="22"/>
          <w:szCs w:val="22"/>
          <w:b w:val="1"/>
          <w:bCs w:val="1"/>
          <w:color w:val="auto"/>
        </w:rPr>
        <w:t>NTERNATIONAL</w:t>
      </w:r>
      <w:r>
        <w:rPr>
          <w:rFonts w:ascii="Arial" w:cs="Arial" w:eastAsia="Arial" w:hAnsi="Arial"/>
          <w:sz w:val="32"/>
          <w:szCs w:val="32"/>
          <w:b w:val="1"/>
          <w:bCs w:val="1"/>
          <w:color w:val="auto"/>
        </w:rPr>
        <w:t xml:space="preserve"> I</w:t>
      </w:r>
      <w:r>
        <w:rPr>
          <w:rFonts w:ascii="Arial" w:cs="Arial" w:eastAsia="Arial" w:hAnsi="Arial"/>
          <w:sz w:val="22"/>
          <w:szCs w:val="22"/>
          <w:b w:val="1"/>
          <w:bCs w:val="1"/>
          <w:color w:val="auto"/>
        </w:rPr>
        <w:t>NC</w:t>
      </w:r>
      <w:r>
        <w:rPr>
          <w:rFonts w:ascii="Arial" w:cs="Arial" w:eastAsia="Arial" w:hAnsi="Arial"/>
          <w:sz w:val="32"/>
          <w:szCs w:val="32"/>
          <w:b w:val="1"/>
          <w:bCs w:val="1"/>
          <w:color w:val="auto"/>
        </w:rPr>
        <w:t>.</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304" w:lineRule="exact"/>
        <w:rPr>
          <w:sz w:val="24"/>
          <w:szCs w:val="24"/>
          <w:color w:val="auto"/>
        </w:rPr>
      </w:pPr>
    </w:p>
    <w:tbl>
      <w:tblPr>
        <w:tblLayout w:type="fixed"/>
        <w:tblInd w:w="300" w:type="dxa"/>
        <w:tblCellMar>
          <w:top w:w="0" w:type="dxa"/>
          <w:left w:w="0" w:type="dxa"/>
          <w:bottom w:w="0" w:type="dxa"/>
          <w:right w:w="0" w:type="dxa"/>
        </w:tblCellMar>
      </w:tblPr>
      <w:tr>
        <w:trPr>
          <w:trHeight w:val="256"/>
        </w:trPr>
        <w:tc>
          <w:tcPr>
            <w:tcW w:w="4000" w:type="dxa"/>
            <w:vAlign w:val="bottom"/>
          </w:tcPr>
          <w:p>
            <w:pPr>
              <w:jc w:val="center"/>
              <w:ind w:right="741"/>
              <w:spacing w:after="0"/>
              <w:rPr>
                <w:sz w:val="20"/>
                <w:szCs w:val="20"/>
                <w:color w:val="auto"/>
              </w:rPr>
            </w:pPr>
            <w:r>
              <w:rPr>
                <w:rFonts w:ascii="Arial" w:cs="Arial" w:eastAsia="Arial" w:hAnsi="Arial"/>
                <w:sz w:val="22"/>
                <w:szCs w:val="22"/>
                <w:b w:val="1"/>
                <w:bCs w:val="1"/>
                <w:color w:val="auto"/>
                <w:w w:val="91"/>
              </w:rPr>
              <w:t>Delaware</w:t>
            </w:r>
          </w:p>
        </w:tc>
        <w:tc>
          <w:tcPr>
            <w:tcW w:w="3100" w:type="dxa"/>
            <w:vAlign w:val="bottom"/>
          </w:tcPr>
          <w:p>
            <w:pPr>
              <w:jc w:val="center"/>
              <w:ind w:right="364"/>
              <w:spacing w:after="0"/>
              <w:rPr>
                <w:sz w:val="20"/>
                <w:szCs w:val="20"/>
                <w:color w:val="auto"/>
              </w:rPr>
            </w:pPr>
            <w:r>
              <w:rPr>
                <w:rFonts w:ascii="Arial" w:cs="Arial" w:eastAsia="Arial" w:hAnsi="Arial"/>
                <w:sz w:val="22"/>
                <w:szCs w:val="22"/>
                <w:b w:val="1"/>
                <w:bCs w:val="1"/>
                <w:color w:val="auto"/>
                <w:w w:val="89"/>
              </w:rPr>
              <w:t>1-13905</w:t>
            </w:r>
          </w:p>
        </w:tc>
        <w:tc>
          <w:tcPr>
            <w:tcW w:w="2640" w:type="dxa"/>
            <w:vAlign w:val="bottom"/>
          </w:tcPr>
          <w:p>
            <w:pPr>
              <w:jc w:val="center"/>
              <w:ind w:left="1203"/>
              <w:spacing w:after="0"/>
              <w:rPr>
                <w:sz w:val="20"/>
                <w:szCs w:val="20"/>
                <w:color w:val="auto"/>
              </w:rPr>
            </w:pPr>
            <w:r>
              <w:rPr>
                <w:rFonts w:ascii="Arial" w:cs="Arial" w:eastAsia="Arial" w:hAnsi="Arial"/>
                <w:sz w:val="22"/>
                <w:szCs w:val="22"/>
                <w:b w:val="1"/>
                <w:bCs w:val="1"/>
                <w:color w:val="auto"/>
                <w:w w:val="90"/>
              </w:rPr>
              <w:t>57-0981653</w:t>
            </w:r>
          </w:p>
        </w:tc>
      </w:tr>
      <w:tr>
        <w:trPr>
          <w:trHeight w:val="216"/>
        </w:trPr>
        <w:tc>
          <w:tcPr>
            <w:tcW w:w="4000" w:type="dxa"/>
            <w:vAlign w:val="bottom"/>
          </w:tcPr>
          <w:p>
            <w:pPr>
              <w:jc w:val="center"/>
              <w:ind w:right="741"/>
              <w:spacing w:after="0"/>
              <w:rPr>
                <w:sz w:val="20"/>
                <w:szCs w:val="20"/>
                <w:color w:val="auto"/>
              </w:rPr>
            </w:pPr>
            <w:r>
              <w:rPr>
                <w:rFonts w:ascii="Arial" w:cs="Arial" w:eastAsia="Arial" w:hAnsi="Arial"/>
                <w:sz w:val="18"/>
                <w:szCs w:val="18"/>
                <w:color w:val="auto"/>
                <w:w w:val="92"/>
              </w:rPr>
              <w:t>(State or other jurisdiction of incorporation)</w:t>
            </w:r>
          </w:p>
        </w:tc>
        <w:tc>
          <w:tcPr>
            <w:tcW w:w="3100" w:type="dxa"/>
            <w:vAlign w:val="bottom"/>
          </w:tcPr>
          <w:p>
            <w:pPr>
              <w:jc w:val="center"/>
              <w:ind w:right="364"/>
              <w:spacing w:after="0"/>
              <w:rPr>
                <w:sz w:val="20"/>
                <w:szCs w:val="20"/>
                <w:color w:val="auto"/>
              </w:rPr>
            </w:pPr>
            <w:r>
              <w:rPr>
                <w:rFonts w:ascii="Arial" w:cs="Arial" w:eastAsia="Arial" w:hAnsi="Arial"/>
                <w:sz w:val="18"/>
                <w:szCs w:val="18"/>
                <w:color w:val="auto"/>
                <w:w w:val="91"/>
              </w:rPr>
              <w:t>(Commission</w:t>
            </w:r>
          </w:p>
        </w:tc>
        <w:tc>
          <w:tcPr>
            <w:tcW w:w="2640" w:type="dxa"/>
            <w:vAlign w:val="bottom"/>
          </w:tcPr>
          <w:p>
            <w:pPr>
              <w:jc w:val="center"/>
              <w:ind w:left="1203"/>
              <w:spacing w:after="0"/>
              <w:rPr>
                <w:sz w:val="20"/>
                <w:szCs w:val="20"/>
                <w:color w:val="auto"/>
              </w:rPr>
            </w:pPr>
            <w:r>
              <w:rPr>
                <w:rFonts w:ascii="Arial" w:cs="Arial" w:eastAsia="Arial" w:hAnsi="Arial"/>
                <w:sz w:val="18"/>
                <w:szCs w:val="18"/>
                <w:color w:val="auto"/>
                <w:w w:val="93"/>
              </w:rPr>
              <w:t>(IRS Employer</w:t>
            </w:r>
          </w:p>
        </w:tc>
      </w:tr>
      <w:tr>
        <w:trPr>
          <w:trHeight w:val="230"/>
        </w:trPr>
        <w:tc>
          <w:tcPr>
            <w:tcW w:w="4000" w:type="dxa"/>
            <w:vAlign w:val="bottom"/>
          </w:tcPr>
          <w:p>
            <w:pPr>
              <w:spacing w:after="0"/>
              <w:rPr>
                <w:sz w:val="20"/>
                <w:szCs w:val="20"/>
                <w:color w:val="auto"/>
              </w:rPr>
            </w:pPr>
          </w:p>
        </w:tc>
        <w:tc>
          <w:tcPr>
            <w:tcW w:w="3100" w:type="dxa"/>
            <w:vAlign w:val="bottom"/>
          </w:tcPr>
          <w:p>
            <w:pPr>
              <w:jc w:val="center"/>
              <w:ind w:right="344"/>
              <w:spacing w:after="0"/>
              <w:rPr>
                <w:sz w:val="20"/>
                <w:szCs w:val="20"/>
                <w:color w:val="auto"/>
              </w:rPr>
            </w:pPr>
            <w:r>
              <w:rPr>
                <w:rFonts w:ascii="Arial" w:cs="Arial" w:eastAsia="Arial" w:hAnsi="Arial"/>
                <w:sz w:val="18"/>
                <w:szCs w:val="18"/>
                <w:color w:val="auto"/>
                <w:w w:val="94"/>
              </w:rPr>
              <w:t>File Number)</w:t>
            </w:r>
          </w:p>
        </w:tc>
        <w:tc>
          <w:tcPr>
            <w:tcW w:w="2640" w:type="dxa"/>
            <w:vAlign w:val="bottom"/>
          </w:tcPr>
          <w:p>
            <w:pPr>
              <w:jc w:val="center"/>
              <w:ind w:left="1203"/>
              <w:spacing w:after="0"/>
              <w:rPr>
                <w:sz w:val="20"/>
                <w:szCs w:val="20"/>
                <w:color w:val="auto"/>
              </w:rPr>
            </w:pPr>
            <w:r>
              <w:rPr>
                <w:rFonts w:ascii="Arial" w:cs="Arial" w:eastAsia="Arial" w:hAnsi="Arial"/>
                <w:sz w:val="18"/>
                <w:szCs w:val="18"/>
                <w:color w:val="auto"/>
                <w:w w:val="95"/>
              </w:rPr>
              <w:t>Identification No.)</w:t>
            </w:r>
          </w:p>
        </w:tc>
      </w:tr>
      <w:tr>
        <w:trPr>
          <w:trHeight w:val="661"/>
        </w:trPr>
        <w:tc>
          <w:tcPr>
            <w:tcW w:w="7100" w:type="dxa"/>
            <w:vAlign w:val="bottom"/>
            <w:gridSpan w:val="2"/>
          </w:tcPr>
          <w:p>
            <w:pPr>
              <w:jc w:val="center"/>
              <w:ind w:right="84"/>
              <w:spacing w:after="0"/>
              <w:rPr>
                <w:sz w:val="20"/>
                <w:szCs w:val="20"/>
                <w:color w:val="auto"/>
              </w:rPr>
            </w:pPr>
            <w:r>
              <w:rPr>
                <w:rFonts w:ascii="Arial" w:cs="Arial" w:eastAsia="Arial" w:hAnsi="Arial"/>
                <w:sz w:val="22"/>
                <w:szCs w:val="22"/>
                <w:b w:val="1"/>
                <w:bCs w:val="1"/>
                <w:color w:val="auto"/>
                <w:w w:val="88"/>
              </w:rPr>
              <w:t>5430 LBJ Freeway, Suite 1700, Dallas, Texas</w:t>
            </w:r>
          </w:p>
        </w:tc>
        <w:tc>
          <w:tcPr>
            <w:tcW w:w="2640" w:type="dxa"/>
            <w:vAlign w:val="bottom"/>
          </w:tcPr>
          <w:p>
            <w:pPr>
              <w:jc w:val="center"/>
              <w:ind w:left="1223"/>
              <w:spacing w:after="0"/>
              <w:rPr>
                <w:sz w:val="20"/>
                <w:szCs w:val="20"/>
                <w:color w:val="auto"/>
              </w:rPr>
            </w:pPr>
            <w:r>
              <w:rPr>
                <w:rFonts w:ascii="Arial" w:cs="Arial" w:eastAsia="Arial" w:hAnsi="Arial"/>
                <w:sz w:val="22"/>
                <w:szCs w:val="22"/>
                <w:b w:val="1"/>
                <w:bCs w:val="1"/>
                <w:color w:val="auto"/>
                <w:w w:val="88"/>
              </w:rPr>
              <w:t>75240-2620</w:t>
            </w:r>
          </w:p>
        </w:tc>
      </w:tr>
      <w:tr>
        <w:trPr>
          <w:trHeight w:val="230"/>
        </w:trPr>
        <w:tc>
          <w:tcPr>
            <w:tcW w:w="7100" w:type="dxa"/>
            <w:vAlign w:val="bottom"/>
            <w:gridSpan w:val="2"/>
          </w:tcPr>
          <w:p>
            <w:pPr>
              <w:jc w:val="center"/>
              <w:ind w:right="84"/>
              <w:spacing w:after="0"/>
              <w:rPr>
                <w:sz w:val="20"/>
                <w:szCs w:val="20"/>
                <w:color w:val="auto"/>
              </w:rPr>
            </w:pPr>
            <w:r>
              <w:rPr>
                <w:rFonts w:ascii="Arial" w:cs="Arial" w:eastAsia="Arial" w:hAnsi="Arial"/>
                <w:sz w:val="18"/>
                <w:szCs w:val="18"/>
                <w:color w:val="auto"/>
                <w:w w:val="92"/>
              </w:rPr>
              <w:t>(Address of principal executive offices)</w:t>
            </w:r>
          </w:p>
        </w:tc>
        <w:tc>
          <w:tcPr>
            <w:tcW w:w="2640" w:type="dxa"/>
            <w:vAlign w:val="bottom"/>
          </w:tcPr>
          <w:p>
            <w:pPr>
              <w:jc w:val="center"/>
              <w:ind w:left="1223"/>
              <w:spacing w:after="0"/>
              <w:rPr>
                <w:sz w:val="20"/>
                <w:szCs w:val="20"/>
                <w:color w:val="auto"/>
              </w:rPr>
            </w:pPr>
            <w:r>
              <w:rPr>
                <w:rFonts w:ascii="Arial" w:cs="Arial" w:eastAsia="Arial" w:hAnsi="Arial"/>
                <w:sz w:val="18"/>
                <w:szCs w:val="18"/>
                <w:color w:val="auto"/>
                <w:w w:val="94"/>
              </w:rPr>
              <w:t>(Zip Code)</w:t>
            </w:r>
          </w:p>
        </w:tc>
      </w:tr>
    </w:tbl>
    <w:p>
      <w:pPr>
        <w:spacing w:after="0" w:line="20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(972) 448-1400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1693545</wp:posOffset>
            </wp:positionH>
            <wp:positionV relativeFrom="paragraph">
              <wp:posOffset>269875</wp:posOffset>
            </wp:positionV>
            <wp:extent cx="376301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763010" cy="17145"/>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w:t>
      </w:r>
    </w:p>
    <w:p>
      <w:pPr>
        <w:sectPr>
          <w:pgSz w:w="11900" w:h="16838" w:orient="portrait"/>
          <w:cols w:equalWidth="0" w:num="1">
            <w:col w:w="11240"/>
          </w:cols>
          <w:pgMar w:left="320" w:top="229" w:right="339" w:bottom="1440" w:gutter="0" w:footer="0" w:header="0"/>
        </w:sectPr>
      </w:pPr>
    </w:p>
    <w:p>
      <w:pPr>
        <w:spacing w:after="0" w:line="120" w:lineRule="exact"/>
        <w:rPr>
          <w:sz w:val="24"/>
          <w:szCs w:val="24"/>
          <w:color w:val="auto"/>
        </w:rPr>
      </w:pPr>
    </w:p>
    <w:p>
      <w:pPr>
        <w:ind w:left="280"/>
        <w:spacing w:after="0" w:line="241" w:lineRule="exact"/>
        <w:rPr>
          <w:sz w:val="20"/>
          <w:szCs w:val="20"/>
          <w:color w:val="auto"/>
        </w:rPr>
      </w:pPr>
      <w:r>
        <w:rPr>
          <w:rFonts w:ascii="MS PGothic" w:cs="MS PGothic" w:eastAsia="MS PGothic" w:hAnsi="MS PGothic"/>
          <w:sz w:val="24"/>
          <w:szCs w:val="24"/>
          <w:color w:val="auto"/>
        </w:rPr>
        <w:t>☐</w:t>
      </w:r>
    </w:p>
    <w:p>
      <w:pPr>
        <w:spacing w:after="0" w:line="273" w:lineRule="exact"/>
        <w:rPr>
          <w:sz w:val="24"/>
          <w:szCs w:val="24"/>
          <w:color w:val="auto"/>
        </w:rPr>
      </w:pPr>
    </w:p>
    <w:p>
      <w:pPr>
        <w:ind w:left="280"/>
        <w:spacing w:after="0" w:line="241" w:lineRule="exact"/>
        <w:rPr>
          <w:sz w:val="20"/>
          <w:szCs w:val="20"/>
          <w:color w:val="auto"/>
        </w:rPr>
      </w:pPr>
      <w:r>
        <w:rPr>
          <w:rFonts w:ascii="MS PGothic" w:cs="MS PGothic" w:eastAsia="MS PGothic" w:hAnsi="MS PGothic"/>
          <w:sz w:val="24"/>
          <w:szCs w:val="24"/>
          <w:color w:val="auto"/>
        </w:rPr>
        <w:t>☐</w:t>
      </w:r>
    </w:p>
    <w:p>
      <w:pPr>
        <w:spacing w:after="0" w:line="273" w:lineRule="exact"/>
        <w:rPr>
          <w:sz w:val="24"/>
          <w:szCs w:val="24"/>
          <w:color w:val="auto"/>
        </w:rPr>
      </w:pPr>
    </w:p>
    <w:p>
      <w:pPr>
        <w:ind w:left="280"/>
        <w:spacing w:after="0" w:line="241" w:lineRule="exact"/>
        <w:rPr>
          <w:sz w:val="20"/>
          <w:szCs w:val="20"/>
          <w:color w:val="auto"/>
        </w:rPr>
      </w:pPr>
      <w:r>
        <w:rPr>
          <w:rFonts w:ascii="MS PGothic" w:cs="MS PGothic" w:eastAsia="MS PGothic" w:hAnsi="MS PGothic"/>
          <w:sz w:val="24"/>
          <w:szCs w:val="24"/>
          <w:color w:val="auto"/>
        </w:rPr>
        <w:t>☐</w:t>
      </w:r>
    </w:p>
    <w:p>
      <w:pPr>
        <w:spacing w:after="0" w:line="273" w:lineRule="exact"/>
        <w:rPr>
          <w:sz w:val="24"/>
          <w:szCs w:val="24"/>
          <w:color w:val="auto"/>
        </w:rPr>
      </w:pPr>
    </w:p>
    <w:p>
      <w:pPr>
        <w:ind w:left="280"/>
        <w:spacing w:after="0" w:line="241" w:lineRule="exact"/>
        <w:rPr>
          <w:sz w:val="20"/>
          <w:szCs w:val="20"/>
          <w:color w:val="auto"/>
        </w:rPr>
      </w:pPr>
      <w:r>
        <w:rPr>
          <w:rFonts w:ascii="MS PGothic" w:cs="MS PGothic" w:eastAsia="MS PGothic" w:hAnsi="MS PGothic"/>
          <w:sz w:val="24"/>
          <w:szCs w:val="24"/>
          <w:color w:val="auto"/>
        </w:rPr>
        <w:t>☐</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306" w:lineRule="exact"/>
        <w:rPr>
          <w:sz w:val="24"/>
          <w:szCs w:val="24"/>
          <w:color w:val="auto"/>
        </w:rPr>
      </w:pPr>
    </w:p>
    <w:p>
      <w:pPr>
        <w:spacing w:after="0"/>
        <w:rPr>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306" w:lineRule="exact"/>
        <w:rPr>
          <w:sz w:val="24"/>
          <w:szCs w:val="24"/>
          <w:color w:val="auto"/>
        </w:rPr>
      </w:pPr>
    </w:p>
    <w:p>
      <w:pPr>
        <w:spacing w:after="0"/>
        <w:rPr>
          <w:sz w:val="20"/>
          <w:szCs w:val="20"/>
          <w:color w:val="auto"/>
        </w:rPr>
      </w:pPr>
      <w:r>
        <w:rPr>
          <w:rFonts w:ascii="Arial" w:cs="Arial" w:eastAsia="Arial" w:hAnsi="Arial"/>
          <w:sz w:val="16"/>
          <w:szCs w:val="16"/>
          <w:color w:val="auto"/>
        </w:rPr>
        <w:t>Pre-commencement communications pursuant to Rule 14d-2(b) under the Exchange Act (17 CFR 240.14d-2(b))</w:t>
      </w:r>
    </w:p>
    <w:p>
      <w:pPr>
        <w:spacing w:after="0" w:line="329" w:lineRule="exact"/>
        <w:rPr>
          <w:sz w:val="24"/>
          <w:szCs w:val="24"/>
          <w:color w:val="auto"/>
        </w:rPr>
      </w:pPr>
    </w:p>
    <w:p>
      <w:pPr>
        <w:spacing w:after="0"/>
        <w:rPr>
          <w:sz w:val="20"/>
          <w:szCs w:val="20"/>
          <w:color w:val="auto"/>
        </w:rPr>
      </w:pPr>
      <w:r>
        <w:rPr>
          <w:rFonts w:ascii="Arial" w:cs="Arial" w:eastAsia="Arial" w:hAnsi="Arial"/>
          <w:sz w:val="16"/>
          <w:szCs w:val="16"/>
          <w:color w:val="auto"/>
        </w:rPr>
        <w:t>Pre-commencement communications pursuant to Rule 13e-4(c) under the Exchange Act (17 CFR 240.13e-4(c))</w:t>
      </w:r>
    </w:p>
    <w:p>
      <w:pPr>
        <w:spacing w:after="0" w:line="200" w:lineRule="exact"/>
        <w:rPr>
          <w:sz w:val="24"/>
          <w:szCs w:val="24"/>
          <w:color w:val="auto"/>
        </w:rPr>
      </w:pPr>
    </w:p>
    <w:p>
      <w:pPr>
        <w:sectPr>
          <w:pgSz w:w="11900" w:h="16838" w:orient="portrait"/>
          <w:cols w:equalWidth="0" w:num="2">
            <w:col w:w="520" w:space="280"/>
            <w:col w:w="10440"/>
          </w:cols>
          <w:pgMar w:left="320" w:top="229" w:right="339" w:bottom="1440" w:gutter="0" w:footer="0" w:header="0"/>
          <w:type w:val="continuous"/>
        </w:sectPr>
      </w:pPr>
    </w:p>
    <w:p>
      <w:pPr>
        <w:spacing w:after="0" w:line="116"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20" w:type="dxa"/>
            <w:vAlign w:val="bottom"/>
          </w:tcPr>
          <w:p>
            <w:pPr>
              <w:spacing w:after="0"/>
              <w:rPr>
                <w:sz w:val="14"/>
                <w:szCs w:val="14"/>
                <w:color w:val="auto"/>
              </w:rPr>
            </w:pPr>
          </w:p>
        </w:tc>
        <w:tc>
          <w:tcPr>
            <w:tcW w:w="5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178"/>
        </w:trPr>
        <w:tc>
          <w:tcPr>
            <w:tcW w:w="42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20" w:type="dxa"/>
            <w:vAlign w:val="bottom"/>
          </w:tcPr>
          <w:p>
            <w:pPr>
              <w:spacing w:after="0"/>
              <w:rPr>
                <w:sz w:val="15"/>
                <w:szCs w:val="15"/>
                <w:color w:val="auto"/>
              </w:rPr>
            </w:pPr>
          </w:p>
        </w:tc>
        <w:tc>
          <w:tcPr>
            <w:tcW w:w="50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4280" w:type="dxa"/>
            <w:vAlign w:val="bottom"/>
          </w:tcPr>
          <w:p>
            <w:pPr>
              <w:jc w:val="center"/>
              <w:spacing w:after="0" w:line="130" w:lineRule="exact"/>
              <w:rPr>
                <w:sz w:val="20"/>
                <w:szCs w:val="20"/>
                <w:color w:val="auto"/>
              </w:rPr>
            </w:pPr>
            <w:r>
              <w:rPr>
                <w:rFonts w:ascii="Arial" w:cs="Arial" w:eastAsia="Arial" w:hAnsi="Arial"/>
                <w:sz w:val="14"/>
                <w:szCs w:val="14"/>
                <w:color w:val="auto"/>
                <w:w w:val="93"/>
              </w:rPr>
              <w:t>Class A Common stock</w:t>
            </w:r>
          </w:p>
        </w:tc>
        <w:tc>
          <w:tcPr>
            <w:tcW w:w="1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4280" w:type="dxa"/>
            <w:vAlign w:val="bottom"/>
          </w:tcPr>
          <w:p>
            <w:pPr>
              <w:jc w:val="center"/>
              <w:spacing w:after="0"/>
              <w:rPr>
                <w:sz w:val="20"/>
                <w:szCs w:val="20"/>
                <w:color w:val="auto"/>
              </w:rPr>
            </w:pPr>
            <w:r>
              <w:rPr>
                <w:rFonts w:ascii="Arial" w:cs="Arial" w:eastAsia="Arial" w:hAnsi="Arial"/>
                <w:sz w:val="14"/>
                <w:szCs w:val="14"/>
                <w:color w:val="auto"/>
                <w:w w:val="90"/>
              </w:rPr>
              <w:t>($.01 par value per share)</w:t>
            </w:r>
          </w:p>
        </w:tc>
        <w:tc>
          <w:tcPr>
            <w:tcW w:w="120" w:type="dxa"/>
            <w:vAlign w:val="bottom"/>
          </w:tcPr>
          <w:p>
            <w:pPr>
              <w:spacing w:after="0"/>
              <w:rPr>
                <w:sz w:val="15"/>
                <w:szCs w:val="15"/>
                <w:color w:val="auto"/>
              </w:rPr>
            </w:pPr>
          </w:p>
        </w:tc>
        <w:tc>
          <w:tcPr>
            <w:tcW w:w="1660" w:type="dxa"/>
            <w:vAlign w:val="bottom"/>
          </w:tcPr>
          <w:p>
            <w:pPr>
              <w:jc w:val="center"/>
              <w:spacing w:after="0"/>
              <w:rPr>
                <w:sz w:val="20"/>
                <w:szCs w:val="20"/>
                <w:color w:val="auto"/>
              </w:rPr>
            </w:pPr>
            <w:r>
              <w:rPr>
                <w:rFonts w:ascii="Arial" w:cs="Arial" w:eastAsia="Arial" w:hAnsi="Arial"/>
                <w:sz w:val="14"/>
                <w:szCs w:val="14"/>
                <w:color w:val="auto"/>
              </w:rPr>
              <w:t>CIX</w:t>
            </w:r>
          </w:p>
        </w:tc>
        <w:tc>
          <w:tcPr>
            <w:tcW w:w="120" w:type="dxa"/>
            <w:vAlign w:val="bottom"/>
          </w:tcPr>
          <w:p>
            <w:pPr>
              <w:spacing w:after="0"/>
              <w:rPr>
                <w:sz w:val="15"/>
                <w:szCs w:val="15"/>
                <w:color w:val="auto"/>
              </w:rPr>
            </w:pPr>
          </w:p>
        </w:tc>
        <w:tc>
          <w:tcPr>
            <w:tcW w:w="5060" w:type="dxa"/>
            <w:vAlign w:val="bottom"/>
          </w:tcPr>
          <w:p>
            <w:pPr>
              <w:jc w:val="center"/>
              <w:spacing w:after="0"/>
              <w:rPr>
                <w:sz w:val="20"/>
                <w:szCs w:val="20"/>
                <w:color w:val="auto"/>
              </w:rPr>
            </w:pPr>
            <w:r>
              <w:rPr>
                <w:rFonts w:ascii="Arial" w:cs="Arial" w:eastAsia="Arial" w:hAnsi="Arial"/>
                <w:sz w:val="14"/>
                <w:szCs w:val="14"/>
                <w:color w:val="auto"/>
                <w:w w:val="99"/>
              </w:rPr>
              <w:t>NYSE American LLC</w:t>
            </w:r>
          </w:p>
        </w:tc>
        <w:tc>
          <w:tcPr>
            <w:tcW w:w="0" w:type="dxa"/>
            <w:vAlign w:val="bottom"/>
          </w:tcPr>
          <w:p>
            <w:pPr>
              <w:spacing w:after="0"/>
              <w:rPr>
                <w:sz w:val="1"/>
                <w:szCs w:val="1"/>
                <w:color w:val="auto"/>
              </w:rPr>
            </w:pPr>
          </w:p>
        </w:tc>
      </w:tr>
    </w:tbl>
    <w:p>
      <w:pPr>
        <w:spacing w:after="0" w:line="214" w:lineRule="exact"/>
        <w:rPr>
          <w:sz w:val="24"/>
          <w:szCs w:val="24"/>
          <w:color w:val="auto"/>
        </w:rPr>
      </w:pPr>
    </w:p>
    <w:p>
      <w:pPr>
        <w:ind w:right="140"/>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 w:lineRule="exact"/>
        <w:rPr>
          <w:sz w:val="24"/>
          <w:szCs w:val="24"/>
          <w:color w:val="auto"/>
        </w:rPr>
      </w:pPr>
    </w:p>
    <w:p>
      <w:pPr>
        <w:jc w:val="right"/>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351"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476250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p>
      <w:pPr>
        <w:spacing w:after="0"/>
        <w:tabs>
          <w:tab w:leader="none" w:pos="1440" w:val="left"/>
        </w:tabs>
        <w:rPr>
          <w:sz w:val="20"/>
          <w:szCs w:val="20"/>
          <w:color w:val="auto"/>
        </w:rPr>
      </w:pPr>
      <w:r>
        <w:rPr>
          <w:rFonts w:ascii="Arial" w:cs="Arial" w:eastAsia="Arial" w:hAnsi="Arial"/>
          <w:sz w:val="22"/>
          <w:szCs w:val="22"/>
          <w:b w:val="1"/>
          <w:bCs w:val="1"/>
          <w:color w:val="auto"/>
        </w:rPr>
        <w:t>Item 2.02</w:t>
      </w:r>
      <w:r>
        <w:rPr>
          <w:sz w:val="20"/>
          <w:szCs w:val="20"/>
          <w:color w:val="auto"/>
        </w:rPr>
        <w:tab/>
      </w:r>
      <w:r>
        <w:rPr>
          <w:rFonts w:ascii="Arial" w:cs="Arial" w:eastAsia="Arial" w:hAnsi="Arial"/>
          <w:sz w:val="19"/>
          <w:szCs w:val="19"/>
          <w:b w:val="1"/>
          <w:bCs w:val="1"/>
          <w:color w:val="auto"/>
        </w:rPr>
        <w:t>Results of Operations and Financial Condition.</w:t>
      </w:r>
    </w:p>
    <w:p>
      <w:pPr>
        <w:spacing w:after="0" w:line="240"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The registrant hereby furnishes the information set forth in its press release entitled “CompX Reports Third Quarter 2021 Results” that the registrant issued on November 3, 2021, a copy of which is attached hereto as Exhibit 99.1 and incorporated herein by reference.</w:t>
      </w:r>
    </w:p>
    <w:p>
      <w:pPr>
        <w:spacing w:after="0" w:line="21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The press release the registrant furnishes as Exhibit 99.1 to this current report is not deemed “filed” for purposes of section 18 of the Securities Exchange Act of 1934, as amended, or otherwise subject to the liabilities of that section. Registration statements or other documents filed with the U.S. Securities and Exchange Commission shall not incorporate this information by reference, except as otherwise expressly stated in such filing.</w:t>
      </w:r>
    </w:p>
    <w:p>
      <w:pPr>
        <w:spacing w:after="0" w:line="206" w:lineRule="exact"/>
        <w:rPr>
          <w:sz w:val="20"/>
          <w:szCs w:val="20"/>
          <w:color w:val="auto"/>
        </w:rPr>
      </w:pPr>
    </w:p>
    <w:p>
      <w:pPr>
        <w:spacing w:after="0"/>
        <w:tabs>
          <w:tab w:leader="none" w:pos="2140" w:val="left"/>
        </w:tabs>
        <w:rPr>
          <w:sz w:val="20"/>
          <w:szCs w:val="20"/>
          <w:color w:val="auto"/>
        </w:rPr>
      </w:pPr>
      <w:r>
        <w:rPr>
          <w:rFonts w:ascii="Arial" w:cs="Arial" w:eastAsia="Arial" w:hAnsi="Arial"/>
          <w:sz w:val="22"/>
          <w:szCs w:val="22"/>
          <w:b w:val="1"/>
          <w:bCs w:val="1"/>
          <w:color w:val="auto"/>
        </w:rPr>
        <w:t>Item 7.01</w:t>
      </w:r>
      <w:r>
        <w:rPr>
          <w:sz w:val="20"/>
          <w:szCs w:val="20"/>
          <w:color w:val="auto"/>
        </w:rPr>
        <w:tab/>
      </w:r>
      <w:r>
        <w:rPr>
          <w:rFonts w:ascii="Arial" w:cs="Arial" w:eastAsia="Arial" w:hAnsi="Arial"/>
          <w:sz w:val="19"/>
          <w:szCs w:val="19"/>
          <w:b w:val="1"/>
          <w:bCs w:val="1"/>
          <w:color w:val="auto"/>
        </w:rPr>
        <w:t>Regulation FD Disclosures.</w:t>
      </w:r>
    </w:p>
    <w:p>
      <w:pPr>
        <w:spacing w:after="0" w:line="239"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The registrant hereby furnishes the information set forth in its press release entitled “CompX Declares Regular Quarterly Dividend” that the registrant also issued on November 3, 2021, a copy of which is attached hereto as Exhibit 99.2 and incorporated herein by reference.</w:t>
      </w:r>
    </w:p>
    <w:p>
      <w:pPr>
        <w:spacing w:after="0" w:line="21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The press release the registrant furnishes as Exhibit 99.2 to this current report is not deemed “filed” for purposes of section 18 of the Securities Exchange Act of 1934, as amended, or otherwise subject to the liabilities of that section. Registration statements or other documents filed with the U.S. Securities and Exchange Commission shall not incorporate this information by reference, except as otherwise expressly stated in such filing.</w:t>
      </w:r>
    </w:p>
    <w:p>
      <w:pPr>
        <w:spacing w:after="0" w:line="206"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680" w:type="dxa"/>
            <w:vAlign w:val="bottom"/>
          </w:tcPr>
          <w:p>
            <w:pPr>
              <w:spacing w:after="0"/>
              <w:rPr>
                <w:sz w:val="20"/>
                <w:szCs w:val="20"/>
                <w:color w:val="auto"/>
              </w:rPr>
            </w:pPr>
            <w:r>
              <w:rPr>
                <w:rFonts w:ascii="Arial" w:cs="Arial" w:eastAsia="Arial" w:hAnsi="Arial"/>
                <w:sz w:val="22"/>
                <w:szCs w:val="22"/>
                <w:color w:val="auto"/>
              </w:rPr>
              <w:t>(d)</w:t>
            </w:r>
          </w:p>
        </w:tc>
        <w:tc>
          <w:tcPr>
            <w:tcW w:w="2040" w:type="dxa"/>
            <w:vAlign w:val="bottom"/>
          </w:tcPr>
          <w:p>
            <w:pPr>
              <w:spacing w:after="0"/>
              <w:rPr>
                <w:sz w:val="20"/>
                <w:szCs w:val="20"/>
                <w:color w:val="auto"/>
              </w:rPr>
            </w:pPr>
            <w:r>
              <w:rPr>
                <w:rFonts w:ascii="Arial" w:cs="Arial" w:eastAsia="Arial" w:hAnsi="Arial"/>
                <w:sz w:val="22"/>
                <w:szCs w:val="22"/>
                <w:color w:val="auto"/>
              </w:rPr>
              <w:t>Exhibits</w:t>
            </w:r>
          </w:p>
        </w:tc>
        <w:tc>
          <w:tcPr>
            <w:tcW w:w="520" w:type="dxa"/>
            <w:vAlign w:val="bottom"/>
          </w:tcPr>
          <w:p>
            <w:pPr>
              <w:spacing w:after="0"/>
              <w:rPr>
                <w:sz w:val="23"/>
                <w:szCs w:val="23"/>
                <w:color w:val="auto"/>
              </w:rPr>
            </w:pPr>
          </w:p>
        </w:tc>
        <w:tc>
          <w:tcPr>
            <w:tcW w:w="3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6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456"/>
        </w:trPr>
        <w:tc>
          <w:tcPr>
            <w:tcW w:w="680" w:type="dxa"/>
            <w:vAlign w:val="bottom"/>
          </w:tcPr>
          <w:p>
            <w:pPr>
              <w:spacing w:after="0"/>
              <w:rPr>
                <w:sz w:val="24"/>
                <w:szCs w:val="24"/>
                <w:color w:val="auto"/>
              </w:rPr>
            </w:pPr>
          </w:p>
        </w:tc>
        <w:tc>
          <w:tcPr>
            <w:tcW w:w="2040" w:type="dxa"/>
            <w:vAlign w:val="bottom"/>
            <w:tcBorders>
              <w:bottom w:val="single" w:sz="8" w:color="auto"/>
            </w:tcBorders>
          </w:tcPr>
          <w:p>
            <w:pPr>
              <w:ind w:left="620"/>
              <w:spacing w:after="0"/>
              <w:rPr>
                <w:sz w:val="20"/>
                <w:szCs w:val="20"/>
                <w:color w:val="auto"/>
              </w:rPr>
            </w:pPr>
            <w:r>
              <w:rPr>
                <w:rFonts w:ascii="Arial" w:cs="Arial" w:eastAsia="Arial" w:hAnsi="Arial"/>
                <w:sz w:val="22"/>
                <w:szCs w:val="22"/>
                <w:b w:val="1"/>
                <w:bCs w:val="1"/>
                <w:color w:val="auto"/>
              </w:rPr>
              <w:t>Item No.</w:t>
            </w:r>
          </w:p>
        </w:tc>
        <w:tc>
          <w:tcPr>
            <w:tcW w:w="520" w:type="dxa"/>
            <w:vAlign w:val="bottom"/>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gridSpan w:val="2"/>
          </w:tcPr>
          <w:p>
            <w:pPr>
              <w:ind w:left="160"/>
              <w:spacing w:after="0"/>
              <w:rPr>
                <w:sz w:val="20"/>
                <w:szCs w:val="20"/>
                <w:color w:val="auto"/>
              </w:rPr>
            </w:pPr>
            <w:r>
              <w:rPr>
                <w:rFonts w:ascii="Arial" w:cs="Arial" w:eastAsia="Arial" w:hAnsi="Arial"/>
                <w:sz w:val="22"/>
                <w:szCs w:val="22"/>
                <w:b w:val="1"/>
                <w:bCs w:val="1"/>
                <w:color w:val="auto"/>
              </w:rPr>
              <w:t>Description</w:t>
            </w:r>
          </w:p>
        </w:tc>
      </w:tr>
      <w:tr>
        <w:trPr>
          <w:trHeight w:val="418"/>
        </w:trPr>
        <w:tc>
          <w:tcPr>
            <w:tcW w:w="680" w:type="dxa"/>
            <w:vAlign w:val="bottom"/>
          </w:tcPr>
          <w:p>
            <w:pPr>
              <w:spacing w:after="0"/>
              <w:rPr>
                <w:sz w:val="24"/>
                <w:szCs w:val="24"/>
                <w:color w:val="auto"/>
              </w:rPr>
            </w:pPr>
          </w:p>
        </w:tc>
        <w:tc>
          <w:tcPr>
            <w:tcW w:w="2040" w:type="dxa"/>
            <w:vAlign w:val="bottom"/>
          </w:tcPr>
          <w:p>
            <w:pPr>
              <w:spacing w:after="0"/>
              <w:rPr>
                <w:sz w:val="20"/>
                <w:szCs w:val="20"/>
                <w:color w:val="auto"/>
              </w:rPr>
            </w:pPr>
            <w:r>
              <w:rPr>
                <w:rFonts w:ascii="Arial" w:cs="Arial" w:eastAsia="Arial" w:hAnsi="Arial"/>
                <w:sz w:val="22"/>
                <w:szCs w:val="22"/>
                <w:color w:val="auto"/>
              </w:rPr>
              <w:t>99.1</w:t>
            </w:r>
          </w:p>
        </w:tc>
        <w:tc>
          <w:tcPr>
            <w:tcW w:w="520" w:type="dxa"/>
            <w:vAlign w:val="bottom"/>
          </w:tcPr>
          <w:p>
            <w:pPr>
              <w:spacing w:after="0"/>
              <w:rPr>
                <w:sz w:val="24"/>
                <w:szCs w:val="24"/>
                <w:color w:val="auto"/>
              </w:rPr>
            </w:pPr>
          </w:p>
        </w:tc>
        <w:tc>
          <w:tcPr>
            <w:tcW w:w="8000" w:type="dxa"/>
            <w:vAlign w:val="bottom"/>
            <w:tcBorders>
              <w:bottom w:val="single" w:sz="8" w:color="0000EE"/>
            </w:tcBorders>
            <w:gridSpan w:val="4"/>
          </w:tcPr>
          <w:p>
            <w:pPr>
              <w:spacing w:after="0"/>
              <w:rPr>
                <w:rFonts w:ascii="Arial" w:cs="Arial" w:eastAsia="Arial" w:hAnsi="Arial"/>
                <w:sz w:val="22"/>
                <w:szCs w:val="22"/>
                <w:color w:val="0000EE"/>
                <w:w w:val="97"/>
              </w:rPr>
            </w:pPr>
            <w:hyperlink w:anchor="page4">
              <w:r>
                <w:rPr>
                  <w:rFonts w:ascii="Arial" w:cs="Arial" w:eastAsia="Arial" w:hAnsi="Arial"/>
                  <w:sz w:val="22"/>
                  <w:szCs w:val="22"/>
                  <w:color w:val="0000EE"/>
                  <w:w w:val="97"/>
                </w:rPr>
                <w:t>Press release dated November 3, 2021 entitled “CompX Reports Third Quarter 2021</w:t>
              </w:r>
            </w:hyperlink>
          </w:p>
        </w:tc>
      </w:tr>
      <w:tr>
        <w:trPr>
          <w:trHeight w:val="223"/>
        </w:trPr>
        <w:tc>
          <w:tcPr>
            <w:tcW w:w="6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0" w:type="dxa"/>
            <w:vAlign w:val="bottom"/>
            <w:gridSpan w:val="4"/>
          </w:tcPr>
          <w:p>
            <w:pPr>
              <w:spacing w:after="0" w:line="223" w:lineRule="exact"/>
              <w:rPr>
                <w:rFonts w:ascii="Arial" w:cs="Arial" w:eastAsia="Arial" w:hAnsi="Arial"/>
                <w:sz w:val="22"/>
                <w:szCs w:val="22"/>
                <w:color w:val="0000EE"/>
              </w:rPr>
            </w:pPr>
            <w:hyperlink w:anchor="page4">
              <w:r>
                <w:rPr>
                  <w:rFonts w:ascii="Arial" w:cs="Arial" w:eastAsia="Arial" w:hAnsi="Arial"/>
                  <w:sz w:val="22"/>
                  <w:szCs w:val="22"/>
                  <w:color w:val="0000EE"/>
                </w:rPr>
                <w:t>Results” and issued by the registrant</w:t>
              </w:r>
              <w:r>
                <w:rPr>
                  <w:rFonts w:ascii="Arial" w:cs="Arial" w:eastAsia="Arial" w:hAnsi="Arial"/>
                  <w:sz w:val="22"/>
                  <w:szCs w:val="22"/>
                  <w:color w:val="000000"/>
                </w:rPr>
                <w:t>.</w:t>
              </w:r>
            </w:hyperlink>
          </w:p>
        </w:tc>
      </w:tr>
      <w:tr>
        <w:trPr>
          <w:trHeight w:val="20"/>
        </w:trPr>
        <w:tc>
          <w:tcPr>
            <w:tcW w:w="6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680" w:type="dxa"/>
            <w:vAlign w:val="bottom"/>
          </w:tcPr>
          <w:p>
            <w:pPr>
              <w:spacing w:after="0"/>
              <w:rPr>
                <w:sz w:val="24"/>
                <w:szCs w:val="24"/>
                <w:color w:val="auto"/>
              </w:rPr>
            </w:pPr>
          </w:p>
        </w:tc>
        <w:tc>
          <w:tcPr>
            <w:tcW w:w="2040" w:type="dxa"/>
            <w:vAlign w:val="bottom"/>
          </w:tcPr>
          <w:p>
            <w:pPr>
              <w:spacing w:after="0"/>
              <w:rPr>
                <w:sz w:val="20"/>
                <w:szCs w:val="20"/>
                <w:color w:val="auto"/>
              </w:rPr>
            </w:pPr>
            <w:r>
              <w:rPr>
                <w:rFonts w:ascii="Arial" w:cs="Arial" w:eastAsia="Arial" w:hAnsi="Arial"/>
                <w:sz w:val="22"/>
                <w:szCs w:val="22"/>
                <w:color w:val="auto"/>
              </w:rPr>
              <w:t>99.2</w:t>
            </w:r>
          </w:p>
        </w:tc>
        <w:tc>
          <w:tcPr>
            <w:tcW w:w="520" w:type="dxa"/>
            <w:vAlign w:val="bottom"/>
          </w:tcPr>
          <w:p>
            <w:pPr>
              <w:spacing w:after="0"/>
              <w:rPr>
                <w:sz w:val="24"/>
                <w:szCs w:val="24"/>
                <w:color w:val="auto"/>
              </w:rPr>
            </w:pPr>
          </w:p>
        </w:tc>
        <w:tc>
          <w:tcPr>
            <w:tcW w:w="8000" w:type="dxa"/>
            <w:vAlign w:val="bottom"/>
            <w:gridSpan w:val="4"/>
          </w:tcPr>
          <w:p>
            <w:pPr>
              <w:spacing w:after="0"/>
              <w:rPr>
                <w:rFonts w:ascii="Arial" w:cs="Arial" w:eastAsia="Arial" w:hAnsi="Arial"/>
                <w:sz w:val="22"/>
                <w:szCs w:val="22"/>
                <w:color w:val="0000EE"/>
                <w:w w:val="97"/>
              </w:rPr>
            </w:pPr>
            <w:hyperlink w:anchor="page8">
              <w:r>
                <w:rPr>
                  <w:rFonts w:ascii="Arial" w:cs="Arial" w:eastAsia="Arial" w:hAnsi="Arial"/>
                  <w:sz w:val="22"/>
                  <w:szCs w:val="22"/>
                  <w:color w:val="0000EE"/>
                  <w:w w:val="97"/>
                </w:rPr>
                <w:t>Press release dated November 3, 2021 entitled “CompX Declares Regular Quarterly</w:t>
              </w:r>
            </w:hyperlink>
          </w:p>
        </w:tc>
      </w:tr>
      <w:tr>
        <w:trPr>
          <w:trHeight w:val="223"/>
        </w:trPr>
        <w:tc>
          <w:tcPr>
            <w:tcW w:w="6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980" w:type="dxa"/>
            <w:vAlign w:val="bottom"/>
            <w:tcBorders>
              <w:top w:val="single" w:sz="8" w:color="0000EE"/>
            </w:tcBorders>
            <w:gridSpan w:val="3"/>
          </w:tcPr>
          <w:p>
            <w:pPr>
              <w:spacing w:after="0" w:line="223" w:lineRule="exact"/>
              <w:rPr>
                <w:rFonts w:ascii="Arial" w:cs="Arial" w:eastAsia="Arial" w:hAnsi="Arial"/>
                <w:sz w:val="22"/>
                <w:szCs w:val="22"/>
                <w:color w:val="0000EE"/>
              </w:rPr>
            </w:pPr>
            <w:hyperlink w:anchor="page8">
              <w:r>
                <w:rPr>
                  <w:rFonts w:ascii="Arial" w:cs="Arial" w:eastAsia="Arial" w:hAnsi="Arial"/>
                  <w:sz w:val="22"/>
                  <w:szCs w:val="22"/>
                  <w:color w:val="0000EE"/>
                </w:rPr>
                <w:t>Dividend” and issued by the registrant</w:t>
              </w:r>
              <w:r>
                <w:rPr>
                  <w:rFonts w:ascii="Arial" w:cs="Arial" w:eastAsia="Arial" w:hAnsi="Arial"/>
                  <w:sz w:val="22"/>
                  <w:szCs w:val="22"/>
                  <w:color w:val="000000"/>
                </w:rPr>
                <w:t>.</w:t>
              </w:r>
            </w:hyperlink>
          </w:p>
        </w:tc>
        <w:tc>
          <w:tcPr>
            <w:tcW w:w="20" w:type="dxa"/>
            <w:vAlign w:val="bottom"/>
          </w:tcPr>
          <w:p>
            <w:pPr>
              <w:spacing w:after="0"/>
              <w:rPr>
                <w:sz w:val="19"/>
                <w:szCs w:val="19"/>
                <w:color w:val="auto"/>
              </w:rPr>
            </w:pPr>
          </w:p>
        </w:tc>
      </w:tr>
      <w:tr>
        <w:trPr>
          <w:trHeight w:val="20"/>
        </w:trPr>
        <w:tc>
          <w:tcPr>
            <w:tcW w:w="6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320" w:type="dxa"/>
            <w:vAlign w:val="bottom"/>
            <w:gridSpan w:val="2"/>
            <w:shd w:val="clear" w:color="auto" w:fill="0000EE"/>
          </w:tcPr>
          <w:p>
            <w:pPr>
              <w:spacing w:after="0" w:line="20" w:lineRule="exact"/>
              <w:rPr>
                <w:sz w:val="1"/>
                <w:szCs w:val="1"/>
                <w:color w:val="auto"/>
              </w:rPr>
            </w:pPr>
          </w:p>
        </w:tc>
        <w:tc>
          <w:tcPr>
            <w:tcW w:w="4680" w:type="dxa"/>
            <w:vAlign w:val="bottom"/>
            <w:gridSpan w:val="2"/>
          </w:tcPr>
          <w:p>
            <w:pPr>
              <w:spacing w:after="0" w:line="20" w:lineRule="exact"/>
              <w:rPr>
                <w:sz w:val="1"/>
                <w:szCs w:val="1"/>
                <w:color w:val="auto"/>
              </w:rPr>
            </w:pPr>
          </w:p>
        </w:tc>
      </w:tr>
      <w:tr>
        <w:trPr>
          <w:trHeight w:val="490"/>
        </w:trPr>
        <w:tc>
          <w:tcPr>
            <w:tcW w:w="680" w:type="dxa"/>
            <w:vAlign w:val="bottom"/>
          </w:tcPr>
          <w:p>
            <w:pPr>
              <w:spacing w:after="0"/>
              <w:rPr>
                <w:sz w:val="24"/>
                <w:szCs w:val="24"/>
                <w:color w:val="auto"/>
              </w:rPr>
            </w:pPr>
          </w:p>
        </w:tc>
        <w:tc>
          <w:tcPr>
            <w:tcW w:w="2040" w:type="dxa"/>
            <w:vAlign w:val="bottom"/>
          </w:tcPr>
          <w:p>
            <w:pPr>
              <w:spacing w:after="0"/>
              <w:rPr>
                <w:sz w:val="20"/>
                <w:szCs w:val="20"/>
                <w:color w:val="auto"/>
              </w:rPr>
            </w:pPr>
            <w:r>
              <w:rPr>
                <w:rFonts w:ascii="Arial" w:cs="Arial" w:eastAsia="Arial" w:hAnsi="Arial"/>
                <w:sz w:val="22"/>
                <w:szCs w:val="22"/>
                <w:color w:val="auto"/>
              </w:rPr>
              <w:t>104</w:t>
            </w:r>
          </w:p>
        </w:tc>
        <w:tc>
          <w:tcPr>
            <w:tcW w:w="520" w:type="dxa"/>
            <w:vAlign w:val="bottom"/>
          </w:tcPr>
          <w:p>
            <w:pPr>
              <w:spacing w:after="0"/>
              <w:rPr>
                <w:sz w:val="24"/>
                <w:szCs w:val="24"/>
                <w:color w:val="auto"/>
              </w:rPr>
            </w:pPr>
          </w:p>
        </w:tc>
        <w:tc>
          <w:tcPr>
            <w:tcW w:w="8000" w:type="dxa"/>
            <w:vAlign w:val="bottom"/>
            <w:gridSpan w:val="4"/>
          </w:tcPr>
          <w:p>
            <w:pPr>
              <w:spacing w:after="0"/>
              <w:rPr>
                <w:sz w:val="20"/>
                <w:szCs w:val="20"/>
                <w:color w:val="auto"/>
              </w:rPr>
            </w:pPr>
            <w:r>
              <w:rPr>
                <w:rFonts w:ascii="Arial" w:cs="Arial" w:eastAsia="Arial" w:hAnsi="Arial"/>
                <w:sz w:val="22"/>
                <w:szCs w:val="22"/>
                <w:color w:val="auto"/>
              </w:rPr>
              <w:t>Cover Page Interactive Data File (embedded within the Inline XBRL document)</w:t>
            </w:r>
          </w:p>
        </w:tc>
      </w:tr>
      <w:tr>
        <w:trPr>
          <w:trHeight w:val="901"/>
        </w:trPr>
        <w:tc>
          <w:tcPr>
            <w:tcW w:w="68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SIGNATURE</w:t>
      </w:r>
    </w:p>
    <w:p>
      <w:pPr>
        <w:spacing w:after="0" w:line="239" w:lineRule="exact"/>
        <w:rPr>
          <w:sz w:val="20"/>
          <w:szCs w:val="20"/>
          <w:color w:val="auto"/>
        </w:rPr>
      </w:pPr>
    </w:p>
    <w:p>
      <w:pPr>
        <w:ind w:right="20" w:firstLine="648"/>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196" w:lineRule="exact"/>
        <w:rPr>
          <w:sz w:val="20"/>
          <w:szCs w:val="20"/>
          <w:color w:val="auto"/>
        </w:rPr>
      </w:pPr>
    </w:p>
    <w:p>
      <w:pPr>
        <w:ind w:left="5620"/>
        <w:spacing w:after="0"/>
        <w:rPr>
          <w:sz w:val="20"/>
          <w:szCs w:val="20"/>
          <w:color w:val="auto"/>
        </w:rPr>
      </w:pPr>
      <w:r>
        <w:rPr>
          <w:rFonts w:ascii="Arial" w:cs="Arial" w:eastAsia="Arial" w:hAnsi="Arial"/>
          <w:sz w:val="22"/>
          <w:szCs w:val="22"/>
          <w:b w:val="1"/>
          <w:bCs w:val="1"/>
          <w:color w:val="auto"/>
        </w:rPr>
        <w:t>C</w:t>
      </w:r>
      <w:r>
        <w:rPr>
          <w:rFonts w:ascii="Arial" w:cs="Arial" w:eastAsia="Arial" w:hAnsi="Arial"/>
          <w:sz w:val="14"/>
          <w:szCs w:val="14"/>
          <w:b w:val="1"/>
          <w:bCs w:val="1"/>
          <w:color w:val="auto"/>
        </w:rPr>
        <w:t>OMP</w:t>
      </w:r>
      <w:r>
        <w:rPr>
          <w:rFonts w:ascii="Arial" w:cs="Arial" w:eastAsia="Arial" w:hAnsi="Arial"/>
          <w:sz w:val="22"/>
          <w:szCs w:val="22"/>
          <w:b w:val="1"/>
          <w:bCs w:val="1"/>
          <w:color w:val="auto"/>
        </w:rPr>
        <w:t>X I</w:t>
      </w:r>
      <w:r>
        <w:rPr>
          <w:rFonts w:ascii="Arial" w:cs="Arial" w:eastAsia="Arial" w:hAnsi="Arial"/>
          <w:sz w:val="14"/>
          <w:szCs w:val="14"/>
          <w:b w:val="1"/>
          <w:bCs w:val="1"/>
          <w:color w:val="auto"/>
        </w:rPr>
        <w:t>NTERNATIONAL</w:t>
      </w:r>
      <w:r>
        <w:rPr>
          <w:rFonts w:ascii="Arial" w:cs="Arial" w:eastAsia="Arial" w:hAnsi="Arial"/>
          <w:sz w:val="22"/>
          <w:szCs w:val="22"/>
          <w:b w:val="1"/>
          <w:bCs w:val="1"/>
          <w:color w:val="auto"/>
        </w:rPr>
        <w:t xml:space="preserve"> I</w:t>
      </w:r>
      <w:r>
        <w:rPr>
          <w:rFonts w:ascii="Arial" w:cs="Arial" w:eastAsia="Arial" w:hAnsi="Arial"/>
          <w:sz w:val="14"/>
          <w:szCs w:val="14"/>
          <w:b w:val="1"/>
          <w:bCs w:val="1"/>
          <w:color w:val="auto"/>
        </w:rPr>
        <w:t>NC</w:t>
      </w:r>
      <w:r>
        <w:rPr>
          <w:rFonts w:ascii="Arial" w:cs="Arial" w:eastAsia="Arial" w:hAnsi="Arial"/>
          <w:sz w:val="22"/>
          <w:szCs w:val="22"/>
          <w:b w:val="1"/>
          <w:bCs w:val="1"/>
          <w:color w:val="auto"/>
        </w:rPr>
        <w:t>.</w:t>
      </w:r>
    </w:p>
    <w:p>
      <w:pPr>
        <w:spacing w:after="0" w:line="14"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3900" w:type="dxa"/>
            <w:vAlign w:val="bottom"/>
            <w:vMerge w:val="restart"/>
          </w:tcPr>
          <w:p>
            <w:pPr>
              <w:spacing w:after="0"/>
              <w:rPr>
                <w:sz w:val="20"/>
                <w:szCs w:val="20"/>
                <w:color w:val="auto"/>
              </w:rPr>
            </w:pPr>
            <w:r>
              <w:rPr>
                <w:rFonts w:ascii="Arial" w:cs="Arial" w:eastAsia="Arial" w:hAnsi="Arial"/>
                <w:sz w:val="22"/>
                <w:szCs w:val="22"/>
                <w:color w:val="auto"/>
              </w:rPr>
              <w:t>Date: November 3, 2021</w:t>
            </w:r>
          </w:p>
        </w:tc>
        <w:tc>
          <w:tcPr>
            <w:tcW w:w="7340" w:type="dxa"/>
            <w:vAlign w:val="bottom"/>
            <w:gridSpan w:val="2"/>
          </w:tcPr>
          <w:p>
            <w:pPr>
              <w:jc w:val="right"/>
              <w:ind w:right="2972"/>
              <w:spacing w:after="0"/>
              <w:rPr>
                <w:sz w:val="20"/>
                <w:szCs w:val="20"/>
                <w:color w:val="auto"/>
              </w:rPr>
            </w:pPr>
            <w:r>
              <w:rPr>
                <w:rFonts w:ascii="Arial" w:cs="Arial" w:eastAsia="Arial" w:hAnsi="Arial"/>
                <w:sz w:val="22"/>
                <w:szCs w:val="22"/>
                <w:color w:val="auto"/>
              </w:rPr>
              <w:t>By:  /s/ Michael S. Simmons</w:t>
            </w:r>
          </w:p>
        </w:tc>
        <w:tc>
          <w:tcPr>
            <w:tcW w:w="0" w:type="dxa"/>
            <w:vAlign w:val="bottom"/>
          </w:tcPr>
          <w:p>
            <w:pPr>
              <w:spacing w:after="0"/>
              <w:rPr>
                <w:sz w:val="1"/>
                <w:szCs w:val="1"/>
                <w:color w:val="auto"/>
              </w:rPr>
            </w:pPr>
          </w:p>
        </w:tc>
      </w:tr>
      <w:tr>
        <w:trPr>
          <w:trHeight w:val="222"/>
        </w:trPr>
        <w:tc>
          <w:tcPr>
            <w:tcW w:w="3900" w:type="dxa"/>
            <w:vAlign w:val="bottom"/>
            <w:vMerge w:val="continue"/>
          </w:tcPr>
          <w:p>
            <w:pPr>
              <w:spacing w:after="0"/>
              <w:rPr>
                <w:sz w:val="19"/>
                <w:szCs w:val="19"/>
                <w:color w:val="auto"/>
              </w:rPr>
            </w:pPr>
          </w:p>
        </w:tc>
        <w:tc>
          <w:tcPr>
            <w:tcW w:w="1720" w:type="dxa"/>
            <w:vAlign w:val="bottom"/>
          </w:tcPr>
          <w:p>
            <w:pPr>
              <w:spacing w:after="0"/>
              <w:rPr>
                <w:sz w:val="19"/>
                <w:szCs w:val="19"/>
                <w:color w:val="auto"/>
              </w:rPr>
            </w:pPr>
          </w:p>
        </w:tc>
        <w:tc>
          <w:tcPr>
            <w:tcW w:w="5620" w:type="dxa"/>
            <w:vAlign w:val="bottom"/>
            <w:tcBorders>
              <w:top w:val="single" w:sz="8" w:color="auto"/>
            </w:tcBorders>
          </w:tcPr>
          <w:p>
            <w:pPr>
              <w:ind w:left="460"/>
              <w:spacing w:after="0" w:line="222" w:lineRule="exact"/>
              <w:rPr>
                <w:sz w:val="20"/>
                <w:szCs w:val="20"/>
                <w:color w:val="auto"/>
              </w:rPr>
            </w:pPr>
            <w:r>
              <w:rPr>
                <w:rFonts w:ascii="Arial" w:cs="Arial" w:eastAsia="Arial" w:hAnsi="Arial"/>
                <w:sz w:val="22"/>
                <w:szCs w:val="22"/>
                <w:i w:val="1"/>
                <w:iCs w:val="1"/>
                <w:color w:val="auto"/>
              </w:rPr>
              <w:t>Michael S. Simmons</w:t>
            </w:r>
          </w:p>
        </w:tc>
        <w:tc>
          <w:tcPr>
            <w:tcW w:w="0" w:type="dxa"/>
            <w:vAlign w:val="bottom"/>
          </w:tcPr>
          <w:p>
            <w:pPr>
              <w:spacing w:after="0"/>
              <w:rPr>
                <w:sz w:val="1"/>
                <w:szCs w:val="1"/>
                <w:color w:val="auto"/>
              </w:rPr>
            </w:pPr>
          </w:p>
        </w:tc>
      </w:tr>
      <w:tr>
        <w:trPr>
          <w:trHeight w:val="243"/>
        </w:trPr>
        <w:tc>
          <w:tcPr>
            <w:tcW w:w="39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5620" w:type="dxa"/>
            <w:vAlign w:val="bottom"/>
          </w:tcPr>
          <w:p>
            <w:pPr>
              <w:ind w:left="460"/>
              <w:spacing w:after="0" w:line="243" w:lineRule="exact"/>
              <w:rPr>
                <w:sz w:val="20"/>
                <w:szCs w:val="20"/>
                <w:color w:val="auto"/>
              </w:rPr>
            </w:pPr>
            <w:r>
              <w:rPr>
                <w:rFonts w:ascii="Arial" w:cs="Arial" w:eastAsia="Arial" w:hAnsi="Arial"/>
                <w:sz w:val="22"/>
                <w:szCs w:val="22"/>
                <w:i w:val="1"/>
                <w:iCs w:val="1"/>
                <w:color w:val="auto"/>
              </w:rPr>
              <w:t>Senior Vice President and</w:t>
            </w:r>
          </w:p>
        </w:tc>
        <w:tc>
          <w:tcPr>
            <w:tcW w:w="0" w:type="dxa"/>
            <w:vAlign w:val="bottom"/>
          </w:tcPr>
          <w:p>
            <w:pPr>
              <w:spacing w:after="0"/>
              <w:rPr>
                <w:sz w:val="1"/>
                <w:szCs w:val="1"/>
                <w:color w:val="auto"/>
              </w:rPr>
            </w:pPr>
          </w:p>
        </w:tc>
      </w:tr>
      <w:tr>
        <w:trPr>
          <w:trHeight w:val="274"/>
        </w:trPr>
        <w:tc>
          <w:tcPr>
            <w:tcW w:w="390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5620" w:type="dxa"/>
            <w:vAlign w:val="bottom"/>
          </w:tcPr>
          <w:p>
            <w:pPr>
              <w:jc w:val="right"/>
              <w:ind w:right="2972"/>
              <w:spacing w:after="0"/>
              <w:rPr>
                <w:sz w:val="20"/>
                <w:szCs w:val="20"/>
                <w:color w:val="auto"/>
              </w:rPr>
            </w:pPr>
            <w:r>
              <w:rPr>
                <w:rFonts w:ascii="Arial" w:cs="Arial" w:eastAsia="Arial" w:hAnsi="Arial"/>
                <w:sz w:val="22"/>
                <w:szCs w:val="22"/>
                <w:i w:val="1"/>
                <w:iCs w:val="1"/>
                <w:color w:val="auto"/>
              </w:rPr>
              <w:t>Chief Financial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598"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851660" cy="514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851660" cy="514350"/>
                    </a:xfrm>
                    <a:prstGeom prst="rect">
                      <a:avLst/>
                    </a:prstGeom>
                    <a:noFill/>
                  </pic:spPr>
                </pic:pic>
              </a:graphicData>
            </a:graphic>
          </wp:anchor>
        </w:drawing>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30"/>
          <w:szCs w:val="30"/>
          <w:b w:val="1"/>
          <w:bCs w:val="1"/>
          <w:color w:val="auto"/>
        </w:rPr>
        <w:t>PRESS RELEASE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 IMMEDIATE RELEASE: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CONTACT:</w:t>
      </w:r>
    </w:p>
    <w:p>
      <w:pPr>
        <w:spacing w:after="0" w:line="211" w:lineRule="exact"/>
        <w:rPr>
          <w:sz w:val="20"/>
          <w:szCs w:val="20"/>
          <w:color w:val="auto"/>
        </w:rPr>
      </w:pPr>
    </w:p>
    <w:p>
      <w:pPr>
        <w:sectPr>
          <w:pgSz w:w="11900" w:h="16838" w:orient="portrait"/>
          <w:cols w:equalWidth="0" w:num="2">
            <w:col w:w="4920" w:space="720"/>
            <w:col w:w="5600"/>
          </w:cols>
          <w:pgMar w:left="320" w:top="1440" w:right="339" w:bottom="1440" w:gutter="0" w:footer="0" w:header="0"/>
          <w:type w:val="continuous"/>
        </w:sectPr>
      </w:pP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color w:val="auto"/>
        </w:rPr>
        <w:t>CompX International Inc.</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5430 LBJ Freeway, Suite 1700</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Dallas, Texas 75240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Janet G. Keckeisen</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Investor Relations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Tel. 972-233-1700</w:t>
      </w:r>
    </w:p>
    <w:p>
      <w:pPr>
        <w:spacing w:after="0" w:line="234" w:lineRule="exact"/>
        <w:rPr>
          <w:sz w:val="20"/>
          <w:szCs w:val="20"/>
          <w:color w:val="auto"/>
        </w:rPr>
      </w:pPr>
    </w:p>
    <w:p>
      <w:pPr>
        <w:sectPr>
          <w:pgSz w:w="11900" w:h="16838" w:orient="portrait"/>
          <w:cols w:equalWidth="0" w:num="2">
            <w:col w:w="4920" w:space="720"/>
            <w:col w:w="5600"/>
          </w:cols>
          <w:pgMar w:left="320" w:top="1440" w:right="339" w:bottom="1440" w:gutter="0" w:footer="0" w:header="0"/>
          <w:type w:val="continuous"/>
        </w:sect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COMPX REPORTS THIRD QUARTER 2021 RESULTS</w:t>
      </w:r>
    </w:p>
    <w:p>
      <w:pPr>
        <w:spacing w:after="0" w:line="254"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DALLAS, TEXAS … November 3, 2021 … CompX International Inc. (NYSE American: CIX) announced today sales of $34.5 million for the third quarter of 2021 compared to $28.4 million in the same period of 2020. Operating income was $5.1 million in the third quarter of 2021 compared to $2.1 million in the same period in 2020. Net income for the third quarter of 2021 was $4.1 million, or $0.33 per diluted share, compared to $1.8 million, or $0.15 per diluted share, in the third quarter of 2020.</w:t>
      </w:r>
    </w:p>
    <w:p>
      <w:pPr>
        <w:spacing w:after="0" w:line="3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For the nine months ended September 30, 2021, sales were $106.7 million compared to $84.5 million in the previous year. Operating income was $16.7 million for the first nine months of 2021 compared to $9.5 million for the same period in 2020. Net income for the nine months ended September 30, 2021 was $13.4 million or $1.08 per diluted share, compared to $8.2 million, or $0.66 per diluted share, for the same period in 2020.</w:t>
      </w:r>
    </w:p>
    <w:p>
      <w:pPr>
        <w:spacing w:after="0" w:line="212"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Third quarter 2021 net sales increased over the 2020 comparable period primarily due to higher Security Products sales across a variety of markets and to a lesser extent higher Marine Component sales primarily to the towboat market. Net sales increased for the first nine months of 2021 compared to the same period in 2020 primarily due to higher sales volumes at both of our segments, particularly in the second quarter of 2021, as many of our customers were temporarily closed or reduced production during the second quarter of 2020 due to government ordered closures or reduced demand resulting from the COVID-19 pandemic.</w:t>
      </w:r>
    </w:p>
    <w:p>
      <w:pPr>
        <w:spacing w:after="0" w:line="174"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Our operating income was negatively impacted by the COVID-19 pandemic in the second and third quarters of 2020, which significantly impacts operating income comparisons for the third quarter and the nine-month comparative periods. Operating income increased for both comparative periods due to the favorable effect of higher production and sales volumes, partially offset by higher production costs including increased raw materials, shipping and labor costs.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4" w:name="page5"/>
    <w:bookmarkEnd w:id="4"/>
    <w:p>
      <w:pPr>
        <w:jc w:val="both"/>
        <w:spacing w:after="0" w:line="250" w:lineRule="auto"/>
        <w:rPr>
          <w:sz w:val="20"/>
          <w:szCs w:val="20"/>
          <w:color w:val="auto"/>
        </w:rPr>
      </w:pPr>
      <w:r>
        <w:rPr>
          <w:rFonts w:ascii="Arial" w:cs="Arial" w:eastAsia="Arial" w:hAnsi="Arial"/>
          <w:sz w:val="22"/>
          <w:szCs w:val="22"/>
          <w:color w:val="auto"/>
        </w:rPr>
        <w:t>CompX is a leading manufacturer of security products and recreational marine components. It operates from three locations in the U.S. and employs approximately 540 people.</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39"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The statements in this press release relating to matters that are not historical facts are forward-looking statements that represent management’s belief and assumptions based on currently available information. Although we believe the expectations reflected in such forward-looking statements are reasonable, we cannot give any assurances that these expectations will be correct. Such statements, by their nature, involve substantial risks and uncertainties that could significantly impact expected results, and actual future results could differ materially from those predicted. While it is not possible to identify all factors, we continue to face many risks and uncertainties. The factors that could cause our actual future results to differ materially include, but are not limited to, the following:</w:t>
      </w:r>
    </w:p>
    <w:p>
      <w:pPr>
        <w:spacing w:after="0" w:line="200" w:lineRule="exact"/>
        <w:rPr>
          <w:sz w:val="20"/>
          <w:szCs w:val="20"/>
          <w:color w:val="auto"/>
        </w:rPr>
      </w:pPr>
    </w:p>
    <w:p>
      <w:pPr>
        <w:spacing w:after="0" w:line="234" w:lineRule="exact"/>
        <w:rPr>
          <w:sz w:val="20"/>
          <w:szCs w:val="20"/>
          <w:color w:val="auto"/>
        </w:rPr>
      </w:pPr>
    </w:p>
    <w:p>
      <w:pPr>
        <w:ind w:left="880" w:hanging="431"/>
        <w:spacing w:after="0"/>
        <w:tabs>
          <w:tab w:leader="none" w:pos="880" w:val="left"/>
        </w:tabs>
        <w:numPr>
          <w:ilvl w:val="0"/>
          <w:numId w:val="1"/>
        </w:numPr>
        <w:rPr>
          <w:rFonts w:ascii="Arial" w:cs="Arial" w:eastAsia="Arial" w:hAnsi="Arial"/>
          <w:sz w:val="22"/>
          <w:szCs w:val="22"/>
          <w:color w:val="auto"/>
        </w:rPr>
      </w:pPr>
      <w:r>
        <w:rPr>
          <w:rFonts w:ascii="Arial" w:cs="Arial" w:eastAsia="Arial" w:hAnsi="Arial"/>
          <w:sz w:val="22"/>
          <w:szCs w:val="22"/>
          <w:color w:val="auto"/>
        </w:rPr>
        <w:t>Future demand for our products,</w:t>
      </w:r>
    </w:p>
    <w:p>
      <w:pPr>
        <w:spacing w:after="0" w:line="206" w:lineRule="exact"/>
        <w:rPr>
          <w:rFonts w:ascii="Arial" w:cs="Arial" w:eastAsia="Arial" w:hAnsi="Arial"/>
          <w:sz w:val="22"/>
          <w:szCs w:val="22"/>
          <w:color w:val="auto"/>
        </w:rPr>
      </w:pPr>
    </w:p>
    <w:p>
      <w:pPr>
        <w:ind w:left="880" w:hanging="431"/>
        <w:spacing w:after="0" w:line="274" w:lineRule="auto"/>
        <w:tabs>
          <w:tab w:leader="none" w:pos="880" w:val="left"/>
        </w:tabs>
        <w:numPr>
          <w:ilvl w:val="0"/>
          <w:numId w:val="1"/>
        </w:numPr>
        <w:rPr>
          <w:rFonts w:ascii="Arial" w:cs="Arial" w:eastAsia="Arial" w:hAnsi="Arial"/>
          <w:sz w:val="21"/>
          <w:szCs w:val="21"/>
          <w:color w:val="auto"/>
        </w:rPr>
      </w:pPr>
      <w:r>
        <w:rPr>
          <w:rFonts w:ascii="Arial" w:cs="Arial" w:eastAsia="Arial" w:hAnsi="Arial"/>
          <w:sz w:val="21"/>
          <w:szCs w:val="21"/>
          <w:color w:val="auto"/>
        </w:rPr>
        <w:t>Changes in our raw material and other operating costs (such as zinc, brass, aluminum, steel and energy costs) and our ability to pass those costs on to our customers or offset them with reductions in other operating costs,</w:t>
      </w:r>
    </w:p>
    <w:p>
      <w:pPr>
        <w:spacing w:after="0" w:line="150" w:lineRule="exact"/>
        <w:rPr>
          <w:rFonts w:ascii="Arial" w:cs="Arial" w:eastAsia="Arial" w:hAnsi="Arial"/>
          <w:sz w:val="21"/>
          <w:szCs w:val="21"/>
          <w:color w:val="auto"/>
        </w:rPr>
      </w:pPr>
    </w:p>
    <w:p>
      <w:pPr>
        <w:ind w:left="880" w:hanging="431"/>
        <w:spacing w:after="0"/>
        <w:tabs>
          <w:tab w:leader="none" w:pos="880" w:val="left"/>
        </w:tabs>
        <w:numPr>
          <w:ilvl w:val="0"/>
          <w:numId w:val="1"/>
        </w:numPr>
        <w:rPr>
          <w:rFonts w:ascii="Arial" w:cs="Arial" w:eastAsia="Arial" w:hAnsi="Arial"/>
          <w:sz w:val="22"/>
          <w:szCs w:val="22"/>
          <w:color w:val="auto"/>
        </w:rPr>
      </w:pPr>
      <w:r>
        <w:rPr>
          <w:rFonts w:ascii="Arial" w:cs="Arial" w:eastAsia="Arial" w:hAnsi="Arial"/>
          <w:sz w:val="22"/>
          <w:szCs w:val="22"/>
          <w:color w:val="auto"/>
        </w:rPr>
        <w:t>Price and product competition from low-cost manufacturing sources (such as China),</w:t>
      </w:r>
    </w:p>
    <w:p>
      <w:pPr>
        <w:spacing w:after="0" w:line="206" w:lineRule="exact"/>
        <w:rPr>
          <w:rFonts w:ascii="Arial" w:cs="Arial" w:eastAsia="Arial" w:hAnsi="Arial"/>
          <w:sz w:val="22"/>
          <w:szCs w:val="22"/>
          <w:color w:val="auto"/>
        </w:rPr>
      </w:pPr>
    </w:p>
    <w:p>
      <w:pPr>
        <w:ind w:left="880" w:hanging="431"/>
        <w:spacing w:after="0"/>
        <w:tabs>
          <w:tab w:leader="none" w:pos="880" w:val="left"/>
        </w:tabs>
        <w:numPr>
          <w:ilvl w:val="0"/>
          <w:numId w:val="1"/>
        </w:numPr>
        <w:rPr>
          <w:rFonts w:ascii="Arial" w:cs="Arial" w:eastAsia="Arial" w:hAnsi="Arial"/>
          <w:sz w:val="22"/>
          <w:szCs w:val="22"/>
          <w:color w:val="auto"/>
        </w:rPr>
      </w:pPr>
      <w:r>
        <w:rPr>
          <w:rFonts w:ascii="Arial" w:cs="Arial" w:eastAsia="Arial" w:hAnsi="Arial"/>
          <w:sz w:val="22"/>
          <w:szCs w:val="22"/>
          <w:color w:val="auto"/>
        </w:rPr>
        <w:t>The impact of pricing and production decisions,</w:t>
      </w:r>
    </w:p>
    <w:p>
      <w:pPr>
        <w:spacing w:after="0" w:line="206" w:lineRule="exact"/>
        <w:rPr>
          <w:rFonts w:ascii="Arial" w:cs="Arial" w:eastAsia="Arial" w:hAnsi="Arial"/>
          <w:sz w:val="22"/>
          <w:szCs w:val="22"/>
          <w:color w:val="auto"/>
        </w:rPr>
      </w:pPr>
    </w:p>
    <w:p>
      <w:pPr>
        <w:ind w:left="880" w:hanging="431"/>
        <w:spacing w:after="0"/>
        <w:tabs>
          <w:tab w:leader="none" w:pos="880" w:val="left"/>
        </w:tabs>
        <w:numPr>
          <w:ilvl w:val="0"/>
          <w:numId w:val="1"/>
        </w:numPr>
        <w:rPr>
          <w:rFonts w:ascii="Arial" w:cs="Arial" w:eastAsia="Arial" w:hAnsi="Arial"/>
          <w:sz w:val="22"/>
          <w:szCs w:val="22"/>
          <w:color w:val="auto"/>
        </w:rPr>
      </w:pPr>
      <w:r>
        <w:rPr>
          <w:rFonts w:ascii="Arial" w:cs="Arial" w:eastAsia="Arial" w:hAnsi="Arial"/>
          <w:sz w:val="22"/>
          <w:szCs w:val="22"/>
          <w:color w:val="auto"/>
        </w:rPr>
        <w:t>Customer and competitor strategies including substitute products,</w:t>
      </w:r>
    </w:p>
    <w:p>
      <w:pPr>
        <w:spacing w:after="0" w:line="206" w:lineRule="exact"/>
        <w:rPr>
          <w:rFonts w:ascii="Arial" w:cs="Arial" w:eastAsia="Arial" w:hAnsi="Arial"/>
          <w:sz w:val="22"/>
          <w:szCs w:val="22"/>
          <w:color w:val="auto"/>
        </w:rPr>
      </w:pPr>
    </w:p>
    <w:p>
      <w:pPr>
        <w:ind w:left="880" w:hanging="431"/>
        <w:spacing w:after="0"/>
        <w:tabs>
          <w:tab w:leader="none" w:pos="880" w:val="left"/>
        </w:tabs>
        <w:numPr>
          <w:ilvl w:val="0"/>
          <w:numId w:val="1"/>
        </w:numPr>
        <w:rPr>
          <w:rFonts w:ascii="Arial" w:cs="Arial" w:eastAsia="Arial" w:hAnsi="Arial"/>
          <w:sz w:val="22"/>
          <w:szCs w:val="22"/>
          <w:color w:val="auto"/>
        </w:rPr>
      </w:pPr>
      <w:r>
        <w:rPr>
          <w:rFonts w:ascii="Arial" w:cs="Arial" w:eastAsia="Arial" w:hAnsi="Arial"/>
          <w:sz w:val="22"/>
          <w:szCs w:val="22"/>
          <w:color w:val="auto"/>
        </w:rPr>
        <w:t>Uncertainties associated with the development of new products and product features,</w:t>
      </w:r>
    </w:p>
    <w:p>
      <w:pPr>
        <w:spacing w:after="0" w:line="206" w:lineRule="exact"/>
        <w:rPr>
          <w:rFonts w:ascii="Arial" w:cs="Arial" w:eastAsia="Arial" w:hAnsi="Arial"/>
          <w:sz w:val="22"/>
          <w:szCs w:val="22"/>
          <w:color w:val="auto"/>
        </w:rPr>
      </w:pPr>
    </w:p>
    <w:p>
      <w:pPr>
        <w:ind w:left="880" w:hanging="431"/>
        <w:spacing w:after="0"/>
        <w:tabs>
          <w:tab w:leader="none" w:pos="880" w:val="left"/>
        </w:tabs>
        <w:numPr>
          <w:ilvl w:val="0"/>
          <w:numId w:val="1"/>
        </w:numPr>
        <w:rPr>
          <w:rFonts w:ascii="Arial" w:cs="Arial" w:eastAsia="Arial" w:hAnsi="Arial"/>
          <w:sz w:val="22"/>
          <w:szCs w:val="22"/>
          <w:color w:val="auto"/>
        </w:rPr>
      </w:pPr>
      <w:r>
        <w:rPr>
          <w:rFonts w:ascii="Arial" w:cs="Arial" w:eastAsia="Arial" w:hAnsi="Arial"/>
          <w:sz w:val="22"/>
          <w:szCs w:val="22"/>
          <w:color w:val="auto"/>
        </w:rPr>
        <w:t>Future litigation,</w:t>
      </w:r>
    </w:p>
    <w:p>
      <w:pPr>
        <w:spacing w:after="0" w:line="206" w:lineRule="exact"/>
        <w:rPr>
          <w:rFonts w:ascii="Arial" w:cs="Arial" w:eastAsia="Arial" w:hAnsi="Arial"/>
          <w:sz w:val="22"/>
          <w:szCs w:val="22"/>
          <w:color w:val="auto"/>
        </w:rPr>
      </w:pPr>
    </w:p>
    <w:p>
      <w:pPr>
        <w:ind w:left="880" w:hanging="431"/>
        <w:spacing w:after="0"/>
        <w:tabs>
          <w:tab w:leader="none" w:pos="880" w:val="left"/>
        </w:tabs>
        <w:numPr>
          <w:ilvl w:val="0"/>
          <w:numId w:val="1"/>
        </w:numPr>
        <w:rPr>
          <w:rFonts w:ascii="Arial" w:cs="Arial" w:eastAsia="Arial" w:hAnsi="Arial"/>
          <w:sz w:val="22"/>
          <w:szCs w:val="22"/>
          <w:color w:val="auto"/>
        </w:rPr>
      </w:pPr>
      <w:r>
        <w:rPr>
          <w:rFonts w:ascii="Arial" w:cs="Arial" w:eastAsia="Arial" w:hAnsi="Arial"/>
          <w:sz w:val="22"/>
          <w:szCs w:val="22"/>
          <w:color w:val="auto"/>
        </w:rPr>
        <w:t>Our ability to protect or defend our intellectual property rights,</w:t>
      </w:r>
    </w:p>
    <w:p>
      <w:pPr>
        <w:spacing w:after="0" w:line="206" w:lineRule="exact"/>
        <w:rPr>
          <w:rFonts w:ascii="Arial" w:cs="Arial" w:eastAsia="Arial" w:hAnsi="Arial"/>
          <w:sz w:val="22"/>
          <w:szCs w:val="22"/>
          <w:color w:val="auto"/>
        </w:rPr>
      </w:pPr>
    </w:p>
    <w:p>
      <w:pPr>
        <w:ind w:left="880" w:hanging="431"/>
        <w:spacing w:after="0"/>
        <w:tabs>
          <w:tab w:leader="none" w:pos="880" w:val="left"/>
        </w:tabs>
        <w:numPr>
          <w:ilvl w:val="0"/>
          <w:numId w:val="1"/>
        </w:numPr>
        <w:rPr>
          <w:rFonts w:ascii="Arial" w:cs="Arial" w:eastAsia="Arial" w:hAnsi="Arial"/>
          <w:sz w:val="22"/>
          <w:szCs w:val="22"/>
          <w:color w:val="auto"/>
        </w:rPr>
      </w:pPr>
      <w:r>
        <w:rPr>
          <w:rFonts w:ascii="Arial" w:cs="Arial" w:eastAsia="Arial" w:hAnsi="Arial"/>
          <w:sz w:val="22"/>
          <w:szCs w:val="22"/>
          <w:color w:val="auto"/>
        </w:rPr>
        <w:t>Potential difficulties in integrating future acquisitions,</w:t>
      </w:r>
    </w:p>
    <w:p>
      <w:pPr>
        <w:spacing w:after="0" w:line="206" w:lineRule="exact"/>
        <w:rPr>
          <w:rFonts w:ascii="Arial" w:cs="Arial" w:eastAsia="Arial" w:hAnsi="Arial"/>
          <w:sz w:val="22"/>
          <w:szCs w:val="22"/>
          <w:color w:val="auto"/>
        </w:rPr>
      </w:pPr>
    </w:p>
    <w:p>
      <w:pPr>
        <w:ind w:left="880" w:hanging="431"/>
        <w:spacing w:after="0"/>
        <w:tabs>
          <w:tab w:leader="none" w:pos="880" w:val="left"/>
        </w:tabs>
        <w:numPr>
          <w:ilvl w:val="0"/>
          <w:numId w:val="1"/>
        </w:numPr>
        <w:rPr>
          <w:rFonts w:ascii="Arial" w:cs="Arial" w:eastAsia="Arial" w:hAnsi="Arial"/>
          <w:sz w:val="22"/>
          <w:szCs w:val="22"/>
          <w:color w:val="auto"/>
        </w:rPr>
      </w:pPr>
      <w:r>
        <w:rPr>
          <w:rFonts w:ascii="Arial" w:cs="Arial" w:eastAsia="Arial" w:hAnsi="Arial"/>
          <w:sz w:val="22"/>
          <w:szCs w:val="22"/>
          <w:color w:val="auto"/>
        </w:rPr>
        <w:t>Decisions to sell operating assets other than in the ordinary course of business,</w:t>
      </w:r>
    </w:p>
    <w:p>
      <w:pPr>
        <w:spacing w:after="0" w:line="206" w:lineRule="exact"/>
        <w:rPr>
          <w:rFonts w:ascii="Arial" w:cs="Arial" w:eastAsia="Arial" w:hAnsi="Arial"/>
          <w:sz w:val="22"/>
          <w:szCs w:val="22"/>
          <w:color w:val="auto"/>
        </w:rPr>
      </w:pPr>
    </w:p>
    <w:p>
      <w:pPr>
        <w:ind w:left="880" w:hanging="431"/>
        <w:spacing w:after="0"/>
        <w:tabs>
          <w:tab w:leader="none" w:pos="880" w:val="left"/>
        </w:tabs>
        <w:numPr>
          <w:ilvl w:val="0"/>
          <w:numId w:val="1"/>
        </w:numPr>
        <w:rPr>
          <w:rFonts w:ascii="Arial" w:cs="Arial" w:eastAsia="Arial" w:hAnsi="Arial"/>
          <w:sz w:val="19"/>
          <w:szCs w:val="19"/>
          <w:color w:val="auto"/>
        </w:rPr>
      </w:pPr>
      <w:r>
        <w:rPr>
          <w:rFonts w:ascii="Arial" w:cs="Arial" w:eastAsia="Arial" w:hAnsi="Arial"/>
          <w:sz w:val="19"/>
          <w:szCs w:val="19"/>
          <w:color w:val="auto"/>
        </w:rPr>
        <w:t>Environmental matters (such as those requiring emission and discharge standards for existing and new facilities),</w:t>
      </w:r>
    </w:p>
    <w:p>
      <w:pPr>
        <w:spacing w:after="0" w:line="240" w:lineRule="exact"/>
        <w:rPr>
          <w:rFonts w:ascii="Arial" w:cs="Arial" w:eastAsia="Arial" w:hAnsi="Arial"/>
          <w:sz w:val="19"/>
          <w:szCs w:val="19"/>
          <w:color w:val="auto"/>
        </w:rPr>
      </w:pPr>
    </w:p>
    <w:p>
      <w:pPr>
        <w:ind w:left="880" w:hanging="431"/>
        <w:spacing w:after="0"/>
        <w:tabs>
          <w:tab w:leader="none" w:pos="880" w:val="left"/>
        </w:tabs>
        <w:numPr>
          <w:ilvl w:val="0"/>
          <w:numId w:val="1"/>
        </w:numPr>
        <w:rPr>
          <w:rFonts w:ascii="Arial" w:cs="Arial" w:eastAsia="Arial" w:hAnsi="Arial"/>
          <w:sz w:val="19"/>
          <w:szCs w:val="19"/>
          <w:color w:val="auto"/>
        </w:rPr>
      </w:pPr>
      <w:r>
        <w:rPr>
          <w:rFonts w:ascii="Arial" w:cs="Arial" w:eastAsia="Arial" w:hAnsi="Arial"/>
          <w:sz w:val="19"/>
          <w:szCs w:val="19"/>
          <w:color w:val="auto"/>
        </w:rPr>
        <w:t>The ultimate outcome of income tax audits, tax settlement initiatives or other tax matters, including future tax reform,</w:t>
      </w:r>
    </w:p>
    <w:p>
      <w:pPr>
        <w:spacing w:after="0" w:line="240" w:lineRule="exact"/>
        <w:rPr>
          <w:rFonts w:ascii="Arial" w:cs="Arial" w:eastAsia="Arial" w:hAnsi="Arial"/>
          <w:sz w:val="19"/>
          <w:szCs w:val="19"/>
          <w:color w:val="auto"/>
        </w:rPr>
      </w:pPr>
    </w:p>
    <w:p>
      <w:pPr>
        <w:ind w:left="880" w:hanging="431"/>
        <w:spacing w:after="0"/>
        <w:tabs>
          <w:tab w:leader="none" w:pos="880" w:val="left"/>
        </w:tabs>
        <w:numPr>
          <w:ilvl w:val="0"/>
          <w:numId w:val="1"/>
        </w:numPr>
        <w:rPr>
          <w:rFonts w:ascii="Arial" w:cs="Arial" w:eastAsia="Arial" w:hAnsi="Arial"/>
          <w:sz w:val="19"/>
          <w:szCs w:val="19"/>
          <w:color w:val="auto"/>
        </w:rPr>
      </w:pPr>
      <w:r>
        <w:rPr>
          <w:rFonts w:ascii="Arial" w:cs="Arial" w:eastAsia="Arial" w:hAnsi="Arial"/>
          <w:sz w:val="19"/>
          <w:szCs w:val="19"/>
          <w:color w:val="auto"/>
        </w:rPr>
        <w:t>The impact of current or future government regulations (including employee healthcare benefit related regulations),</w:t>
      </w:r>
    </w:p>
    <w:p>
      <w:pPr>
        <w:spacing w:after="0" w:line="240" w:lineRule="exact"/>
        <w:rPr>
          <w:rFonts w:ascii="Arial" w:cs="Arial" w:eastAsia="Arial" w:hAnsi="Arial"/>
          <w:sz w:val="19"/>
          <w:szCs w:val="19"/>
          <w:color w:val="auto"/>
        </w:rPr>
      </w:pPr>
    </w:p>
    <w:p>
      <w:pPr>
        <w:jc w:val="both"/>
        <w:ind w:left="880" w:hanging="431"/>
        <w:spacing w:after="0" w:line="238" w:lineRule="auto"/>
        <w:tabs>
          <w:tab w:leader="none" w:pos="880" w:val="left"/>
        </w:tabs>
        <w:numPr>
          <w:ilvl w:val="0"/>
          <w:numId w:val="1"/>
        </w:numPr>
        <w:rPr>
          <w:rFonts w:ascii="Arial" w:cs="Arial" w:eastAsia="Arial" w:hAnsi="Arial"/>
          <w:sz w:val="22"/>
          <w:szCs w:val="22"/>
          <w:color w:val="auto"/>
        </w:rPr>
      </w:pPr>
      <w:r>
        <w:rPr>
          <w:rFonts w:ascii="Arial" w:cs="Arial" w:eastAsia="Arial" w:hAnsi="Arial"/>
          <w:sz w:val="22"/>
          <w:szCs w:val="22"/>
          <w:color w:val="auto"/>
        </w:rPr>
        <w:t>General global economic and political conditions that introduce instability into our supply chain, impact our customers’ level of demand or our customers’ perception regarding demand or impair our ability to operate our facilities (including changes in the level of gross domestic product in various regions of the world, natural disasters, terrorist acts, global conflicts and public health crises such as COVID-19),</w:t>
      </w:r>
    </w:p>
    <w:p>
      <w:pPr>
        <w:spacing w:after="0" w:line="184" w:lineRule="exact"/>
        <w:rPr>
          <w:rFonts w:ascii="Arial" w:cs="Arial" w:eastAsia="Arial" w:hAnsi="Arial"/>
          <w:sz w:val="22"/>
          <w:szCs w:val="22"/>
          <w:color w:val="auto"/>
        </w:rPr>
      </w:pPr>
    </w:p>
    <w:p>
      <w:pPr>
        <w:jc w:val="both"/>
        <w:ind w:left="880" w:hanging="431"/>
        <w:spacing w:after="0"/>
        <w:tabs>
          <w:tab w:leader="none" w:pos="880" w:val="left"/>
        </w:tabs>
        <w:numPr>
          <w:ilvl w:val="0"/>
          <w:numId w:val="1"/>
        </w:numPr>
        <w:rPr>
          <w:rFonts w:ascii="Arial" w:cs="Arial" w:eastAsia="Arial" w:hAnsi="Arial"/>
          <w:sz w:val="22"/>
          <w:szCs w:val="22"/>
          <w:color w:val="auto"/>
        </w:rPr>
      </w:pPr>
      <w:r>
        <w:rPr>
          <w:rFonts w:ascii="Arial" w:cs="Arial" w:eastAsia="Arial" w:hAnsi="Arial"/>
          <w:sz w:val="22"/>
          <w:szCs w:val="22"/>
          <w:color w:val="auto"/>
        </w:rPr>
        <w:t>Operating interruptions (including, but not limited to labor disputes, hazardous chemical leaks, natural disasters, fires, explosions, unscheduled or unplanned downtime, transportation interruptions, cyber-attacks and public health crises such as COVID-19); and</w:t>
      </w:r>
    </w:p>
    <w:p>
      <w:pPr>
        <w:spacing w:after="0" w:line="186" w:lineRule="exact"/>
        <w:rPr>
          <w:rFonts w:ascii="Arial" w:cs="Arial" w:eastAsia="Arial" w:hAnsi="Arial"/>
          <w:sz w:val="22"/>
          <w:szCs w:val="22"/>
          <w:color w:val="auto"/>
        </w:rPr>
      </w:pPr>
    </w:p>
    <w:p>
      <w:pPr>
        <w:ind w:left="880" w:hanging="431"/>
        <w:spacing w:after="0" w:line="250" w:lineRule="auto"/>
        <w:tabs>
          <w:tab w:leader="none" w:pos="880" w:val="left"/>
        </w:tabs>
        <w:numPr>
          <w:ilvl w:val="0"/>
          <w:numId w:val="1"/>
        </w:numPr>
        <w:rPr>
          <w:rFonts w:ascii="Arial" w:cs="Arial" w:eastAsia="Arial" w:hAnsi="Arial"/>
          <w:sz w:val="22"/>
          <w:szCs w:val="22"/>
          <w:color w:val="auto"/>
        </w:rPr>
      </w:pPr>
      <w:r>
        <w:rPr>
          <w:rFonts w:ascii="Arial" w:cs="Arial" w:eastAsia="Arial" w:hAnsi="Arial"/>
          <w:sz w:val="22"/>
          <w:szCs w:val="22"/>
          <w:color w:val="auto"/>
        </w:rPr>
        <w:t>Possible disruption of our business or increases in the cost of doing business resulting from terrorist activities or global conflicts.</w:t>
      </w:r>
    </w:p>
    <w:p>
      <w:pPr>
        <w:spacing w:after="0" w:line="380" w:lineRule="exact"/>
        <w:rPr>
          <w:rFonts w:ascii="Arial" w:cs="Arial" w:eastAsia="Arial" w:hAnsi="Arial"/>
          <w:sz w:val="22"/>
          <w:szCs w:val="22"/>
          <w:color w:val="auto"/>
        </w:rPr>
      </w:pPr>
    </w:p>
    <w:p>
      <w:pPr>
        <w:ind w:left="5580" w:hanging="76"/>
        <w:spacing w:after="0"/>
        <w:tabs>
          <w:tab w:leader="none" w:pos="5580" w:val="left"/>
        </w:tabs>
        <w:numPr>
          <w:ilvl w:val="1"/>
          <w:numId w:val="1"/>
        </w:numPr>
        <w:rPr>
          <w:rFonts w:ascii="Arial" w:cs="Arial" w:eastAsia="Arial" w:hAnsi="Arial"/>
          <w:sz w:val="14"/>
          <w:szCs w:val="14"/>
          <w:color w:val="auto"/>
        </w:rPr>
      </w:pPr>
      <w:r>
        <w:rPr>
          <w:rFonts w:ascii="Arial" w:cs="Arial" w:eastAsia="Arial" w:hAnsi="Arial"/>
          <w:sz w:val="14"/>
          <w:szCs w:val="14"/>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5" w:name="page6"/>
    <w:bookmarkEnd w:id="5"/>
    <w:p>
      <w:pPr>
        <w:jc w:val="both"/>
        <w:spacing w:after="0" w:line="238" w:lineRule="auto"/>
        <w:rPr>
          <w:sz w:val="20"/>
          <w:szCs w:val="20"/>
          <w:color w:val="auto"/>
        </w:rPr>
      </w:pPr>
      <w:r>
        <w:rPr>
          <w:rFonts w:ascii="Arial" w:cs="Arial" w:eastAsia="Arial" w:hAnsi="Arial"/>
          <w:sz w:val="22"/>
          <w:szCs w:val="22"/>
          <w:color w:val="auto"/>
        </w:rPr>
        <w:t>Should one or more of these risks materialize (or the consequences of such development worsen), or should the underlying assumptions prove incorrect, actual results could differ materially from those currently forecasted or expected. CompX disclaims any intention or obligation to update or revise any forward-looking statement whether as a result of changes in information, future events or otherwise.</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 * * *</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25"/>
          <w:szCs w:val="25"/>
          <w:b w:val="1"/>
          <w:bCs w:val="1"/>
          <w:color w:val="auto"/>
        </w:rPr>
        <w:t>COMPX INTERNATIONAL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SUMMARY OF CONSOLIDATED OPERATIONS</w:t>
      </w:r>
    </w:p>
    <w:p>
      <w:pPr>
        <w:jc w:val="center"/>
        <w:spacing w:after="0" w:line="230" w:lineRule="auto"/>
        <w:rPr>
          <w:sz w:val="20"/>
          <w:szCs w:val="20"/>
          <w:color w:val="auto"/>
        </w:rPr>
      </w:pPr>
      <w:r>
        <w:rPr>
          <w:rFonts w:ascii="Arial" w:cs="Arial" w:eastAsia="Arial" w:hAnsi="Arial"/>
          <w:sz w:val="22"/>
          <w:szCs w:val="22"/>
          <w:b w:val="1"/>
          <w:bCs w:val="1"/>
          <w:color w:val="auto"/>
        </w:rPr>
        <w:t>(In millions, except per share amounts)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40" w:type="dxa"/>
            <w:vAlign w:val="bottom"/>
          </w:tcPr>
          <w:p>
            <w:pPr>
              <w:spacing w:after="0"/>
              <w:rPr>
                <w:sz w:val="18"/>
                <w:szCs w:val="18"/>
                <w:color w:val="auto"/>
              </w:rPr>
            </w:pPr>
          </w:p>
        </w:tc>
        <w:tc>
          <w:tcPr>
            <w:tcW w:w="2320" w:type="dxa"/>
            <w:vAlign w:val="bottom"/>
            <w:gridSpan w:val="5"/>
          </w:tcPr>
          <w:p>
            <w:pPr>
              <w:ind w:left="560"/>
              <w:spacing w:after="0"/>
              <w:rPr>
                <w:sz w:val="20"/>
                <w:szCs w:val="20"/>
                <w:color w:val="auto"/>
              </w:rPr>
            </w:pPr>
            <w:r>
              <w:rPr>
                <w:rFonts w:ascii="Arial" w:cs="Arial" w:eastAsia="Arial" w:hAnsi="Arial"/>
                <w:sz w:val="18"/>
                <w:szCs w:val="18"/>
                <w:b w:val="1"/>
                <w:bCs w:val="1"/>
                <w:color w:val="auto"/>
                <w:w w:val="98"/>
              </w:rPr>
              <w:t>Three months ended</w:t>
            </w: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0" w:type="dxa"/>
            <w:vAlign w:val="bottom"/>
            <w:gridSpan w:val="5"/>
          </w:tcPr>
          <w:p>
            <w:pPr>
              <w:jc w:val="center"/>
              <w:ind w:left="384"/>
              <w:spacing w:after="0"/>
              <w:rPr>
                <w:sz w:val="20"/>
                <w:szCs w:val="20"/>
                <w:color w:val="auto"/>
              </w:rPr>
            </w:pPr>
            <w:r>
              <w:rPr>
                <w:rFonts w:ascii="Arial" w:cs="Arial" w:eastAsia="Arial" w:hAnsi="Arial"/>
                <w:sz w:val="18"/>
                <w:szCs w:val="18"/>
                <w:b w:val="1"/>
                <w:bCs w:val="1"/>
                <w:color w:val="auto"/>
                <w:w w:val="88"/>
              </w:rPr>
              <w:t>Nine months ended</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34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w w:val="89"/>
              </w:rPr>
              <w:t>September 30,</w:t>
            </w:r>
          </w:p>
        </w:tc>
        <w:tc>
          <w:tcPr>
            <w:tcW w:w="4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b w:val="1"/>
                <w:bCs w:val="1"/>
                <w:color w:val="auto"/>
                <w:w w:val="89"/>
              </w:rPr>
              <w:t>September 30,</w:t>
            </w:r>
          </w:p>
        </w:tc>
        <w:tc>
          <w:tcPr>
            <w:tcW w:w="3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340" w:type="dxa"/>
            <w:vAlign w:val="bottom"/>
          </w:tcPr>
          <w:p>
            <w:pPr>
              <w:spacing w:after="0"/>
              <w:rPr>
                <w:sz w:val="19"/>
                <w:szCs w:val="19"/>
                <w:color w:val="auto"/>
              </w:rPr>
            </w:pPr>
          </w:p>
        </w:tc>
        <w:tc>
          <w:tcPr>
            <w:tcW w:w="78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w w:val="89"/>
              </w:rPr>
              <w:t>2020</w:t>
            </w:r>
          </w:p>
        </w:tc>
        <w:tc>
          <w:tcPr>
            <w:tcW w:w="40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2021</w:t>
            </w:r>
          </w:p>
        </w:tc>
        <w:tc>
          <w:tcPr>
            <w:tcW w:w="38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Borders>
              <w:bottom w:val="single" w:sz="8" w:color="auto"/>
            </w:tcBorders>
          </w:tcPr>
          <w:p>
            <w:pPr>
              <w:jc w:val="center"/>
              <w:ind w:left="284"/>
              <w:spacing w:after="0"/>
              <w:rPr>
                <w:sz w:val="20"/>
                <w:szCs w:val="20"/>
                <w:color w:val="auto"/>
              </w:rPr>
            </w:pPr>
            <w:r>
              <w:rPr>
                <w:rFonts w:ascii="Arial" w:cs="Arial" w:eastAsia="Arial" w:hAnsi="Arial"/>
                <w:sz w:val="18"/>
                <w:szCs w:val="18"/>
                <w:b w:val="1"/>
                <w:bCs w:val="1"/>
                <w:color w:val="auto"/>
                <w:w w:val="89"/>
              </w:rPr>
              <w:t>2020</w:t>
            </w:r>
          </w:p>
        </w:tc>
        <w:tc>
          <w:tcPr>
            <w:tcW w:w="38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ind w:right="292"/>
              <w:spacing w:after="0"/>
              <w:rPr>
                <w:sz w:val="20"/>
                <w:szCs w:val="20"/>
                <w:color w:val="auto"/>
              </w:rPr>
            </w:pPr>
            <w:r>
              <w:rPr>
                <w:rFonts w:ascii="Arial" w:cs="Arial" w:eastAsia="Arial" w:hAnsi="Arial"/>
                <w:sz w:val="18"/>
                <w:szCs w:val="18"/>
                <w:b w:val="1"/>
                <w:bCs w:val="1"/>
                <w:color w:val="auto"/>
                <w:w w:val="89"/>
              </w:rPr>
              <w:t>2021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5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gridSpan w:val="2"/>
          </w:tcPr>
          <w:p>
            <w:pPr>
              <w:spacing w:after="0"/>
              <w:rPr>
                <w:sz w:val="24"/>
                <w:szCs w:val="24"/>
                <w:color w:val="auto"/>
              </w:rPr>
            </w:pPr>
          </w:p>
        </w:tc>
        <w:tc>
          <w:tcPr>
            <w:tcW w:w="740" w:type="dxa"/>
            <w:vAlign w:val="bottom"/>
            <w:gridSpan w:val="2"/>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3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Net sales</w:t>
            </w:r>
          </w:p>
        </w:tc>
        <w:tc>
          <w:tcPr>
            <w:tcW w:w="780" w:type="dxa"/>
            <w:vAlign w:val="bottom"/>
            <w:shd w:val="clear" w:color="auto" w:fill="CCEEFF"/>
          </w:tcPr>
          <w:p>
            <w:pPr>
              <w:ind w:left="580"/>
              <w:spacing w:after="0" w:line="243" w:lineRule="exact"/>
              <w:rPr>
                <w:sz w:val="20"/>
                <w:szCs w:val="20"/>
                <w:color w:val="auto"/>
              </w:rPr>
            </w:pPr>
            <w:r>
              <w:rPr>
                <w:rFonts w:ascii="Arial" w:cs="Arial" w:eastAsia="Arial" w:hAnsi="Arial"/>
                <w:sz w:val="22"/>
                <w:szCs w:val="22"/>
                <w:color w:val="auto"/>
              </w:rPr>
              <w:t>$</w:t>
            </w:r>
          </w:p>
        </w:tc>
        <w:tc>
          <w:tcPr>
            <w:tcW w:w="40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w w:val="88"/>
              </w:rPr>
              <w:t>28.4</w:t>
            </w:r>
          </w:p>
        </w:tc>
        <w:tc>
          <w:tcPr>
            <w:tcW w:w="3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40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b w:val="1"/>
                <w:bCs w:val="1"/>
                <w:color w:val="auto"/>
              </w:rPr>
              <w:t>$</w:t>
            </w:r>
          </w:p>
        </w:tc>
        <w:tc>
          <w:tcPr>
            <w:tcW w:w="38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b w:val="1"/>
                <w:bCs w:val="1"/>
                <w:color w:val="auto"/>
                <w:w w:val="83"/>
              </w:rPr>
              <w:t>34.5</w:t>
            </w:r>
          </w:p>
        </w:tc>
        <w:tc>
          <w:tcPr>
            <w:tcW w:w="1300" w:type="dxa"/>
            <w:vAlign w:val="bottom"/>
            <w:gridSpan w:val="2"/>
            <w:shd w:val="clear" w:color="auto" w:fill="CCEEFF"/>
          </w:tcPr>
          <w:p>
            <w:pPr>
              <w:jc w:val="center"/>
              <w:ind w:left="772"/>
              <w:spacing w:after="0" w:line="243" w:lineRule="exact"/>
              <w:rPr>
                <w:sz w:val="20"/>
                <w:szCs w:val="20"/>
                <w:color w:val="auto"/>
              </w:rPr>
            </w:pPr>
            <w:r>
              <w:rPr>
                <w:rFonts w:ascii="Arial" w:cs="Arial" w:eastAsia="Arial" w:hAnsi="Arial"/>
                <w:sz w:val="22"/>
                <w:szCs w:val="22"/>
                <w:color w:val="auto"/>
                <w:w w:val="81"/>
              </w:rPr>
              <w:t>$</w:t>
            </w:r>
          </w:p>
        </w:tc>
        <w:tc>
          <w:tcPr>
            <w:tcW w:w="740" w:type="dxa"/>
            <w:vAlign w:val="bottom"/>
            <w:gridSpan w:val="2"/>
            <w:shd w:val="clear" w:color="auto" w:fill="CCEEFF"/>
          </w:tcPr>
          <w:p>
            <w:pPr>
              <w:jc w:val="right"/>
              <w:ind w:right="360"/>
              <w:spacing w:after="0" w:line="243" w:lineRule="exact"/>
              <w:rPr>
                <w:sz w:val="20"/>
                <w:szCs w:val="20"/>
                <w:color w:val="auto"/>
              </w:rPr>
            </w:pPr>
            <w:r>
              <w:rPr>
                <w:rFonts w:ascii="Arial" w:cs="Arial" w:eastAsia="Arial" w:hAnsi="Arial"/>
                <w:sz w:val="22"/>
                <w:szCs w:val="22"/>
                <w:color w:val="auto"/>
                <w:w w:val="83"/>
              </w:rPr>
              <w:t>84.5</w:t>
            </w:r>
          </w:p>
        </w:tc>
        <w:tc>
          <w:tcPr>
            <w:tcW w:w="380" w:type="dxa"/>
            <w:vAlign w:val="bottom"/>
            <w:shd w:val="clear" w:color="auto" w:fill="CCEEFF"/>
          </w:tcPr>
          <w:p>
            <w:pPr>
              <w:spacing w:after="0"/>
              <w:rPr>
                <w:sz w:val="21"/>
                <w:szCs w:val="21"/>
                <w:color w:val="auto"/>
              </w:rPr>
            </w:pPr>
          </w:p>
        </w:tc>
        <w:tc>
          <w:tcPr>
            <w:tcW w:w="30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b w:val="1"/>
                <w:bCs w:val="1"/>
                <w:color w:val="auto"/>
              </w:rPr>
              <w:t>$</w:t>
            </w:r>
          </w:p>
        </w:tc>
        <w:tc>
          <w:tcPr>
            <w:tcW w:w="48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b w:val="1"/>
                <w:bCs w:val="1"/>
                <w:color w:val="auto"/>
                <w:w w:val="83"/>
              </w:rPr>
              <w:t>106.7</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340" w:type="dxa"/>
            <w:vAlign w:val="bottom"/>
          </w:tcPr>
          <w:p>
            <w:pPr>
              <w:spacing w:after="0" w:line="243" w:lineRule="exact"/>
              <w:rPr>
                <w:sz w:val="20"/>
                <w:szCs w:val="20"/>
                <w:color w:val="auto"/>
              </w:rPr>
            </w:pPr>
            <w:r>
              <w:rPr>
                <w:rFonts w:ascii="Arial" w:cs="Arial" w:eastAsia="Arial" w:hAnsi="Arial"/>
                <w:sz w:val="22"/>
                <w:szCs w:val="22"/>
                <w:color w:val="auto"/>
              </w:rPr>
              <w:t>Cost of goods sold</w:t>
            </w:r>
          </w:p>
        </w:tc>
        <w:tc>
          <w:tcPr>
            <w:tcW w:w="780" w:type="dxa"/>
            <w:vAlign w:val="bottom"/>
          </w:tcPr>
          <w:p>
            <w:pPr>
              <w:spacing w:after="0"/>
              <w:rPr>
                <w:sz w:val="21"/>
                <w:szCs w:val="21"/>
                <w:color w:val="auto"/>
              </w:rPr>
            </w:pPr>
          </w:p>
        </w:tc>
        <w:tc>
          <w:tcPr>
            <w:tcW w:w="400" w:type="dxa"/>
            <w:vAlign w:val="bottom"/>
          </w:tcPr>
          <w:p>
            <w:pPr>
              <w:jc w:val="right"/>
              <w:spacing w:after="0" w:line="243" w:lineRule="exact"/>
              <w:rPr>
                <w:sz w:val="20"/>
                <w:szCs w:val="20"/>
                <w:color w:val="auto"/>
              </w:rPr>
            </w:pPr>
            <w:r>
              <w:rPr>
                <w:rFonts w:ascii="Arial" w:cs="Arial" w:eastAsia="Arial" w:hAnsi="Arial"/>
                <w:sz w:val="22"/>
                <w:szCs w:val="22"/>
                <w:color w:val="auto"/>
                <w:w w:val="88"/>
              </w:rPr>
              <w:t>21.1</w:t>
            </w: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80" w:type="dxa"/>
            <w:vAlign w:val="bottom"/>
          </w:tcPr>
          <w:p>
            <w:pPr>
              <w:jc w:val="right"/>
              <w:spacing w:after="0" w:line="243" w:lineRule="exact"/>
              <w:rPr>
                <w:sz w:val="20"/>
                <w:szCs w:val="20"/>
                <w:color w:val="auto"/>
              </w:rPr>
            </w:pPr>
            <w:r>
              <w:rPr>
                <w:rFonts w:ascii="Arial" w:cs="Arial" w:eastAsia="Arial" w:hAnsi="Arial"/>
                <w:sz w:val="22"/>
                <w:szCs w:val="22"/>
                <w:b w:val="1"/>
                <w:bCs w:val="1"/>
                <w:color w:val="auto"/>
                <w:w w:val="83"/>
              </w:rPr>
              <w:t>23.6</w:t>
            </w:r>
          </w:p>
        </w:tc>
        <w:tc>
          <w:tcPr>
            <w:tcW w:w="5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gridSpan w:val="2"/>
          </w:tcPr>
          <w:p>
            <w:pPr>
              <w:jc w:val="right"/>
              <w:ind w:right="360"/>
              <w:spacing w:after="0" w:line="243" w:lineRule="exact"/>
              <w:rPr>
                <w:sz w:val="20"/>
                <w:szCs w:val="20"/>
                <w:color w:val="auto"/>
              </w:rPr>
            </w:pPr>
            <w:r>
              <w:rPr>
                <w:rFonts w:ascii="Arial" w:cs="Arial" w:eastAsia="Arial" w:hAnsi="Arial"/>
                <w:sz w:val="22"/>
                <w:szCs w:val="22"/>
                <w:color w:val="auto"/>
                <w:w w:val="83"/>
              </w:rPr>
              <w:t>59.4</w:t>
            </w:r>
          </w:p>
        </w:tc>
        <w:tc>
          <w:tcPr>
            <w:tcW w:w="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80" w:type="dxa"/>
            <w:vAlign w:val="bottom"/>
          </w:tcPr>
          <w:p>
            <w:pPr>
              <w:jc w:val="right"/>
              <w:spacing w:after="0" w:line="243" w:lineRule="exact"/>
              <w:rPr>
                <w:sz w:val="20"/>
                <w:szCs w:val="20"/>
                <w:color w:val="auto"/>
              </w:rPr>
            </w:pPr>
            <w:r>
              <w:rPr>
                <w:rFonts w:ascii="Arial" w:cs="Arial" w:eastAsia="Arial" w:hAnsi="Arial"/>
                <w:sz w:val="22"/>
                <w:szCs w:val="22"/>
                <w:b w:val="1"/>
                <w:bCs w:val="1"/>
                <w:color w:val="auto"/>
              </w:rPr>
              <w:t>73.4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Gross profit</w:t>
            </w:r>
          </w:p>
        </w:tc>
        <w:tc>
          <w:tcPr>
            <w:tcW w:w="780" w:type="dxa"/>
            <w:vAlign w:val="bottom"/>
            <w:tcBorders>
              <w:top w:val="single" w:sz="8" w:color="auto"/>
            </w:tcBorders>
            <w:shd w:val="clear" w:color="auto" w:fill="CCEEFF"/>
          </w:tcPr>
          <w:p>
            <w:pPr>
              <w:spacing w:after="0"/>
              <w:rPr>
                <w:sz w:val="21"/>
                <w:szCs w:val="21"/>
                <w:color w:val="auto"/>
              </w:rPr>
            </w:pPr>
          </w:p>
        </w:tc>
        <w:tc>
          <w:tcPr>
            <w:tcW w:w="400" w:type="dxa"/>
            <w:vAlign w:val="bottom"/>
            <w:tcBorders>
              <w:top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color w:val="auto"/>
              </w:rPr>
              <w:t>7.3</w:t>
            </w:r>
          </w:p>
        </w:tc>
        <w:tc>
          <w:tcPr>
            <w:tcW w:w="360" w:type="dxa"/>
            <w:vAlign w:val="bottom"/>
            <w:shd w:val="clear" w:color="auto" w:fill="CCEEFF"/>
          </w:tcPr>
          <w:p>
            <w:pPr>
              <w:spacing w:after="0"/>
              <w:rPr>
                <w:sz w:val="21"/>
                <w:szCs w:val="21"/>
                <w:color w:val="auto"/>
              </w:rPr>
            </w:pPr>
          </w:p>
        </w:tc>
        <w:tc>
          <w:tcPr>
            <w:tcW w:w="380" w:type="dxa"/>
            <w:vAlign w:val="bottom"/>
            <w:tcBorders>
              <w:top w:val="single" w:sz="8" w:color="auto"/>
            </w:tcBorders>
            <w:shd w:val="clear" w:color="auto" w:fill="CCEEFF"/>
          </w:tcPr>
          <w:p>
            <w:pPr>
              <w:spacing w:after="0"/>
              <w:rPr>
                <w:sz w:val="21"/>
                <w:szCs w:val="21"/>
                <w:color w:val="auto"/>
              </w:rPr>
            </w:pPr>
          </w:p>
        </w:tc>
        <w:tc>
          <w:tcPr>
            <w:tcW w:w="400" w:type="dxa"/>
            <w:vAlign w:val="bottom"/>
            <w:tcBorders>
              <w:top w:val="single" w:sz="8" w:color="auto"/>
            </w:tcBorders>
            <w:shd w:val="clear" w:color="auto" w:fill="CCEEFF"/>
          </w:tcPr>
          <w:p>
            <w:pPr>
              <w:spacing w:after="0"/>
              <w:rPr>
                <w:sz w:val="21"/>
                <w:szCs w:val="21"/>
                <w:color w:val="auto"/>
              </w:rPr>
            </w:pPr>
          </w:p>
        </w:tc>
        <w:tc>
          <w:tcPr>
            <w:tcW w:w="380" w:type="dxa"/>
            <w:vAlign w:val="bottom"/>
            <w:tcBorders>
              <w:top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b w:val="1"/>
                <w:bCs w:val="1"/>
                <w:color w:val="auto"/>
                <w:w w:val="83"/>
              </w:rPr>
              <w:t>10.9</w:t>
            </w:r>
          </w:p>
        </w:tc>
        <w:tc>
          <w:tcPr>
            <w:tcW w:w="520" w:type="dxa"/>
            <w:vAlign w:val="bottom"/>
            <w:shd w:val="clear" w:color="auto" w:fill="CCEEFF"/>
          </w:tcPr>
          <w:p>
            <w:pPr>
              <w:spacing w:after="0"/>
              <w:rPr>
                <w:sz w:val="21"/>
                <w:szCs w:val="21"/>
                <w:color w:val="auto"/>
              </w:rPr>
            </w:pPr>
          </w:p>
        </w:tc>
        <w:tc>
          <w:tcPr>
            <w:tcW w:w="780" w:type="dxa"/>
            <w:vAlign w:val="bottom"/>
            <w:tcBorders>
              <w:top w:val="single" w:sz="8" w:color="auto"/>
            </w:tcBorders>
            <w:shd w:val="clear" w:color="auto" w:fill="CCEEFF"/>
          </w:tcPr>
          <w:p>
            <w:pPr>
              <w:spacing w:after="0"/>
              <w:rPr>
                <w:sz w:val="21"/>
                <w:szCs w:val="21"/>
                <w:color w:val="auto"/>
              </w:rPr>
            </w:pPr>
          </w:p>
        </w:tc>
        <w:tc>
          <w:tcPr>
            <w:tcW w:w="380" w:type="dxa"/>
            <w:vAlign w:val="bottom"/>
            <w:tcBorders>
              <w:top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color w:val="auto"/>
                <w:w w:val="83"/>
              </w:rPr>
              <w:t>25.1</w:t>
            </w:r>
          </w:p>
        </w:tc>
        <w:tc>
          <w:tcPr>
            <w:tcW w:w="360" w:type="dxa"/>
            <w:vAlign w:val="bottom"/>
            <w:shd w:val="clear" w:color="auto" w:fill="CCEEFF"/>
          </w:tcPr>
          <w:p>
            <w:pPr>
              <w:spacing w:after="0"/>
              <w:rPr>
                <w:sz w:val="21"/>
                <w:szCs w:val="21"/>
                <w:color w:val="auto"/>
              </w:rPr>
            </w:pPr>
          </w:p>
        </w:tc>
        <w:tc>
          <w:tcPr>
            <w:tcW w:w="380" w:type="dxa"/>
            <w:vAlign w:val="bottom"/>
            <w:tcBorders>
              <w:top w:val="single" w:sz="8" w:color="auto"/>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spacing w:after="0"/>
              <w:rPr>
                <w:sz w:val="21"/>
                <w:szCs w:val="21"/>
                <w:color w:val="auto"/>
              </w:rPr>
            </w:pPr>
          </w:p>
        </w:tc>
        <w:tc>
          <w:tcPr>
            <w:tcW w:w="480" w:type="dxa"/>
            <w:vAlign w:val="bottom"/>
            <w:tcBorders>
              <w:top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b w:val="1"/>
                <w:bCs w:val="1"/>
                <w:color w:val="auto"/>
              </w:rPr>
              <w:t>33.3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340" w:type="dxa"/>
            <w:vAlign w:val="bottom"/>
          </w:tcPr>
          <w:p>
            <w:pPr>
              <w:spacing w:after="0" w:line="243" w:lineRule="exact"/>
              <w:rPr>
                <w:sz w:val="20"/>
                <w:szCs w:val="20"/>
                <w:color w:val="auto"/>
              </w:rPr>
            </w:pPr>
            <w:r>
              <w:rPr>
                <w:rFonts w:ascii="Arial" w:cs="Arial" w:eastAsia="Arial" w:hAnsi="Arial"/>
                <w:sz w:val="22"/>
                <w:szCs w:val="22"/>
                <w:color w:val="auto"/>
              </w:rPr>
              <w:t>Selling, general and administrative expense</w:t>
            </w:r>
          </w:p>
        </w:tc>
        <w:tc>
          <w:tcPr>
            <w:tcW w:w="780" w:type="dxa"/>
            <w:vAlign w:val="bottom"/>
          </w:tcPr>
          <w:p>
            <w:pPr>
              <w:spacing w:after="0"/>
              <w:rPr>
                <w:sz w:val="21"/>
                <w:szCs w:val="21"/>
                <w:color w:val="auto"/>
              </w:rPr>
            </w:pPr>
          </w:p>
        </w:tc>
        <w:tc>
          <w:tcPr>
            <w:tcW w:w="400" w:type="dxa"/>
            <w:vAlign w:val="bottom"/>
          </w:tcPr>
          <w:p>
            <w:pPr>
              <w:jc w:val="right"/>
              <w:spacing w:after="0" w:line="243" w:lineRule="exact"/>
              <w:rPr>
                <w:sz w:val="20"/>
                <w:szCs w:val="20"/>
                <w:color w:val="auto"/>
              </w:rPr>
            </w:pPr>
            <w:r>
              <w:rPr>
                <w:rFonts w:ascii="Arial" w:cs="Arial" w:eastAsia="Arial" w:hAnsi="Arial"/>
                <w:sz w:val="22"/>
                <w:szCs w:val="22"/>
                <w:color w:val="auto"/>
              </w:rPr>
              <w:t>5.2</w:t>
            </w: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80" w:type="dxa"/>
            <w:vAlign w:val="bottom"/>
          </w:tcPr>
          <w:p>
            <w:pPr>
              <w:jc w:val="right"/>
              <w:spacing w:after="0" w:line="243" w:lineRule="exact"/>
              <w:rPr>
                <w:sz w:val="20"/>
                <w:szCs w:val="20"/>
                <w:color w:val="auto"/>
              </w:rPr>
            </w:pPr>
            <w:r>
              <w:rPr>
                <w:rFonts w:ascii="Arial" w:cs="Arial" w:eastAsia="Arial" w:hAnsi="Arial"/>
                <w:sz w:val="22"/>
                <w:szCs w:val="22"/>
                <w:b w:val="1"/>
                <w:bCs w:val="1"/>
                <w:color w:val="auto"/>
              </w:rPr>
              <w:t>5.8</w:t>
            </w:r>
          </w:p>
        </w:tc>
        <w:tc>
          <w:tcPr>
            <w:tcW w:w="5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gridSpan w:val="2"/>
          </w:tcPr>
          <w:p>
            <w:pPr>
              <w:jc w:val="right"/>
              <w:ind w:right="360"/>
              <w:spacing w:after="0" w:line="243" w:lineRule="exact"/>
              <w:rPr>
                <w:sz w:val="20"/>
                <w:szCs w:val="20"/>
                <w:color w:val="auto"/>
              </w:rPr>
            </w:pPr>
            <w:r>
              <w:rPr>
                <w:rFonts w:ascii="Arial" w:cs="Arial" w:eastAsia="Arial" w:hAnsi="Arial"/>
                <w:sz w:val="22"/>
                <w:szCs w:val="22"/>
                <w:color w:val="auto"/>
                <w:w w:val="83"/>
              </w:rPr>
              <w:t>15.6</w:t>
            </w:r>
          </w:p>
        </w:tc>
        <w:tc>
          <w:tcPr>
            <w:tcW w:w="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80" w:type="dxa"/>
            <w:vAlign w:val="bottom"/>
          </w:tcPr>
          <w:p>
            <w:pPr>
              <w:jc w:val="right"/>
              <w:spacing w:after="0" w:line="243" w:lineRule="exact"/>
              <w:rPr>
                <w:sz w:val="20"/>
                <w:szCs w:val="20"/>
                <w:color w:val="auto"/>
              </w:rPr>
            </w:pPr>
            <w:r>
              <w:rPr>
                <w:rFonts w:ascii="Arial" w:cs="Arial" w:eastAsia="Arial" w:hAnsi="Arial"/>
                <w:sz w:val="22"/>
                <w:szCs w:val="22"/>
                <w:b w:val="1"/>
                <w:bCs w:val="1"/>
                <w:color w:val="auto"/>
              </w:rPr>
              <w:t>16.6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Operating income</w:t>
            </w:r>
          </w:p>
        </w:tc>
        <w:tc>
          <w:tcPr>
            <w:tcW w:w="780" w:type="dxa"/>
            <w:vAlign w:val="bottom"/>
            <w:tcBorders>
              <w:top w:val="single" w:sz="8" w:color="auto"/>
            </w:tcBorders>
            <w:shd w:val="clear" w:color="auto" w:fill="CCEEFF"/>
          </w:tcPr>
          <w:p>
            <w:pPr>
              <w:spacing w:after="0"/>
              <w:rPr>
                <w:sz w:val="21"/>
                <w:szCs w:val="21"/>
                <w:color w:val="auto"/>
              </w:rPr>
            </w:pPr>
          </w:p>
        </w:tc>
        <w:tc>
          <w:tcPr>
            <w:tcW w:w="400" w:type="dxa"/>
            <w:vAlign w:val="bottom"/>
            <w:tcBorders>
              <w:top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color w:val="auto"/>
              </w:rPr>
              <w:t>2.1</w:t>
            </w:r>
          </w:p>
        </w:tc>
        <w:tc>
          <w:tcPr>
            <w:tcW w:w="360" w:type="dxa"/>
            <w:vAlign w:val="bottom"/>
            <w:shd w:val="clear" w:color="auto" w:fill="CCEEFF"/>
          </w:tcPr>
          <w:p>
            <w:pPr>
              <w:spacing w:after="0"/>
              <w:rPr>
                <w:sz w:val="21"/>
                <w:szCs w:val="21"/>
                <w:color w:val="auto"/>
              </w:rPr>
            </w:pPr>
          </w:p>
        </w:tc>
        <w:tc>
          <w:tcPr>
            <w:tcW w:w="380" w:type="dxa"/>
            <w:vAlign w:val="bottom"/>
            <w:tcBorders>
              <w:top w:val="single" w:sz="8" w:color="auto"/>
            </w:tcBorders>
            <w:shd w:val="clear" w:color="auto" w:fill="CCEEFF"/>
          </w:tcPr>
          <w:p>
            <w:pPr>
              <w:spacing w:after="0"/>
              <w:rPr>
                <w:sz w:val="21"/>
                <w:szCs w:val="21"/>
                <w:color w:val="auto"/>
              </w:rPr>
            </w:pPr>
          </w:p>
        </w:tc>
        <w:tc>
          <w:tcPr>
            <w:tcW w:w="400" w:type="dxa"/>
            <w:vAlign w:val="bottom"/>
            <w:tcBorders>
              <w:top w:val="single" w:sz="8" w:color="auto"/>
            </w:tcBorders>
            <w:shd w:val="clear" w:color="auto" w:fill="CCEEFF"/>
          </w:tcPr>
          <w:p>
            <w:pPr>
              <w:spacing w:after="0"/>
              <w:rPr>
                <w:sz w:val="21"/>
                <w:szCs w:val="21"/>
                <w:color w:val="auto"/>
              </w:rPr>
            </w:pPr>
          </w:p>
        </w:tc>
        <w:tc>
          <w:tcPr>
            <w:tcW w:w="380" w:type="dxa"/>
            <w:vAlign w:val="bottom"/>
            <w:tcBorders>
              <w:top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b w:val="1"/>
                <w:bCs w:val="1"/>
                <w:color w:val="auto"/>
              </w:rPr>
              <w:t>5.1</w:t>
            </w:r>
          </w:p>
        </w:tc>
        <w:tc>
          <w:tcPr>
            <w:tcW w:w="520" w:type="dxa"/>
            <w:vAlign w:val="bottom"/>
            <w:shd w:val="clear" w:color="auto" w:fill="CCEEFF"/>
          </w:tcPr>
          <w:p>
            <w:pPr>
              <w:spacing w:after="0"/>
              <w:rPr>
                <w:sz w:val="21"/>
                <w:szCs w:val="21"/>
                <w:color w:val="auto"/>
              </w:rPr>
            </w:pPr>
          </w:p>
        </w:tc>
        <w:tc>
          <w:tcPr>
            <w:tcW w:w="780" w:type="dxa"/>
            <w:vAlign w:val="bottom"/>
            <w:tcBorders>
              <w:top w:val="single" w:sz="8" w:color="auto"/>
            </w:tcBorders>
            <w:shd w:val="clear" w:color="auto" w:fill="CCEEFF"/>
          </w:tcPr>
          <w:p>
            <w:pPr>
              <w:spacing w:after="0"/>
              <w:rPr>
                <w:sz w:val="21"/>
                <w:szCs w:val="21"/>
                <w:color w:val="auto"/>
              </w:rPr>
            </w:pPr>
          </w:p>
        </w:tc>
        <w:tc>
          <w:tcPr>
            <w:tcW w:w="380" w:type="dxa"/>
            <w:vAlign w:val="bottom"/>
            <w:tcBorders>
              <w:top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color w:val="auto"/>
              </w:rPr>
              <w:t>9.5</w:t>
            </w:r>
          </w:p>
        </w:tc>
        <w:tc>
          <w:tcPr>
            <w:tcW w:w="360" w:type="dxa"/>
            <w:vAlign w:val="bottom"/>
            <w:shd w:val="clear" w:color="auto" w:fill="CCEEFF"/>
          </w:tcPr>
          <w:p>
            <w:pPr>
              <w:spacing w:after="0"/>
              <w:rPr>
                <w:sz w:val="21"/>
                <w:szCs w:val="21"/>
                <w:color w:val="auto"/>
              </w:rPr>
            </w:pPr>
          </w:p>
        </w:tc>
        <w:tc>
          <w:tcPr>
            <w:tcW w:w="380" w:type="dxa"/>
            <w:vAlign w:val="bottom"/>
            <w:tcBorders>
              <w:top w:val="single" w:sz="8" w:color="auto"/>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spacing w:after="0"/>
              <w:rPr>
                <w:sz w:val="21"/>
                <w:szCs w:val="21"/>
                <w:color w:val="auto"/>
              </w:rPr>
            </w:pPr>
          </w:p>
        </w:tc>
        <w:tc>
          <w:tcPr>
            <w:tcW w:w="480" w:type="dxa"/>
            <w:vAlign w:val="bottom"/>
            <w:tcBorders>
              <w:top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b w:val="1"/>
                <w:bCs w:val="1"/>
                <w:color w:val="auto"/>
              </w:rPr>
              <w:t>16.7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340" w:type="dxa"/>
            <w:vAlign w:val="bottom"/>
          </w:tcPr>
          <w:p>
            <w:pPr>
              <w:spacing w:after="0" w:line="243" w:lineRule="exact"/>
              <w:rPr>
                <w:sz w:val="20"/>
                <w:szCs w:val="20"/>
                <w:color w:val="auto"/>
              </w:rPr>
            </w:pPr>
            <w:r>
              <w:rPr>
                <w:rFonts w:ascii="Arial" w:cs="Arial" w:eastAsia="Arial" w:hAnsi="Arial"/>
                <w:sz w:val="22"/>
                <w:szCs w:val="22"/>
                <w:color w:val="auto"/>
              </w:rPr>
              <w:t>Interest income</w:t>
            </w:r>
          </w:p>
        </w:tc>
        <w:tc>
          <w:tcPr>
            <w:tcW w:w="780" w:type="dxa"/>
            <w:vAlign w:val="bottom"/>
          </w:tcPr>
          <w:p>
            <w:pPr>
              <w:spacing w:after="0"/>
              <w:rPr>
                <w:sz w:val="21"/>
                <w:szCs w:val="21"/>
                <w:color w:val="auto"/>
              </w:rPr>
            </w:pPr>
          </w:p>
        </w:tc>
        <w:tc>
          <w:tcPr>
            <w:tcW w:w="400" w:type="dxa"/>
            <w:vAlign w:val="bottom"/>
          </w:tcPr>
          <w:p>
            <w:pPr>
              <w:jc w:val="right"/>
              <w:spacing w:after="0" w:line="243" w:lineRule="exact"/>
              <w:rPr>
                <w:sz w:val="20"/>
                <w:szCs w:val="20"/>
                <w:color w:val="auto"/>
              </w:rPr>
            </w:pPr>
            <w:r>
              <w:rPr>
                <w:rFonts w:ascii="Arial" w:cs="Arial" w:eastAsia="Arial" w:hAnsi="Arial"/>
                <w:sz w:val="22"/>
                <w:szCs w:val="22"/>
                <w:color w:val="auto"/>
              </w:rPr>
              <w:t>0.3</w:t>
            </w: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80" w:type="dxa"/>
            <w:vAlign w:val="bottom"/>
          </w:tcPr>
          <w:p>
            <w:pPr>
              <w:jc w:val="right"/>
              <w:spacing w:after="0" w:line="243" w:lineRule="exact"/>
              <w:rPr>
                <w:sz w:val="20"/>
                <w:szCs w:val="20"/>
                <w:color w:val="auto"/>
              </w:rPr>
            </w:pPr>
            <w:r>
              <w:rPr>
                <w:rFonts w:ascii="Arial" w:cs="Arial" w:eastAsia="Arial" w:hAnsi="Arial"/>
                <w:sz w:val="22"/>
                <w:szCs w:val="22"/>
                <w:b w:val="1"/>
                <w:bCs w:val="1"/>
                <w:color w:val="auto"/>
              </w:rPr>
              <w:t>0.3</w:t>
            </w:r>
          </w:p>
        </w:tc>
        <w:tc>
          <w:tcPr>
            <w:tcW w:w="5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gridSpan w:val="2"/>
          </w:tcPr>
          <w:p>
            <w:pPr>
              <w:jc w:val="right"/>
              <w:ind w:right="360"/>
              <w:spacing w:after="0" w:line="243" w:lineRule="exact"/>
              <w:rPr>
                <w:sz w:val="20"/>
                <w:szCs w:val="20"/>
                <w:color w:val="auto"/>
              </w:rPr>
            </w:pPr>
            <w:r>
              <w:rPr>
                <w:rFonts w:ascii="Arial" w:cs="Arial" w:eastAsia="Arial" w:hAnsi="Arial"/>
                <w:sz w:val="22"/>
                <w:szCs w:val="22"/>
                <w:color w:val="auto"/>
              </w:rPr>
              <w:t>1.3</w:t>
            </w:r>
          </w:p>
        </w:tc>
        <w:tc>
          <w:tcPr>
            <w:tcW w:w="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80" w:type="dxa"/>
            <w:vAlign w:val="bottom"/>
          </w:tcPr>
          <w:p>
            <w:pPr>
              <w:jc w:val="right"/>
              <w:spacing w:after="0" w:line="243" w:lineRule="exact"/>
              <w:rPr>
                <w:sz w:val="20"/>
                <w:szCs w:val="20"/>
                <w:color w:val="auto"/>
              </w:rPr>
            </w:pPr>
            <w:r>
              <w:rPr>
                <w:rFonts w:ascii="Arial" w:cs="Arial" w:eastAsia="Arial" w:hAnsi="Arial"/>
                <w:sz w:val="22"/>
                <w:szCs w:val="22"/>
                <w:b w:val="1"/>
                <w:bCs w:val="1"/>
                <w:color w:val="auto"/>
              </w:rPr>
              <w:t>0.9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Income before taxes</w:t>
            </w:r>
          </w:p>
        </w:tc>
        <w:tc>
          <w:tcPr>
            <w:tcW w:w="780" w:type="dxa"/>
            <w:vAlign w:val="bottom"/>
            <w:tcBorders>
              <w:top w:val="single" w:sz="8" w:color="auto"/>
            </w:tcBorders>
            <w:shd w:val="clear" w:color="auto" w:fill="CCEEFF"/>
          </w:tcPr>
          <w:p>
            <w:pPr>
              <w:spacing w:after="0"/>
              <w:rPr>
                <w:sz w:val="21"/>
                <w:szCs w:val="21"/>
                <w:color w:val="auto"/>
              </w:rPr>
            </w:pPr>
          </w:p>
        </w:tc>
        <w:tc>
          <w:tcPr>
            <w:tcW w:w="400" w:type="dxa"/>
            <w:vAlign w:val="bottom"/>
            <w:tcBorders>
              <w:top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color w:val="auto"/>
              </w:rPr>
              <w:t>2.4</w:t>
            </w:r>
          </w:p>
        </w:tc>
        <w:tc>
          <w:tcPr>
            <w:tcW w:w="360" w:type="dxa"/>
            <w:vAlign w:val="bottom"/>
            <w:shd w:val="clear" w:color="auto" w:fill="CCEEFF"/>
          </w:tcPr>
          <w:p>
            <w:pPr>
              <w:spacing w:after="0"/>
              <w:rPr>
                <w:sz w:val="21"/>
                <w:szCs w:val="21"/>
                <w:color w:val="auto"/>
              </w:rPr>
            </w:pPr>
          </w:p>
        </w:tc>
        <w:tc>
          <w:tcPr>
            <w:tcW w:w="380" w:type="dxa"/>
            <w:vAlign w:val="bottom"/>
            <w:tcBorders>
              <w:top w:val="single" w:sz="8" w:color="auto"/>
            </w:tcBorders>
            <w:shd w:val="clear" w:color="auto" w:fill="CCEEFF"/>
          </w:tcPr>
          <w:p>
            <w:pPr>
              <w:spacing w:after="0"/>
              <w:rPr>
                <w:sz w:val="21"/>
                <w:szCs w:val="21"/>
                <w:color w:val="auto"/>
              </w:rPr>
            </w:pPr>
          </w:p>
        </w:tc>
        <w:tc>
          <w:tcPr>
            <w:tcW w:w="400" w:type="dxa"/>
            <w:vAlign w:val="bottom"/>
            <w:tcBorders>
              <w:top w:val="single" w:sz="8" w:color="auto"/>
            </w:tcBorders>
            <w:shd w:val="clear" w:color="auto" w:fill="CCEEFF"/>
          </w:tcPr>
          <w:p>
            <w:pPr>
              <w:spacing w:after="0"/>
              <w:rPr>
                <w:sz w:val="21"/>
                <w:szCs w:val="21"/>
                <w:color w:val="auto"/>
              </w:rPr>
            </w:pPr>
          </w:p>
        </w:tc>
        <w:tc>
          <w:tcPr>
            <w:tcW w:w="380" w:type="dxa"/>
            <w:vAlign w:val="bottom"/>
            <w:tcBorders>
              <w:top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b w:val="1"/>
                <w:bCs w:val="1"/>
                <w:color w:val="auto"/>
              </w:rPr>
              <w:t>5.4</w:t>
            </w:r>
          </w:p>
        </w:tc>
        <w:tc>
          <w:tcPr>
            <w:tcW w:w="520" w:type="dxa"/>
            <w:vAlign w:val="bottom"/>
            <w:shd w:val="clear" w:color="auto" w:fill="CCEEFF"/>
          </w:tcPr>
          <w:p>
            <w:pPr>
              <w:spacing w:after="0"/>
              <w:rPr>
                <w:sz w:val="21"/>
                <w:szCs w:val="21"/>
                <w:color w:val="auto"/>
              </w:rPr>
            </w:pPr>
          </w:p>
        </w:tc>
        <w:tc>
          <w:tcPr>
            <w:tcW w:w="780" w:type="dxa"/>
            <w:vAlign w:val="bottom"/>
            <w:tcBorders>
              <w:top w:val="single" w:sz="8" w:color="auto"/>
            </w:tcBorders>
            <w:shd w:val="clear" w:color="auto" w:fill="CCEEFF"/>
          </w:tcPr>
          <w:p>
            <w:pPr>
              <w:spacing w:after="0"/>
              <w:rPr>
                <w:sz w:val="21"/>
                <w:szCs w:val="21"/>
                <w:color w:val="auto"/>
              </w:rPr>
            </w:pPr>
          </w:p>
        </w:tc>
        <w:tc>
          <w:tcPr>
            <w:tcW w:w="380" w:type="dxa"/>
            <w:vAlign w:val="bottom"/>
            <w:tcBorders>
              <w:top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color w:val="auto"/>
                <w:w w:val="83"/>
              </w:rPr>
              <w:t>10.8</w:t>
            </w:r>
          </w:p>
        </w:tc>
        <w:tc>
          <w:tcPr>
            <w:tcW w:w="360" w:type="dxa"/>
            <w:vAlign w:val="bottom"/>
            <w:shd w:val="clear" w:color="auto" w:fill="CCEEFF"/>
          </w:tcPr>
          <w:p>
            <w:pPr>
              <w:spacing w:after="0"/>
              <w:rPr>
                <w:sz w:val="21"/>
                <w:szCs w:val="21"/>
                <w:color w:val="auto"/>
              </w:rPr>
            </w:pPr>
          </w:p>
        </w:tc>
        <w:tc>
          <w:tcPr>
            <w:tcW w:w="380" w:type="dxa"/>
            <w:vAlign w:val="bottom"/>
            <w:tcBorders>
              <w:top w:val="single" w:sz="8" w:color="auto"/>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spacing w:after="0"/>
              <w:rPr>
                <w:sz w:val="21"/>
                <w:szCs w:val="21"/>
                <w:color w:val="auto"/>
              </w:rPr>
            </w:pPr>
          </w:p>
        </w:tc>
        <w:tc>
          <w:tcPr>
            <w:tcW w:w="480" w:type="dxa"/>
            <w:vAlign w:val="bottom"/>
            <w:tcBorders>
              <w:top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b w:val="1"/>
                <w:bCs w:val="1"/>
                <w:color w:val="auto"/>
              </w:rPr>
              <w:t>17.6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340" w:type="dxa"/>
            <w:vAlign w:val="bottom"/>
          </w:tcPr>
          <w:p>
            <w:pPr>
              <w:spacing w:after="0" w:line="243" w:lineRule="exact"/>
              <w:rPr>
                <w:sz w:val="20"/>
                <w:szCs w:val="20"/>
                <w:color w:val="auto"/>
              </w:rPr>
            </w:pPr>
            <w:r>
              <w:rPr>
                <w:rFonts w:ascii="Arial" w:cs="Arial" w:eastAsia="Arial" w:hAnsi="Arial"/>
                <w:sz w:val="22"/>
                <w:szCs w:val="22"/>
                <w:color w:val="auto"/>
              </w:rPr>
              <w:t>Provision for income taxes</w:t>
            </w:r>
          </w:p>
        </w:tc>
        <w:tc>
          <w:tcPr>
            <w:tcW w:w="780" w:type="dxa"/>
            <w:vAlign w:val="bottom"/>
          </w:tcPr>
          <w:p>
            <w:pPr>
              <w:spacing w:after="0"/>
              <w:rPr>
                <w:sz w:val="21"/>
                <w:szCs w:val="21"/>
                <w:color w:val="auto"/>
              </w:rPr>
            </w:pPr>
          </w:p>
        </w:tc>
        <w:tc>
          <w:tcPr>
            <w:tcW w:w="400" w:type="dxa"/>
            <w:vAlign w:val="bottom"/>
          </w:tcPr>
          <w:p>
            <w:pPr>
              <w:jc w:val="right"/>
              <w:spacing w:after="0" w:line="243" w:lineRule="exact"/>
              <w:rPr>
                <w:sz w:val="20"/>
                <w:szCs w:val="20"/>
                <w:color w:val="auto"/>
              </w:rPr>
            </w:pPr>
            <w:r>
              <w:rPr>
                <w:rFonts w:ascii="Arial" w:cs="Arial" w:eastAsia="Arial" w:hAnsi="Arial"/>
                <w:sz w:val="22"/>
                <w:szCs w:val="22"/>
                <w:color w:val="auto"/>
              </w:rPr>
              <w:t>0.6</w:t>
            </w: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80" w:type="dxa"/>
            <w:vAlign w:val="bottom"/>
          </w:tcPr>
          <w:p>
            <w:pPr>
              <w:jc w:val="right"/>
              <w:spacing w:after="0" w:line="243" w:lineRule="exact"/>
              <w:rPr>
                <w:sz w:val="20"/>
                <w:szCs w:val="20"/>
                <w:color w:val="auto"/>
              </w:rPr>
            </w:pPr>
            <w:r>
              <w:rPr>
                <w:rFonts w:ascii="Arial" w:cs="Arial" w:eastAsia="Arial" w:hAnsi="Arial"/>
                <w:sz w:val="22"/>
                <w:szCs w:val="22"/>
                <w:b w:val="1"/>
                <w:bCs w:val="1"/>
                <w:color w:val="auto"/>
              </w:rPr>
              <w:t>1.3</w:t>
            </w:r>
          </w:p>
        </w:tc>
        <w:tc>
          <w:tcPr>
            <w:tcW w:w="5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gridSpan w:val="2"/>
          </w:tcPr>
          <w:p>
            <w:pPr>
              <w:jc w:val="right"/>
              <w:ind w:right="360"/>
              <w:spacing w:after="0" w:line="243" w:lineRule="exact"/>
              <w:rPr>
                <w:sz w:val="20"/>
                <w:szCs w:val="20"/>
                <w:color w:val="auto"/>
              </w:rPr>
            </w:pPr>
            <w:r>
              <w:rPr>
                <w:rFonts w:ascii="Arial" w:cs="Arial" w:eastAsia="Arial" w:hAnsi="Arial"/>
                <w:sz w:val="22"/>
                <w:szCs w:val="22"/>
                <w:color w:val="auto"/>
              </w:rPr>
              <w:t>2.6</w:t>
            </w:r>
          </w:p>
        </w:tc>
        <w:tc>
          <w:tcPr>
            <w:tcW w:w="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80" w:type="dxa"/>
            <w:vAlign w:val="bottom"/>
          </w:tcPr>
          <w:p>
            <w:pPr>
              <w:jc w:val="right"/>
              <w:spacing w:after="0" w:line="243" w:lineRule="exact"/>
              <w:rPr>
                <w:sz w:val="20"/>
                <w:szCs w:val="20"/>
                <w:color w:val="auto"/>
              </w:rPr>
            </w:pPr>
            <w:r>
              <w:rPr>
                <w:rFonts w:ascii="Arial" w:cs="Arial" w:eastAsia="Arial" w:hAnsi="Arial"/>
                <w:sz w:val="22"/>
                <w:szCs w:val="22"/>
                <w:b w:val="1"/>
                <w:bCs w:val="1"/>
                <w:color w:val="auto"/>
              </w:rPr>
              <w:t>4.2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5340" w:type="dxa"/>
            <w:vAlign w:val="bottom"/>
            <w:tcBorders>
              <w:bottom w:val="single" w:sz="8" w:color="CCEEFF"/>
            </w:tcBorders>
            <w:shd w:val="clear" w:color="auto" w:fill="CCEEFF"/>
          </w:tcPr>
          <w:p>
            <w:pPr>
              <w:spacing w:after="0" w:line="243" w:lineRule="exact"/>
              <w:rPr>
                <w:sz w:val="20"/>
                <w:szCs w:val="20"/>
                <w:color w:val="auto"/>
              </w:rPr>
            </w:pPr>
            <w:r>
              <w:rPr>
                <w:rFonts w:ascii="Arial" w:cs="Arial" w:eastAsia="Arial" w:hAnsi="Arial"/>
                <w:sz w:val="22"/>
                <w:szCs w:val="22"/>
                <w:color w:val="auto"/>
              </w:rPr>
              <w:t>Net income</w:t>
            </w:r>
          </w:p>
        </w:tc>
        <w:tc>
          <w:tcPr>
            <w:tcW w:w="780" w:type="dxa"/>
            <w:vAlign w:val="bottom"/>
            <w:tcBorders>
              <w:top w:val="single" w:sz="8" w:color="auto"/>
              <w:bottom w:val="single" w:sz="8" w:color="auto"/>
            </w:tcBorders>
            <w:shd w:val="clear" w:color="auto" w:fill="CCEEFF"/>
          </w:tcPr>
          <w:p>
            <w:pPr>
              <w:ind w:left="580"/>
              <w:spacing w:after="0" w:line="243" w:lineRule="exact"/>
              <w:rPr>
                <w:sz w:val="20"/>
                <w:szCs w:val="20"/>
                <w:color w:val="auto"/>
              </w:rPr>
            </w:pPr>
            <w:r>
              <w:rPr>
                <w:rFonts w:ascii="Arial" w:cs="Arial" w:eastAsia="Arial" w:hAnsi="Arial"/>
                <w:sz w:val="22"/>
                <w:szCs w:val="22"/>
                <w:color w:val="auto"/>
              </w:rPr>
              <w:t>$</w:t>
            </w:r>
          </w:p>
        </w:tc>
        <w:tc>
          <w:tcPr>
            <w:tcW w:w="400" w:type="dxa"/>
            <w:vAlign w:val="bottom"/>
            <w:tcBorders>
              <w:top w:val="single" w:sz="8" w:color="auto"/>
              <w:bottom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color w:val="auto"/>
              </w:rPr>
              <w:t>1.8</w:t>
            </w:r>
          </w:p>
        </w:tc>
        <w:tc>
          <w:tcPr>
            <w:tcW w:w="36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top w:val="single" w:sz="8" w:color="auto"/>
              <w:bottom w:val="single" w:sz="8" w:color="auto"/>
            </w:tcBorders>
            <w:shd w:val="clear" w:color="auto" w:fill="CCEEFF"/>
          </w:tcPr>
          <w:p>
            <w:pPr>
              <w:spacing w:after="0"/>
              <w:rPr>
                <w:sz w:val="24"/>
                <w:szCs w:val="24"/>
                <w:color w:val="auto"/>
              </w:rPr>
            </w:pPr>
          </w:p>
        </w:tc>
        <w:tc>
          <w:tcPr>
            <w:tcW w:w="400" w:type="dxa"/>
            <w:vAlign w:val="bottom"/>
            <w:tcBorders>
              <w:top w:val="single" w:sz="8" w:color="auto"/>
              <w:bottom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b w:val="1"/>
                <w:bCs w:val="1"/>
                <w:color w:val="auto"/>
              </w:rPr>
              <w:t>$</w:t>
            </w:r>
          </w:p>
        </w:tc>
        <w:tc>
          <w:tcPr>
            <w:tcW w:w="380" w:type="dxa"/>
            <w:vAlign w:val="bottom"/>
            <w:tcBorders>
              <w:top w:val="single" w:sz="8" w:color="auto"/>
              <w:bottom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b w:val="1"/>
                <w:bCs w:val="1"/>
                <w:color w:val="auto"/>
              </w:rPr>
              <w:t>4.1</w:t>
            </w:r>
          </w:p>
        </w:tc>
        <w:tc>
          <w:tcPr>
            <w:tcW w:w="5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top w:val="single" w:sz="8" w:color="auto"/>
              <w:bottom w:val="single" w:sz="8" w:color="auto"/>
            </w:tcBorders>
            <w:shd w:val="clear" w:color="auto" w:fill="CCEEFF"/>
          </w:tcPr>
          <w:p>
            <w:pPr>
              <w:jc w:val="center"/>
              <w:ind w:left="264"/>
              <w:spacing w:after="0" w:line="243" w:lineRule="exact"/>
              <w:rPr>
                <w:sz w:val="20"/>
                <w:szCs w:val="20"/>
                <w:color w:val="auto"/>
              </w:rPr>
            </w:pPr>
            <w:r>
              <w:rPr>
                <w:rFonts w:ascii="Arial" w:cs="Arial" w:eastAsia="Arial" w:hAnsi="Arial"/>
                <w:sz w:val="22"/>
                <w:szCs w:val="22"/>
                <w:color w:val="auto"/>
                <w:w w:val="81"/>
              </w:rPr>
              <w:t>$</w:t>
            </w:r>
          </w:p>
        </w:tc>
        <w:tc>
          <w:tcPr>
            <w:tcW w:w="380" w:type="dxa"/>
            <w:vAlign w:val="bottom"/>
            <w:tcBorders>
              <w:top w:val="single" w:sz="8" w:color="auto"/>
              <w:bottom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color w:val="auto"/>
              </w:rPr>
              <w:t>8.2</w:t>
            </w:r>
          </w:p>
        </w:tc>
        <w:tc>
          <w:tcPr>
            <w:tcW w:w="36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top w:val="single" w:sz="8" w:color="auto"/>
              <w:bottom w:val="single" w:sz="8" w:color="auto"/>
            </w:tcBorders>
            <w:shd w:val="clear" w:color="auto" w:fill="CCEEFF"/>
          </w:tcPr>
          <w:p>
            <w:pPr>
              <w:spacing w:after="0"/>
              <w:rPr>
                <w:sz w:val="24"/>
                <w:szCs w:val="24"/>
                <w:color w:val="auto"/>
              </w:rPr>
            </w:pPr>
          </w:p>
        </w:tc>
        <w:tc>
          <w:tcPr>
            <w:tcW w:w="300" w:type="dxa"/>
            <w:vAlign w:val="bottom"/>
            <w:tcBorders>
              <w:top w:val="single" w:sz="8" w:color="auto"/>
              <w:bottom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b w:val="1"/>
                <w:bCs w:val="1"/>
                <w:color w:val="auto"/>
              </w:rPr>
              <w:t>$</w:t>
            </w:r>
          </w:p>
        </w:tc>
        <w:tc>
          <w:tcPr>
            <w:tcW w:w="480" w:type="dxa"/>
            <w:vAlign w:val="bottom"/>
            <w:tcBorders>
              <w:top w:val="single" w:sz="8" w:color="auto"/>
              <w:bottom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b w:val="1"/>
                <w:bCs w:val="1"/>
                <w:color w:val="auto"/>
              </w:rPr>
              <w:t>13.4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340" w:type="dxa"/>
            <w:vAlign w:val="bottom"/>
          </w:tcPr>
          <w:p>
            <w:pPr>
              <w:spacing w:after="0" w:line="243" w:lineRule="exact"/>
              <w:rPr>
                <w:sz w:val="20"/>
                <w:szCs w:val="20"/>
                <w:color w:val="auto"/>
              </w:rPr>
            </w:pPr>
            <w:r>
              <w:rPr>
                <w:rFonts w:ascii="Arial" w:cs="Arial" w:eastAsia="Arial" w:hAnsi="Arial"/>
                <w:sz w:val="22"/>
                <w:szCs w:val="22"/>
                <w:color w:val="auto"/>
              </w:rPr>
              <w:t>Basic and diluted net income</w:t>
            </w:r>
          </w:p>
        </w:tc>
        <w:tc>
          <w:tcPr>
            <w:tcW w:w="7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5340" w:type="dxa"/>
            <w:vAlign w:val="bottom"/>
            <w:shd w:val="clear" w:color="auto" w:fill="CCEEFF"/>
          </w:tcPr>
          <w:p>
            <w:pPr>
              <w:ind w:left="180"/>
              <w:spacing w:after="0" w:line="243" w:lineRule="exact"/>
              <w:rPr>
                <w:sz w:val="20"/>
                <w:szCs w:val="20"/>
                <w:color w:val="auto"/>
              </w:rPr>
            </w:pPr>
            <w:r>
              <w:rPr>
                <w:rFonts w:ascii="Arial" w:cs="Arial" w:eastAsia="Arial" w:hAnsi="Arial"/>
                <w:sz w:val="22"/>
                <w:szCs w:val="22"/>
                <w:color w:val="auto"/>
              </w:rPr>
              <w:t>per common share</w:t>
            </w:r>
          </w:p>
        </w:tc>
        <w:tc>
          <w:tcPr>
            <w:tcW w:w="780" w:type="dxa"/>
            <w:vAlign w:val="bottom"/>
            <w:shd w:val="clear" w:color="auto" w:fill="CCEEFF"/>
          </w:tcPr>
          <w:p>
            <w:pPr>
              <w:ind w:left="580"/>
              <w:spacing w:after="0" w:line="243" w:lineRule="exact"/>
              <w:rPr>
                <w:sz w:val="20"/>
                <w:szCs w:val="20"/>
                <w:color w:val="auto"/>
              </w:rPr>
            </w:pPr>
            <w:r>
              <w:rPr>
                <w:rFonts w:ascii="Arial" w:cs="Arial" w:eastAsia="Arial" w:hAnsi="Arial"/>
                <w:sz w:val="22"/>
                <w:szCs w:val="22"/>
                <w:color w:val="auto"/>
              </w:rPr>
              <w:t>$</w:t>
            </w:r>
          </w:p>
        </w:tc>
        <w:tc>
          <w:tcPr>
            <w:tcW w:w="40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w w:val="88"/>
              </w:rPr>
              <w:t>0.15</w:t>
            </w:r>
          </w:p>
        </w:tc>
        <w:tc>
          <w:tcPr>
            <w:tcW w:w="3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40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b w:val="1"/>
                <w:bCs w:val="1"/>
                <w:color w:val="auto"/>
              </w:rPr>
              <w:t>$</w:t>
            </w:r>
          </w:p>
        </w:tc>
        <w:tc>
          <w:tcPr>
            <w:tcW w:w="38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b w:val="1"/>
                <w:bCs w:val="1"/>
                <w:color w:val="auto"/>
                <w:w w:val="83"/>
              </w:rPr>
              <w:t>0.33</w:t>
            </w:r>
          </w:p>
        </w:tc>
        <w:tc>
          <w:tcPr>
            <w:tcW w:w="1300" w:type="dxa"/>
            <w:vAlign w:val="bottom"/>
            <w:gridSpan w:val="2"/>
            <w:shd w:val="clear" w:color="auto" w:fill="CCEEFF"/>
          </w:tcPr>
          <w:p>
            <w:pPr>
              <w:jc w:val="center"/>
              <w:ind w:left="772"/>
              <w:spacing w:after="0" w:line="243" w:lineRule="exact"/>
              <w:rPr>
                <w:sz w:val="20"/>
                <w:szCs w:val="20"/>
                <w:color w:val="auto"/>
              </w:rPr>
            </w:pPr>
            <w:r>
              <w:rPr>
                <w:rFonts w:ascii="Arial" w:cs="Arial" w:eastAsia="Arial" w:hAnsi="Arial"/>
                <w:sz w:val="22"/>
                <w:szCs w:val="22"/>
                <w:color w:val="auto"/>
                <w:w w:val="81"/>
              </w:rPr>
              <w:t>$</w:t>
            </w:r>
          </w:p>
        </w:tc>
        <w:tc>
          <w:tcPr>
            <w:tcW w:w="740" w:type="dxa"/>
            <w:vAlign w:val="bottom"/>
            <w:gridSpan w:val="2"/>
            <w:shd w:val="clear" w:color="auto" w:fill="CCEEFF"/>
          </w:tcPr>
          <w:p>
            <w:pPr>
              <w:jc w:val="right"/>
              <w:ind w:right="360"/>
              <w:spacing w:after="0" w:line="243" w:lineRule="exact"/>
              <w:rPr>
                <w:sz w:val="20"/>
                <w:szCs w:val="20"/>
                <w:color w:val="auto"/>
              </w:rPr>
            </w:pPr>
            <w:r>
              <w:rPr>
                <w:rFonts w:ascii="Arial" w:cs="Arial" w:eastAsia="Arial" w:hAnsi="Arial"/>
                <w:sz w:val="22"/>
                <w:szCs w:val="22"/>
                <w:color w:val="auto"/>
                <w:w w:val="83"/>
              </w:rPr>
              <w:t>0.66</w:t>
            </w:r>
          </w:p>
        </w:tc>
        <w:tc>
          <w:tcPr>
            <w:tcW w:w="380" w:type="dxa"/>
            <w:vAlign w:val="bottom"/>
            <w:shd w:val="clear" w:color="auto" w:fill="CCEEFF"/>
          </w:tcPr>
          <w:p>
            <w:pPr>
              <w:spacing w:after="0"/>
              <w:rPr>
                <w:sz w:val="24"/>
                <w:szCs w:val="24"/>
                <w:color w:val="auto"/>
              </w:rPr>
            </w:pPr>
          </w:p>
        </w:tc>
        <w:tc>
          <w:tcPr>
            <w:tcW w:w="30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b w:val="1"/>
                <w:bCs w:val="1"/>
                <w:color w:val="auto"/>
              </w:rPr>
              <w:t>$</w:t>
            </w:r>
          </w:p>
        </w:tc>
        <w:tc>
          <w:tcPr>
            <w:tcW w:w="48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b w:val="1"/>
                <w:bCs w:val="1"/>
                <w:color w:val="auto"/>
              </w:rPr>
              <w:t>1.08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340" w:type="dxa"/>
            <w:vAlign w:val="bottom"/>
            <w:tcBorders>
              <w:top w:val="single" w:sz="8" w:color="CCEEFF"/>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3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Weighted average diluted common</w:t>
            </w:r>
          </w:p>
        </w:tc>
        <w:tc>
          <w:tcPr>
            <w:tcW w:w="7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40" w:type="dxa"/>
            <w:vAlign w:val="bottom"/>
          </w:tcPr>
          <w:p>
            <w:pPr>
              <w:ind w:left="180"/>
              <w:spacing w:after="0" w:line="243" w:lineRule="exact"/>
              <w:rPr>
                <w:sz w:val="20"/>
                <w:szCs w:val="20"/>
                <w:color w:val="auto"/>
              </w:rPr>
            </w:pPr>
            <w:r>
              <w:rPr>
                <w:rFonts w:ascii="Arial" w:cs="Arial" w:eastAsia="Arial" w:hAnsi="Arial"/>
                <w:sz w:val="22"/>
                <w:szCs w:val="22"/>
                <w:color w:val="auto"/>
              </w:rPr>
              <w:t>shares outstanding</w:t>
            </w:r>
          </w:p>
        </w:tc>
        <w:tc>
          <w:tcPr>
            <w:tcW w:w="780" w:type="dxa"/>
            <w:vAlign w:val="bottom"/>
          </w:tcPr>
          <w:p>
            <w:pPr>
              <w:spacing w:after="0"/>
              <w:rPr>
                <w:sz w:val="21"/>
                <w:szCs w:val="21"/>
                <w:color w:val="auto"/>
              </w:rPr>
            </w:pPr>
          </w:p>
        </w:tc>
        <w:tc>
          <w:tcPr>
            <w:tcW w:w="400" w:type="dxa"/>
            <w:vAlign w:val="bottom"/>
          </w:tcPr>
          <w:p>
            <w:pPr>
              <w:jc w:val="right"/>
              <w:spacing w:after="0" w:line="243" w:lineRule="exact"/>
              <w:rPr>
                <w:sz w:val="20"/>
                <w:szCs w:val="20"/>
                <w:color w:val="auto"/>
              </w:rPr>
            </w:pPr>
            <w:r>
              <w:rPr>
                <w:rFonts w:ascii="Arial" w:cs="Arial" w:eastAsia="Arial" w:hAnsi="Arial"/>
                <w:sz w:val="22"/>
                <w:szCs w:val="22"/>
                <w:color w:val="auto"/>
                <w:w w:val="88"/>
              </w:rPr>
              <w:t>12.5</w:t>
            </w: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80" w:type="dxa"/>
            <w:vAlign w:val="bottom"/>
          </w:tcPr>
          <w:p>
            <w:pPr>
              <w:jc w:val="right"/>
              <w:spacing w:after="0" w:line="243" w:lineRule="exact"/>
              <w:rPr>
                <w:sz w:val="20"/>
                <w:szCs w:val="20"/>
                <w:color w:val="auto"/>
              </w:rPr>
            </w:pPr>
            <w:r>
              <w:rPr>
                <w:rFonts w:ascii="Arial" w:cs="Arial" w:eastAsia="Arial" w:hAnsi="Arial"/>
                <w:sz w:val="22"/>
                <w:szCs w:val="22"/>
                <w:b w:val="1"/>
                <w:bCs w:val="1"/>
                <w:color w:val="auto"/>
                <w:w w:val="83"/>
              </w:rPr>
              <w:t>12.4</w:t>
            </w:r>
          </w:p>
        </w:tc>
        <w:tc>
          <w:tcPr>
            <w:tcW w:w="5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gridSpan w:val="2"/>
          </w:tcPr>
          <w:p>
            <w:pPr>
              <w:jc w:val="right"/>
              <w:ind w:right="360"/>
              <w:spacing w:after="0" w:line="243" w:lineRule="exact"/>
              <w:rPr>
                <w:sz w:val="20"/>
                <w:szCs w:val="20"/>
                <w:color w:val="auto"/>
              </w:rPr>
            </w:pPr>
            <w:r>
              <w:rPr>
                <w:rFonts w:ascii="Arial" w:cs="Arial" w:eastAsia="Arial" w:hAnsi="Arial"/>
                <w:sz w:val="22"/>
                <w:szCs w:val="22"/>
                <w:color w:val="auto"/>
                <w:w w:val="83"/>
              </w:rPr>
              <w:t>12.4</w:t>
            </w:r>
          </w:p>
        </w:tc>
        <w:tc>
          <w:tcPr>
            <w:tcW w:w="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80" w:type="dxa"/>
            <w:vAlign w:val="bottom"/>
          </w:tcPr>
          <w:p>
            <w:pPr>
              <w:jc w:val="right"/>
              <w:spacing w:after="0" w:line="243" w:lineRule="exact"/>
              <w:rPr>
                <w:sz w:val="20"/>
                <w:szCs w:val="20"/>
                <w:color w:val="auto"/>
              </w:rPr>
            </w:pPr>
            <w:r>
              <w:rPr>
                <w:rFonts w:ascii="Arial" w:cs="Arial" w:eastAsia="Arial" w:hAnsi="Arial"/>
                <w:sz w:val="22"/>
                <w:szCs w:val="22"/>
                <w:b w:val="1"/>
                <w:bCs w:val="1"/>
                <w:color w:val="auto"/>
              </w:rPr>
              <w:t>12.4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4"/>
        </w:trPr>
        <w:tc>
          <w:tcPr>
            <w:tcW w:w="5340" w:type="dxa"/>
            <w:vAlign w:val="bottom"/>
          </w:tcPr>
          <w:p>
            <w:pPr>
              <w:spacing w:after="0"/>
              <w:rPr>
                <w:sz w:val="24"/>
                <w:szCs w:val="24"/>
                <w:color w:val="auto"/>
              </w:rPr>
            </w:pPr>
          </w:p>
        </w:tc>
        <w:tc>
          <w:tcPr>
            <w:tcW w:w="780" w:type="dxa"/>
            <w:vAlign w:val="bottom"/>
          </w:tcPr>
          <w:p>
            <w:pPr>
              <w:ind w:left="160"/>
              <w:spacing w:after="0"/>
              <w:rPr>
                <w:sz w:val="20"/>
                <w:szCs w:val="20"/>
                <w:color w:val="auto"/>
              </w:rPr>
            </w:pPr>
            <w:r>
              <w:rPr>
                <w:rFonts w:ascii="Arial" w:cs="Arial" w:eastAsia="Arial" w:hAnsi="Arial"/>
                <w:sz w:val="14"/>
                <w:szCs w:val="14"/>
                <w:color w:val="auto"/>
              </w:rPr>
              <w:t>- 4 -</w:t>
            </w: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7"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30"/>
          <w:szCs w:val="3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457325" cy="4114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457325" cy="411480"/>
                    </a:xfrm>
                    <a:prstGeom prst="rect">
                      <a:avLst/>
                    </a:prstGeom>
                    <a:noFill/>
                  </pic:spPr>
                </pic:pic>
              </a:graphicData>
            </a:graphic>
          </wp:anchor>
        </w:drawing>
        <w:t>PRESS RELEASE</w:t>
      </w:r>
    </w:p>
    <w:p>
      <w:pPr>
        <w:sectPr>
          <w:pgSz w:w="11900" w:h="16838" w:orient="portrait"/>
          <w:cols w:equalWidth="0" w:num="1">
            <w:col w:w="11240"/>
          </w:cols>
          <w:pgMar w:left="320" w:top="123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 IMMEDIATE RELEASE: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CONTACT:</w:t>
      </w:r>
    </w:p>
    <w:p>
      <w:pPr>
        <w:spacing w:after="0" w:line="211" w:lineRule="exact"/>
        <w:rPr>
          <w:sz w:val="20"/>
          <w:szCs w:val="20"/>
          <w:color w:val="auto"/>
        </w:rPr>
      </w:pPr>
    </w:p>
    <w:p>
      <w:pPr>
        <w:sectPr>
          <w:pgSz w:w="11900" w:h="16838" w:orient="portrait"/>
          <w:cols w:equalWidth="0" w:num="2">
            <w:col w:w="6060" w:space="720"/>
            <w:col w:w="4460"/>
          </w:cols>
          <w:pgMar w:left="320" w:top="1232" w:right="339" w:bottom="1440" w:gutter="0" w:footer="0" w:header="0"/>
          <w:type w:val="continuous"/>
        </w:sectPr>
      </w:pP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color w:val="auto"/>
        </w:rPr>
        <w:t>CompX International Inc.</w:t>
      </w:r>
    </w:p>
    <w:p>
      <w:pPr>
        <w:spacing w:after="0" w:line="238" w:lineRule="auto"/>
        <w:rPr>
          <w:sz w:val="20"/>
          <w:szCs w:val="20"/>
          <w:color w:val="auto"/>
        </w:rPr>
      </w:pPr>
      <w:r>
        <w:rPr>
          <w:rFonts w:ascii="Arial" w:cs="Arial" w:eastAsia="Arial" w:hAnsi="Arial"/>
          <w:sz w:val="22"/>
          <w:szCs w:val="22"/>
          <w:color w:val="auto"/>
        </w:rPr>
        <w:t>Three Lincoln Centre</w:t>
      </w:r>
    </w:p>
    <w:p>
      <w:pPr>
        <w:spacing w:after="0"/>
        <w:rPr>
          <w:sz w:val="20"/>
          <w:szCs w:val="20"/>
          <w:color w:val="auto"/>
        </w:rPr>
      </w:pPr>
      <w:r>
        <w:rPr>
          <w:rFonts w:ascii="Arial" w:cs="Arial" w:eastAsia="Arial" w:hAnsi="Arial"/>
          <w:sz w:val="19"/>
          <w:szCs w:val="19"/>
          <w:color w:val="auto"/>
        </w:rPr>
        <w:t>5430 LBJ Freeway, Suite 1700</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Dallas, Texas 75240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Janet G. Keckeisen</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Investor Relations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Tel. 972-233-1700</w:t>
      </w:r>
    </w:p>
    <w:p>
      <w:pPr>
        <w:spacing w:after="0" w:line="477" w:lineRule="exact"/>
        <w:rPr>
          <w:sz w:val="20"/>
          <w:szCs w:val="20"/>
          <w:color w:val="auto"/>
        </w:rPr>
      </w:pPr>
    </w:p>
    <w:p>
      <w:pPr>
        <w:sectPr>
          <w:pgSz w:w="11900" w:h="16838" w:orient="portrait"/>
          <w:cols w:equalWidth="0" w:num="2">
            <w:col w:w="6060" w:space="720"/>
            <w:col w:w="4460"/>
          </w:cols>
          <w:pgMar w:left="320" w:top="1232" w:right="339" w:bottom="1440" w:gutter="0" w:footer="0" w:header="0"/>
          <w:type w:val="continuous"/>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COMPX DECLARES REGULAR QUARTERLY DIVIDEND</w:t>
      </w:r>
    </w:p>
    <w:p>
      <w:pPr>
        <w:spacing w:after="0" w:line="200" w:lineRule="exact"/>
        <w:rPr>
          <w:sz w:val="20"/>
          <w:szCs w:val="20"/>
          <w:color w:val="auto"/>
        </w:rPr>
      </w:pPr>
    </w:p>
    <w:p>
      <w:pPr>
        <w:spacing w:after="0" w:line="28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DALLAS, TEXAS . . . November 3, 2021 . . . CompX International Inc. (NYSE American: CIX) announced today that its board of directors has declared CompX’s regular quarterly dividend of twenty cents ($0.20) per share on its class A common stock, payable on December 14, 2021 to stockholders of record at the close of business on December 2, 2021.</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CompX is a leading manufacturer of security products and recreational marine components.</w:t>
      </w:r>
    </w:p>
    <w:p>
      <w:pPr>
        <w:spacing w:after="0" w:line="8" w:lineRule="exact"/>
        <w:rPr>
          <w:sz w:val="20"/>
          <w:szCs w:val="20"/>
          <w:color w:val="auto"/>
        </w:rPr>
      </w:pPr>
    </w:p>
    <w:p>
      <w:pPr>
        <w:ind w:left="5320"/>
        <w:spacing w:after="0"/>
        <w:rPr>
          <w:sz w:val="20"/>
          <w:szCs w:val="20"/>
          <w:color w:val="auto"/>
        </w:rPr>
      </w:pPr>
      <w:r>
        <w:rPr>
          <w:rFonts w:ascii="Arial" w:cs="Arial" w:eastAsia="Arial" w:hAnsi="Arial"/>
          <w:sz w:val="22"/>
          <w:szCs w:val="22"/>
          <w:color w:val="auto"/>
        </w:rPr>
        <w:t>* * * *</w:t>
      </w:r>
    </w:p>
    <w:sectPr>
      <w:pgSz w:w="11900" w:h="16838" w:orient="portrait"/>
      <w:cols w:equalWidth="0" w:num="1">
        <w:col w:w="11240"/>
      </w:cols>
      <w:pgMar w:left="320" w:top="1232"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lvl w:ilvl="1">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2021-11-03T15:25:44Z</dcterms:created>
  <dcterms:modified xsi:type="dcterms:W3CDTF">2021-11-03T15:25:44Z</dcterms:modified>
</cp:coreProperties>
</file>