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240"/>
        <w:ind w:left="0" w:right="0" w:hanging="0"/>
        <w:jc w:val="center"/>
        <w:rPr/>
      </w:pPr>
      <w:bookmarkStart w:id="0" w:name="cik-20230801x8k.htm"/>
      <w:bookmarkStart w:id="1" w:name="kscik20230801x8k"/>
      <w:bookmarkEnd w:id="0"/>
      <w:bookmarkEnd w:id="1"/>
      <w:r>
        <w:rPr/>
        <w:t>​</w:t>
      </w:r>
    </w:p>
    <w:p>
      <w:pPr>
        <w:pStyle w:val="TextBody"/>
        <w:bidi w:val="0"/>
        <w:spacing w:before="0" w:after="240"/>
        <w:ind w:left="0" w:right="0" w:hanging="0"/>
        <w:jc w:val="center"/>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c01ac86e_3865_4b2e_816b_2b93cc827e06"/>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w:t>
      </w:r>
    </w:p>
    <w:p>
      <w:pPr>
        <w:pStyle w:val="TextBody"/>
        <w:bidi w:val="0"/>
        <w:spacing w:before="0" w:after="120"/>
        <w:ind w:left="0" w:right="0" w:hanging="0"/>
        <w:jc w:val="center"/>
        <w:rPr>
          <w:rFonts w:ascii="Times New Roman;Times;serif" w:hAnsi="Times New Roman;Times;serif"/>
          <w:b/>
          <w:sz w:val="24"/>
        </w:rPr>
      </w:pPr>
      <w:r>
        <w:rPr>
          <w:rFonts w:ascii="Times New Roman;Times;serif" w:hAnsi="Times New Roman;Times;serif"/>
          <w:b/>
          <w:sz w:val="24"/>
        </w:rPr>
        <w:t>August 1, 2023</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COMPX INTERNATIONAL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zLxFQk3I20OjjTRd9Oo5Mg_5_2"/>
      <w:bookmarkStart w:id="4" w:name="Tc_z-5or9j_hEqj8gSXC2xdZw_5_0"/>
      <w:bookmarkStart w:id="5" w:name="Tc_2crWKD23r0qyYYzM1vug7w_4_0"/>
      <w:bookmarkStart w:id="6" w:name="Tc_gHuJMg2gDE60Y6rFJZnCeg_1_2"/>
      <w:bookmarkStart w:id="7" w:name="Tc_CVLWS1kGG0yYZvdrFEL7lg_1_1"/>
      <w:bookmarkStart w:id="8" w:name="Tc_vcgZYV5nBU23ZWcj1-5d9A_1_0"/>
      <w:bookmarkStart w:id="9" w:name="_b4f68095_e54f_4e44_947a_47c1ed4f140d"/>
      <w:bookmarkStart w:id="10" w:name="Tc_zLxFQk3I20OjjTRd9Oo5Mg_5_2"/>
      <w:bookmarkStart w:id="11" w:name="Tc_z-5or9j_hEqj8gSXC2xdZw_5_0"/>
      <w:bookmarkStart w:id="12" w:name="Tc_2crWKD23r0qyYYzM1vug7w_4_0"/>
      <w:bookmarkStart w:id="13" w:name="Tc_gHuJMg2gDE60Y6rFJZnCeg_1_2"/>
      <w:bookmarkStart w:id="14" w:name="Tc_CVLWS1kGG0yYZvdrFEL7lg_1_1"/>
      <w:bookmarkStart w:id="15" w:name="Tc_vcgZYV5nBU23ZWcj1-5d9A_1_0"/>
      <w:bookmarkStart w:id="16" w:name="_b4f68095_e54f_4e44_947a_47c1ed4f140d"/>
      <w:bookmarkEnd w:id="10"/>
      <w:bookmarkEnd w:id="11"/>
      <w:bookmarkEnd w:id="12"/>
      <w:bookmarkEnd w:id="13"/>
      <w:bookmarkEnd w:id="14"/>
      <w:bookmarkEnd w:id="15"/>
      <w:bookmarkEnd w:id="16"/>
    </w:p>
    <w:tbl>
      <w:tblPr>
        <w:tblW w:w="6513" w:type="dxa"/>
        <w:jc w:val="left"/>
        <w:tblInd w:w="0" w:type="dxa"/>
        <w:tblLayout w:type="fixed"/>
        <w:tblCellMar>
          <w:top w:w="0" w:type="dxa"/>
          <w:left w:w="0" w:type="dxa"/>
          <w:bottom w:w="0" w:type="dxa"/>
          <w:right w:w="0" w:type="dxa"/>
        </w:tblCellMar>
      </w:tblPr>
      <w:tblGrid>
        <w:gridCol w:w="3676"/>
        <w:gridCol w:w="1186"/>
        <w:gridCol w:w="1651"/>
      </w:tblGrid>
      <w:tr>
        <w:trPr/>
        <w:tc>
          <w:tcPr>
            <w:tcW w:w="367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Delaware</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1-13905</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57-0981653</w:t>
            </w:r>
          </w:p>
        </w:tc>
      </w:tr>
      <w:tr>
        <w:trPr/>
        <w:tc>
          <w:tcPr>
            <w:tcW w:w="367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3676" w:type="dxa"/>
            <w:tcBorders/>
            <w:vAlign w:val="center"/>
          </w:tcPr>
          <w:p>
            <w:pPr>
              <w:pStyle w:val="TableContents"/>
              <w:bidi w:val="0"/>
              <w:spacing w:before="0" w:after="240"/>
              <w:ind w:left="0" w:right="0" w:hanging="0"/>
              <w:jc w:val="center"/>
              <w:rPr/>
            </w:pPr>
            <w:r>
              <w:rPr/>
              <w:t>​</w:t>
            </w:r>
          </w:p>
        </w:tc>
        <w:tc>
          <w:tcPr>
            <w:tcW w:w="1186" w:type="dxa"/>
            <w:tcBorders/>
            <w:vAlign w:val="center"/>
          </w:tcPr>
          <w:p>
            <w:pPr>
              <w:pStyle w:val="TableContents"/>
              <w:bidi w:val="0"/>
              <w:spacing w:before="0" w:after="240"/>
              <w:ind w:left="0" w:right="0" w:hanging="0"/>
              <w:jc w:val="center"/>
              <w:rPr/>
            </w:pPr>
            <w:r>
              <w:rPr/>
              <w:t>​</w:t>
            </w:r>
          </w:p>
        </w:tc>
        <w:tc>
          <w:tcPr>
            <w:tcW w:w="1651" w:type="dxa"/>
            <w:tcBorders/>
            <w:vAlign w:val="center"/>
          </w:tcPr>
          <w:p>
            <w:pPr>
              <w:pStyle w:val="TableContents"/>
              <w:bidi w:val="0"/>
              <w:spacing w:before="0" w:after="240"/>
              <w:ind w:left="0" w:right="0" w:hanging="0"/>
              <w:jc w:val="center"/>
              <w:rPr/>
            </w:pPr>
            <w:r>
              <w:rPr/>
              <w:t>​</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5430 LBJ Freeway, Suite 1700, Dallas, Texas</w:t>
            </w:r>
          </w:p>
        </w:tc>
        <w:tc>
          <w:tcPr>
            <w:tcW w:w="1651"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75240-2620</w:t>
            </w:r>
          </w:p>
        </w:tc>
      </w:tr>
      <w:tr>
        <w:trPr/>
        <w:tc>
          <w:tcPr>
            <w:tcW w:w="4862"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6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(972) 448-1400</w:t>
      </w:r>
    </w:p>
    <w:p>
      <w:pPr>
        <w:pStyle w:val="TextBody"/>
        <w:bidi w:val="0"/>
        <w:spacing w:before="0" w:after="240"/>
        <w:ind w:left="0" w:right="0" w:hanging="0"/>
        <w:jc w:val="both"/>
        <w:rPr/>
      </w:pPr>
      <w:r>
        <w:rPr/>
        <w:t>​</w:t>
      </w:r>
    </w:p>
    <w:tbl>
      <w:tblPr>
        <w:tblW w:w="5289" w:type="dxa"/>
        <w:jc w:val="left"/>
        <w:tblInd w:w="0" w:type="dxa"/>
        <w:tblLayout w:type="fixed"/>
        <w:tblCellMar>
          <w:top w:w="0" w:type="dxa"/>
          <w:left w:w="0" w:type="dxa"/>
          <w:bottom w:w="0" w:type="dxa"/>
          <w:right w:w="0" w:type="dxa"/>
        </w:tblCellMar>
      </w:tblPr>
      <w:tblGrid>
        <w:gridCol w:w="124"/>
        <w:gridCol w:w="5011"/>
        <w:gridCol w:w="154"/>
      </w:tblGrid>
      <w:tr>
        <w:trPr/>
        <w:tc>
          <w:tcPr>
            <w:tcW w:w="124" w:type="dxa"/>
            <w:tcBorders/>
            <w:vAlign w:val="center"/>
          </w:tcPr>
          <w:p>
            <w:pPr>
              <w:pStyle w:val="TableContents"/>
              <w:bidi w:val="0"/>
              <w:spacing w:before="0" w:after="240"/>
              <w:ind w:left="0" w:right="0" w:hanging="0"/>
              <w:jc w:val="center"/>
              <w:rPr/>
            </w:pPr>
            <w:r>
              <w:rPr/>
              <w:t>​</w:t>
            </w:r>
          </w:p>
        </w:tc>
        <w:tc>
          <w:tcPr>
            <w:tcW w:w="5011" w:type="dxa"/>
            <w:tcBorders>
              <w:bottom w:val="single" w:sz="2" w:space="0" w:color="000000"/>
            </w:tcBorders>
            <w:tcMar>
              <w:bottom w:w="28" w:type="dxa"/>
            </w:tcMar>
            <w:vAlign w:val="center"/>
          </w:tcPr>
          <w:p>
            <w:pPr>
              <w:pStyle w:val="TableContents"/>
              <w:bidi w:val="0"/>
              <w:spacing w:before="0" w:after="240"/>
              <w:ind w:left="0" w:right="0" w:hanging="0"/>
              <w:jc w:val="center"/>
              <w:rPr/>
            </w:pPr>
            <w:r>
              <w:rPr/>
              <w:t>​</w:t>
            </w:r>
          </w:p>
        </w:tc>
        <w:tc>
          <w:tcPr>
            <w:tcW w:w="154" w:type="dxa"/>
            <w:tcBorders/>
            <w:vAlign w:val="center"/>
          </w:tcPr>
          <w:p>
            <w:pPr>
              <w:pStyle w:val="TableContents"/>
              <w:bidi w:val="0"/>
              <w:spacing w:before="0" w:after="240"/>
              <w:ind w:left="0" w:right="0" w:hanging="0"/>
              <w:jc w:val="center"/>
              <w:rPr/>
            </w:pPr>
            <w:r>
              <w:rPr/>
              <w:t>​</w:t>
            </w:r>
          </w:p>
        </w:tc>
      </w:tr>
      <w:tr>
        <w:trPr/>
        <w:tc>
          <w:tcPr>
            <w:tcW w:w="124" w:type="dxa"/>
            <w:tcBorders/>
            <w:vAlign w:val="center"/>
          </w:tcPr>
          <w:p>
            <w:pPr>
              <w:pStyle w:val="TableContents"/>
              <w:bidi w:val="0"/>
              <w:spacing w:before="0" w:after="240"/>
              <w:ind w:left="0" w:right="0" w:hanging="0"/>
              <w:jc w:val="center"/>
              <w:rPr/>
            </w:pPr>
            <w:r>
              <w:rPr/>
              <w:t>​</w:t>
            </w:r>
          </w:p>
        </w:tc>
        <w:tc>
          <w:tcPr>
            <w:tcW w:w="50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tc>
        <w:tc>
          <w:tcPr>
            <w:tcW w:w="154" w:type="dxa"/>
            <w:tcBorders/>
            <w:vAlign w:val="center"/>
          </w:tcPr>
          <w:p>
            <w:pPr>
              <w:pStyle w:val="TableContents"/>
              <w:bidi w:val="0"/>
              <w:spacing w:before="0" w:after="24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 (see General Instruction A.2):</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7" w:name="Tc_sxDU6bqkHkCYQMgKumCp9g_6_1"/>
      <w:bookmarkStart w:id="18" w:name="Tc_6X_d46uPwk-bSdfKNDqDNw_4_1"/>
      <w:bookmarkStart w:id="19" w:name="Tc_gsqQKuQfdE2m4EhoKGJH2A_2_1"/>
      <w:bookmarkStart w:id="20" w:name="Tc_Ewprdxq5T0iZxnCc4KWfkA_0_1"/>
      <w:bookmarkStart w:id="21" w:name="_03f466d9_c487_4fb9_bacb_2fc3efc44005"/>
      <w:bookmarkStart w:id="22" w:name="Tc_sxDU6bqkHkCYQMgKumCp9g_6_1"/>
      <w:bookmarkStart w:id="23" w:name="Tc_6X_d46uPwk-bSdfKNDqDNw_4_1"/>
      <w:bookmarkStart w:id="24" w:name="Tc_gsqQKuQfdE2m4EhoKGJH2A_2_1"/>
      <w:bookmarkStart w:id="25" w:name="Tc_Ewprdxq5T0iZxnCc4KWfkA_0_1"/>
      <w:bookmarkStart w:id="26" w:name="_03f466d9_c487_4fb9_bacb_2fc3efc44005"/>
      <w:bookmarkEnd w:id="22"/>
      <w:bookmarkEnd w:id="23"/>
      <w:bookmarkEnd w:id="24"/>
      <w:bookmarkEnd w:id="25"/>
      <w:bookmarkEnd w:id="26"/>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240"/>
              <w:ind w:left="0" w:right="0" w:hanging="0"/>
              <w:jc w:val="center"/>
              <w:rPr/>
            </w:pPr>
            <w:r>
              <w:rPr/>
              <w:t>​</w:t>
            </w:r>
          </w:p>
        </w:tc>
        <w:tc>
          <w:tcPr>
            <w:tcW w:w="9181" w:type="dxa"/>
            <w:tcBorders/>
            <w:vAlign w:val="center"/>
          </w:tcPr>
          <w:p>
            <w:pPr>
              <w:pStyle w:val="TableContents"/>
              <w:bidi w:val="0"/>
              <w:spacing w:before="0" w:after="240"/>
              <w:ind w:left="0" w:right="0" w:hanging="0"/>
              <w:jc w:val="both"/>
              <w:rPr/>
            </w:pPr>
            <w:r>
              <w:rPr/>
              <w:t>​</w:t>
            </w:r>
          </w:p>
        </w:tc>
      </w:tr>
      <w:tr>
        <w:trPr/>
        <w:tc>
          <w:tcPr>
            <w:tcW w:w="331" w:type="dxa"/>
            <w:tcBorders/>
            <w:vAlign w:val="center"/>
          </w:tcPr>
          <w:p>
            <w:pPr>
              <w:pStyle w:val="TableContents"/>
              <w:bidi w:val="0"/>
              <w:spacing w:before="0" w:after="0"/>
              <w:ind w:left="0" w:right="0" w:hanging="0"/>
              <w:jc w:val="center"/>
              <w:rPr/>
            </w:pPr>
            <w:r>
              <w:rPr/>
              <w:t>☐</w:t>
            </w:r>
          </w:p>
        </w:tc>
        <w:tc>
          <w:tcPr>
            <w:tcW w:w="918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7" w:name="Tc_rZgKqYSIOk-QQ5rZJW0bRA_1_0"/>
      <w:bookmarkStart w:id="28" w:name="Tc_0ijV9a1eOkqsLKmxwl6DDw_0_4"/>
      <w:bookmarkStart w:id="29" w:name="Tc_24AZeXMdNUG4x3k-iAt8Ig_0_2"/>
      <w:bookmarkStart w:id="30" w:name="Tc_f8uOV0ooPUGpONGln4LDAg_0_0"/>
      <w:bookmarkStart w:id="31" w:name="_84013d71_9fc3_4d86_8558_81d89f73a4dd"/>
      <w:bookmarkStart w:id="32" w:name="Tc_rZgKqYSIOk-QQ5rZJW0bRA_1_0"/>
      <w:bookmarkStart w:id="33" w:name="Tc_0ijV9a1eOkqsLKmxwl6DDw_0_4"/>
      <w:bookmarkStart w:id="34" w:name="Tc_24AZeXMdNUG4x3k-iAt8Ig_0_2"/>
      <w:bookmarkStart w:id="35" w:name="Tc_f8uOV0ooPUGpONGln4LDAg_0_0"/>
      <w:bookmarkStart w:id="36" w:name="_84013d71_9fc3_4d86_8558_81d89f73a4dd"/>
      <w:bookmarkEnd w:id="32"/>
      <w:bookmarkEnd w:id="33"/>
      <w:bookmarkEnd w:id="34"/>
      <w:bookmarkEnd w:id="35"/>
      <w:bookmarkEnd w:id="36"/>
    </w:p>
    <w:tbl>
      <w:tblPr>
        <w:tblW w:w="6715" w:type="dxa"/>
        <w:jc w:val="left"/>
        <w:tblInd w:w="0" w:type="dxa"/>
        <w:tblLayout w:type="fixed"/>
        <w:tblCellMar>
          <w:top w:w="0" w:type="dxa"/>
          <w:left w:w="0" w:type="dxa"/>
          <w:bottom w:w="28" w:type="dxa"/>
          <w:right w:w="0" w:type="dxa"/>
        </w:tblCellMar>
      </w:tblPr>
      <w:tblGrid>
        <w:gridCol w:w="1921"/>
        <w:gridCol w:w="326"/>
        <w:gridCol w:w="826"/>
        <w:gridCol w:w="326"/>
        <w:gridCol w:w="3316"/>
      </w:tblGrid>
      <w:tr>
        <w:trPr/>
        <w:tc>
          <w:tcPr>
            <w:tcW w:w="1921"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26" w:type="dxa"/>
            <w:tcBorders>
              <w:bottom w:val="single" w:sz="2" w:space="0" w:color="000000"/>
            </w:tcBorders>
            <w:vAlign w:val="center"/>
          </w:tcPr>
          <w:p>
            <w:pPr>
              <w:pStyle w:val="TableContents"/>
              <w:bidi w:val="0"/>
              <w:spacing w:before="0" w:after="0"/>
              <w:ind w:left="0" w:right="0" w:hanging="0"/>
              <w:jc w:val="center"/>
              <w:rPr/>
            </w:pPr>
            <w:r>
              <w:rPr/>
              <w:t>    </w:t>
            </w:r>
          </w:p>
        </w:tc>
        <w:tc>
          <w:tcPr>
            <w:tcW w:w="3316"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1921"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Class A common stock</w:t>
            </w:r>
          </w:p>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($.01 par value per share)</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82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CIX</w:t>
            </w:r>
          </w:p>
        </w:tc>
        <w:tc>
          <w:tcPr>
            <w:tcW w:w="326" w:type="dxa"/>
            <w:tcBorders/>
            <w:tcMar>
              <w:bottom w:w="0" w:type="dxa"/>
            </w:tcMar>
            <w:vAlign w:val="center"/>
          </w:tcPr>
          <w:p>
            <w:pPr>
              <w:pStyle w:val="TableContents"/>
              <w:bidi w:val="0"/>
              <w:spacing w:before="0" w:after="240"/>
              <w:ind w:left="0" w:right="0" w:hanging="0"/>
              <w:jc w:val="center"/>
              <w:rPr/>
            </w:pPr>
            <w:r>
              <w:rPr/>
              <w:t>​</w:t>
            </w:r>
          </w:p>
        </w:tc>
        <w:tc>
          <w:tcPr>
            <w:tcW w:w="3316"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NYSE American</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2" w:space="1" w:color="000000"/>
          <w:bottom w:val="single" w:sz="24" w:space="1" w:color="000000"/>
        </w:pBdr>
        <w:bidi w:val="0"/>
        <w:spacing w:before="0" w:after="240"/>
        <w:ind w:left="0" w:right="0" w:hanging="0"/>
        <w:jc w:val="left"/>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ind w:left="600" w:right="600" w:hanging="0"/>
        <w:jc w:val="left"/>
        <w:rPr>
          <w:sz w:val="4"/>
          <w:szCs w:val="4"/>
        </w:rPr>
      </w:pPr>
      <w:r>
        <w:rPr>
          <w:sz w:val="4"/>
          <w:szCs w:val="4"/>
        </w:rPr>
      </w:r>
      <w:bookmarkStart w:id="37" w:name="_975f9c8f_3204_42f1_911a_db58b7024110"/>
      <w:bookmarkStart w:id="38" w:name="_975f9c8f_3204_42f1_911a_db58b7024110"/>
      <w:bookmarkEnd w:id="38"/>
    </w:p>
    <w:tbl>
      <w:tblPr>
        <w:tblW w:w="4889" w:type="dxa"/>
        <w:jc w:val="left"/>
        <w:tblInd w:w="0" w:type="dxa"/>
        <w:tblLayout w:type="fixed"/>
        <w:tblCellMar>
          <w:top w:w="0" w:type="dxa"/>
          <w:left w:w="0" w:type="dxa"/>
          <w:bottom w:w="0" w:type="dxa"/>
          <w:right w:w="0" w:type="dxa"/>
        </w:tblCellMar>
      </w:tblPr>
      <w:tblGrid>
        <w:gridCol w:w="898"/>
        <w:gridCol w:w="3991"/>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2.02</w:t>
            </w:r>
          </w:p>
        </w:tc>
        <w:tc>
          <w:tcPr>
            <w:tcW w:w="3991"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Results of Operations and Financial Condition.</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left"/>
        <w:rPr>
          <w:rFonts w:ascii="Times New Roman;Times;serif" w:hAnsi="Times New Roman;Times;serif"/>
          <w:spacing w:val="-3"/>
          <w:sz w:val="20"/>
        </w:rPr>
      </w:pPr>
      <w:r>
        <w:rPr>
          <w:rFonts w:ascii="Times New Roman;Times;serif" w:hAnsi="Times New Roman;Times;serif"/>
          <w:spacing w:val="-3"/>
          <w:sz w:val="20"/>
        </w:rPr>
        <w:t>The registrant hereby furnishes the information set forth in its press release entitled “CompX Reports Second Quarter 2023 Results” that the registrant issued on August 1, 2023, a copy of which is attached hereto as Exhibit 99.1 and incorporated herein by reference.</w:t>
      </w:r>
    </w:p>
    <w:p>
      <w:pPr>
        <w:pStyle w:val="TextBody"/>
        <w:bidi w:val="0"/>
        <w:spacing w:before="0" w:after="0"/>
        <w:ind w:left="0" w:right="0" w:firstLine="720"/>
        <w:jc w:val="left"/>
        <w:rPr>
          <w:spacing w:val="-3"/>
        </w:rPr>
      </w:pPr>
      <w:r>
        <w:rPr>
          <w:spacing w:val="-3"/>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press release the registrant furnishes as Exhibit 99.1 to this current report is not </w:t>
      </w:r>
      <w:r>
        <w:rPr>
          <w:rFonts w:ascii="Times New Roman;Times;serif" w:hAnsi="Times New Roman;Times;serif"/>
          <w:spacing w:val="-3"/>
          <w:sz w:val="20"/>
        </w:rPr>
        <w:t>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pStyle w:val="TextBody"/>
        <w:bidi w:val="0"/>
        <w:spacing w:before="0" w:after="0"/>
        <w:ind w:left="0" w:right="0" w:firstLine="720"/>
        <w:jc w:val="both"/>
        <w:rPr/>
      </w:pPr>
      <w:r>
        <w:rPr/>
        <w:t>​</w:t>
      </w:r>
    </w:p>
    <w:p>
      <w:pPr>
        <w:pStyle w:val="TextBody"/>
        <w:pBdr/>
        <w:bidi w:val="0"/>
        <w:spacing w:before="0" w:after="0"/>
        <w:ind w:left="0" w:right="0" w:hanging="1440"/>
        <w:jc w:val="left"/>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39" w:name="_2551be75_21c2_43ea_a11f_93269eded678"/>
      <w:bookmarkStart w:id="40" w:name="_2551be75_21c2_43ea_a11f_93269eded678"/>
      <w:bookmarkEnd w:id="40"/>
    </w:p>
    <w:tbl>
      <w:tblPr>
        <w:tblW w:w="3194" w:type="dxa"/>
        <w:jc w:val="left"/>
        <w:tblInd w:w="0" w:type="dxa"/>
        <w:tblLayout w:type="fixed"/>
        <w:tblCellMar>
          <w:top w:w="0" w:type="dxa"/>
          <w:left w:w="0" w:type="dxa"/>
          <w:bottom w:w="0" w:type="dxa"/>
          <w:right w:w="0" w:type="dxa"/>
        </w:tblCellMar>
      </w:tblPr>
      <w:tblGrid>
        <w:gridCol w:w="898"/>
        <w:gridCol w:w="2296"/>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7.01</w:t>
            </w:r>
          </w:p>
        </w:tc>
        <w:tc>
          <w:tcPr>
            <w:tcW w:w="2296"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Regulation FD Disclosure.</w:t>
            </w:r>
          </w:p>
        </w:tc>
      </w:tr>
    </w:tbl>
    <w:p>
      <w:pPr>
        <w:pStyle w:val="TextBody"/>
        <w:bidi w:val="0"/>
        <w:spacing w:before="0" w:after="0"/>
        <w:ind w:left="0" w:right="0" w:hanging="0"/>
        <w:jc w:val="left"/>
        <w:rPr>
          <w:spacing w:val="-3"/>
        </w:rPr>
      </w:pPr>
      <w:r>
        <w:rPr>
          <w:spacing w:val="-3"/>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pacing w:val="-3"/>
          <w:sz w:val="20"/>
        </w:rPr>
        <w:t xml:space="preserve">The registrant hereby furnishes the information set forth in its press release entitled “CompX </w:t>
      </w:r>
      <w:r>
        <w:rPr>
          <w:rFonts w:ascii="Times New Roman;Times;serif" w:hAnsi="Times New Roman;Times;serif"/>
          <w:sz w:val="20"/>
        </w:rPr>
        <w:t>Declares Regular Quarterly Dividend</w:t>
      </w:r>
      <w:r>
        <w:rPr>
          <w:rFonts w:ascii="Times New Roman;Times;serif" w:hAnsi="Times New Roman;Times;serif"/>
          <w:spacing w:val="-3"/>
          <w:sz w:val="20"/>
        </w:rPr>
        <w:t xml:space="preserve">” that the registrant also </w:t>
      </w:r>
      <w:r>
        <w:rPr>
          <w:rFonts w:ascii="Times New Roman;Times;serif" w:hAnsi="Times New Roman;Times;serif"/>
          <w:sz w:val="20"/>
        </w:rPr>
        <w:t>issued on August 1, 2023, a copy of which is attached hereto as Exhibit 99.2 and incorporated herein by reference.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w:t>
      </w:r>
      <w:r>
        <w:rPr>
          <w:rFonts w:ascii="Times New Roman;Times;serif" w:hAnsi="Times New Roman;Times;serif"/>
          <w:spacing w:val="-3"/>
          <w:sz w:val="20"/>
        </w:rPr>
        <w:t xml:space="preserve">U.S. </w:t>
      </w:r>
      <w:r>
        <w:rPr>
          <w:rFonts w:ascii="Times New Roman;Times;serif" w:hAnsi="Times New Roman;Times;serif"/>
          <w:sz w:val="20"/>
        </w:rPr>
        <w:t>Securities and Exchange Commission shall not incorporate this information by reference, except as otherwise expressly stated in such filing.</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pBdr/>
        <w:bidi w:val="0"/>
        <w:spacing w:before="0" w:after="0"/>
        <w:ind w:left="0" w:right="0" w:hanging="1440"/>
        <w:jc w:val="left"/>
        <w:rPr/>
      </w:pPr>
      <w:r>
        <w:rPr/>
        <w:t>​</w:t>
      </w:r>
    </w:p>
    <w:p>
      <w:pPr>
        <w:pStyle w:val="Normal"/>
        <w:bidi w:val="0"/>
        <w:spacing w:before="0" w:after="0"/>
        <w:jc w:val="left"/>
        <w:rPr>
          <w:sz w:val="4"/>
          <w:szCs w:val="4"/>
        </w:rPr>
      </w:pPr>
      <w:r>
        <w:rPr>
          <w:sz w:val="4"/>
          <w:szCs w:val="4"/>
        </w:rPr>
      </w:r>
      <w:bookmarkStart w:id="41" w:name="_b09e09cf_cd8d_4846_a497_89cc3c8b9515"/>
      <w:bookmarkStart w:id="42" w:name="_b09e09cf_cd8d_4846_a497_89cc3c8b9515"/>
      <w:bookmarkEnd w:id="42"/>
    </w:p>
    <w:tbl>
      <w:tblPr>
        <w:tblW w:w="3893" w:type="dxa"/>
        <w:jc w:val="left"/>
        <w:tblInd w:w="0" w:type="dxa"/>
        <w:tblLayout w:type="fixed"/>
        <w:tblCellMar>
          <w:top w:w="0" w:type="dxa"/>
          <w:left w:w="0" w:type="dxa"/>
          <w:bottom w:w="0" w:type="dxa"/>
          <w:right w:w="0" w:type="dxa"/>
        </w:tblCellMar>
      </w:tblPr>
      <w:tblGrid>
        <w:gridCol w:w="898"/>
        <w:gridCol w:w="2995"/>
      </w:tblGrid>
      <w:tr>
        <w:trPr/>
        <w:tc>
          <w:tcPr>
            <w:tcW w:w="898"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Item 9.01</w:t>
            </w:r>
          </w:p>
        </w:tc>
        <w:tc>
          <w:tcPr>
            <w:tcW w:w="2995" w:type="dxa"/>
            <w:tcBorders/>
            <w:vAlign w:val="center"/>
          </w:tcPr>
          <w:p>
            <w:pPr>
              <w:pStyle w:val="TableContents"/>
              <w:bidi w:val="0"/>
              <w:spacing w:before="0" w:after="0"/>
              <w:jc w:val="left"/>
              <w:rPr>
                <w:rFonts w:ascii="Times New Roman;Times;serif" w:hAnsi="Times New Roman;Times;serif"/>
                <w:b/>
                <w:spacing w:val="-3"/>
                <w:sz w:val="20"/>
              </w:rPr>
            </w:pPr>
            <w:r>
              <w:rPr>
                <w:rFonts w:ascii="Times New Roman;Times;serif" w:hAnsi="Times New Roman;Times;serif"/>
                <w:b/>
                <w:spacing w:val="-3"/>
                <w:sz w:val="20"/>
              </w:rPr>
              <w:t>Financial Statements and Exhibits.</w:t>
            </w:r>
          </w:p>
        </w:tc>
      </w:tr>
    </w:tbl>
    <w:p>
      <w:pPr>
        <w:pStyle w:val="TextBody"/>
        <w:pBdr/>
        <w:bidi w:val="0"/>
        <w:spacing w:before="0" w:after="0"/>
        <w:ind w:left="0" w:right="0" w:hanging="1620"/>
        <w:jc w:val="left"/>
        <w:rPr>
          <w:spacing w:val="-3"/>
        </w:rPr>
      </w:pPr>
      <w:r>
        <w:rPr>
          <w:spacing w:val="-3"/>
        </w:rPr>
        <w:t>​</w:t>
      </w:r>
    </w:p>
    <w:tbl>
      <w:tblPr>
        <w:tblW w:w="10205" w:type="dxa"/>
        <w:jc w:val="left"/>
        <w:tblInd w:w="0" w:type="dxa"/>
        <w:tblLayout w:type="fixed"/>
        <w:tblCellMar>
          <w:top w:w="0" w:type="dxa"/>
          <w:left w:w="0" w:type="dxa"/>
          <w:bottom w:w="0" w:type="dxa"/>
          <w:right w:w="0" w:type="dxa"/>
        </w:tblCellMar>
      </w:tblPr>
      <w:tblGrid>
        <w:gridCol w:w="337"/>
        <w:gridCol w:w="807"/>
        <w:gridCol w:w="109"/>
        <w:gridCol w:w="8952"/>
      </w:tblGrid>
      <w:tr>
        <w:trPr/>
        <w:tc>
          <w:tcPr>
            <w:tcW w:w="3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807"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33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(d)</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Exhibits</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center"/>
              <w:rPr>
                <w:spacing w:val="-3"/>
              </w:rPr>
            </w:pPr>
            <w:r>
              <w:rPr>
                <w:spacing w:val="-3"/>
              </w:rPr>
              <w:t>​</w:t>
            </w:r>
          </w:p>
        </w:tc>
        <w:tc>
          <w:tcPr>
            <w:tcW w:w="807"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Item No.</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pBdr>
                <w:bottom w:val="single" w:sz="2" w:space="1" w:color="000000"/>
              </w:pBdr>
              <w:bidi w:val="0"/>
              <w:spacing w:before="0" w:after="0"/>
              <w:ind w:left="0" w:right="0" w:hanging="0"/>
              <w:jc w:val="center"/>
              <w:rPr>
                <w:rFonts w:ascii="Times New Roman;Times;serif" w:hAnsi="Times New Roman;Times;serif"/>
                <w:b/>
                <w:spacing w:val="-3"/>
                <w:sz w:val="20"/>
              </w:rPr>
            </w:pPr>
            <w:r>
              <w:rPr>
                <w:rFonts w:ascii="Times New Roman;Times;serif" w:hAnsi="Times New Roman;Times;serif"/>
                <w:b/>
                <w:spacing w:val="-3"/>
                <w:sz w:val="20"/>
              </w:rPr>
              <w:t>Description</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99.1</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pPr>
            <w:hyperlink w:anchor="cik-20230801xex99d1.htm">
              <w:r>
                <w:rPr>
                  <w:rStyle w:val="InternetLink"/>
                  <w:rFonts w:ascii="Times New Roman;Times;serif" w:hAnsi="Times New Roman;Times;serif"/>
                  <w:b w:val="false"/>
                  <w:i w:val="false"/>
                  <w:caps w:val="false"/>
                  <w:smallCaps w:val="false"/>
                  <w:sz w:val="20"/>
                </w:rPr>
                <w:t xml:space="preserve">Press release dated August 1, 2023 </w:t>
              </w:r>
            </w:hyperlink>
            <w:hyperlink w:anchor="cik-20230801xex99d1.htm">
              <w:r>
                <w:rPr>
                  <w:rStyle w:val="InternetLink"/>
                  <w:rFonts w:ascii="Times New Roman;Times;serif" w:hAnsi="Times New Roman;Times;serif"/>
                  <w:b w:val="false"/>
                  <w:i w:val="false"/>
                  <w:caps w:val="false"/>
                  <w:smallCaps w:val="false"/>
                  <w:spacing w:val="-3"/>
                  <w:sz w:val="20"/>
                </w:rPr>
                <w:t xml:space="preserve">entitled “CompX Reports Second Quarter 2023 Results” and </w:t>
              </w:r>
            </w:hyperlink>
            <w:hyperlink w:anchor="cik-20230801xex99d1.htm">
              <w:r>
                <w:rPr>
                  <w:rStyle w:val="InternetLink"/>
                  <w:rFonts w:ascii="Times New Roman;Times;serif" w:hAnsi="Times New Roman;Times;serif"/>
                  <w:b w:val="false"/>
                  <w:i w:val="false"/>
                  <w:caps w:val="false"/>
                  <w:smallCaps w:val="false"/>
                  <w:sz w:val="20"/>
                </w:rPr>
                <w:t>issued by the registrant.</w:t>
              </w:r>
            </w:hyperlink>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spacing w:val="-3"/>
              </w:rPr>
            </w:pPr>
            <w:r>
              <w:rPr>
                <w:spacing w:val="-3"/>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99.2</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pPr>
            <w:hyperlink w:anchor="cik-20230801xex99d2.htm">
              <w:r>
                <w:rPr>
                  <w:rStyle w:val="InternetLink"/>
                  <w:rFonts w:ascii="Times New Roman;Times;serif" w:hAnsi="Times New Roman;Times;serif"/>
                  <w:b w:val="false"/>
                  <w:i w:val="false"/>
                  <w:caps w:val="false"/>
                  <w:smallCaps w:val="false"/>
                  <w:sz w:val="20"/>
                </w:rPr>
                <w:t xml:space="preserve">Press release dated August 1, 2023 </w:t>
              </w:r>
            </w:hyperlink>
            <w:hyperlink w:anchor="cik-20230801xex99d2.htm">
              <w:r>
                <w:rPr>
                  <w:rStyle w:val="InternetLink"/>
                  <w:rFonts w:ascii="Times New Roman;Times;serif" w:hAnsi="Times New Roman;Times;serif"/>
                  <w:b w:val="false"/>
                  <w:i w:val="false"/>
                  <w:caps w:val="false"/>
                  <w:smallCaps w:val="false"/>
                  <w:spacing w:val="-3"/>
                  <w:sz w:val="20"/>
                </w:rPr>
                <w:t>entitled “</w:t>
              </w:r>
            </w:hyperlink>
            <w:hyperlink w:anchor="cik-20230801xex99d2.htm">
              <w:r>
                <w:rPr>
                  <w:rStyle w:val="InternetLink"/>
                  <w:rFonts w:ascii="Times New Roman;Times;serif" w:hAnsi="Times New Roman;Times;serif"/>
                  <w:b w:val="false"/>
                  <w:i w:val="false"/>
                  <w:caps w:val="false"/>
                  <w:smallCaps w:val="false"/>
                  <w:sz w:val="20"/>
                </w:rPr>
                <w:t>CompX Declares Regular Quarterly Dividend</w:t>
              </w:r>
            </w:hyperlink>
            <w:hyperlink w:anchor="cik-20230801xex99d2.htm">
              <w:r>
                <w:rPr>
                  <w:rStyle w:val="InternetLink"/>
                  <w:rFonts w:ascii="Times New Roman;Times;serif" w:hAnsi="Times New Roman;Times;serif"/>
                  <w:caps w:val="false"/>
                  <w:smallCaps w:val="false"/>
                  <w:spacing w:val="-3"/>
                  <w:sz w:val="20"/>
                </w:rPr>
                <w:t xml:space="preserve">” </w:t>
              </w:r>
            </w:hyperlink>
            <w:hyperlink w:anchor="cik-20230801xex99d2.htm">
              <w:r>
                <w:rPr>
                  <w:rStyle w:val="InternetLink"/>
                  <w:rFonts w:ascii="Times New Roman;Times;serif" w:hAnsi="Times New Roman;Times;serif"/>
                  <w:b w:val="false"/>
                  <w:i w:val="false"/>
                  <w:caps w:val="false"/>
                  <w:smallCaps w:val="false"/>
                  <w:spacing w:val="-3"/>
                  <w:sz w:val="20"/>
                </w:rPr>
                <w:t xml:space="preserve">and </w:t>
              </w:r>
            </w:hyperlink>
            <w:hyperlink w:anchor="cik-20230801xex99d2.htm">
              <w:r>
                <w:rPr>
                  <w:rStyle w:val="InternetLink"/>
                  <w:rFonts w:ascii="Times New Roman;Times;serif" w:hAnsi="Times New Roman;Times;serif"/>
                  <w:b w:val="false"/>
                  <w:i w:val="false"/>
                  <w:caps w:val="false"/>
                  <w:smallCaps w:val="false"/>
                  <w:sz w:val="20"/>
                </w:rPr>
                <w:t>issued by the registrant</w:t>
              </w:r>
            </w:hyperlink>
            <w:r>
              <w:rPr>
                <w:rFonts w:ascii="Times New Roman;Times;serif" w:hAnsi="Times New Roman;Times;serif"/>
                <w:sz w:val="20"/>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spacing w:val="-3"/>
              </w:rPr>
            </w:pPr>
            <w:r>
              <w:rPr>
                <w:spacing w:val="-3"/>
              </w:rPr>
              <w:t>​</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pPr>
            <w:r>
              <w:rPr/>
              <w:t>​</w:t>
            </w:r>
          </w:p>
        </w:tc>
      </w:tr>
      <w:tr>
        <w:trPr/>
        <w:tc>
          <w:tcPr>
            <w:tcW w:w="337" w:type="dxa"/>
            <w:tcBorders/>
            <w:vAlign w:val="center"/>
          </w:tcPr>
          <w:p>
            <w:pPr>
              <w:pStyle w:val="TableContents"/>
              <w:bidi w:val="0"/>
              <w:spacing w:before="0" w:after="0"/>
              <w:ind w:left="0" w:right="0" w:hanging="0"/>
              <w:jc w:val="left"/>
              <w:rPr>
                <w:spacing w:val="-3"/>
              </w:rPr>
            </w:pPr>
            <w:r>
              <w:rPr>
                <w:spacing w:val="-3"/>
              </w:rPr>
              <w:t>​</w:t>
            </w:r>
          </w:p>
        </w:tc>
        <w:tc>
          <w:tcPr>
            <w:tcW w:w="807" w:type="dxa"/>
            <w:tcBorders/>
            <w:vAlign w:val="center"/>
          </w:tcPr>
          <w:p>
            <w:pPr>
              <w:pStyle w:val="TableContents"/>
              <w:bidi w:val="0"/>
              <w:spacing w:before="0" w:after="0"/>
              <w:ind w:left="0" w:right="0" w:hanging="0"/>
              <w:jc w:val="left"/>
              <w:rPr>
                <w:rFonts w:ascii="Times New Roman;Times;serif" w:hAnsi="Times New Roman;Times;serif"/>
                <w:spacing w:val="-3"/>
                <w:sz w:val="20"/>
              </w:rPr>
            </w:pPr>
            <w:r>
              <w:rPr>
                <w:rFonts w:ascii="Times New Roman;Times;serif" w:hAnsi="Times New Roman;Times;serif"/>
                <w:spacing w:val="-3"/>
                <w:sz w:val="20"/>
              </w:rPr>
              <w:t>104</w:t>
            </w:r>
          </w:p>
        </w:tc>
        <w:tc>
          <w:tcPr>
            <w:tcW w:w="109" w:type="dxa"/>
            <w:tcBorders/>
            <w:vAlign w:val="center"/>
          </w:tcPr>
          <w:p>
            <w:pPr>
              <w:pStyle w:val="TableContents"/>
              <w:bidi w:val="0"/>
              <w:spacing w:before="0" w:after="0"/>
              <w:ind w:left="0" w:right="0" w:hanging="0"/>
              <w:jc w:val="left"/>
              <w:rPr>
                <w:spacing w:val="-3"/>
              </w:rPr>
            </w:pPr>
            <w:r>
              <w:rPr>
                <w:spacing w:val="-3"/>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43" w:name="_a3c83447_f836_462b_b4ea_38f1e8562ddd"/>
      <w:bookmarkEnd w:id="43"/>
      <w:r>
        <w:rPr>
          <w:rFonts w:ascii="Times New Roman;Times;serif" w:hAnsi="Times New Roman;Times;serif"/>
          <w:b/>
          <w:sz w:val="20"/>
        </w:rPr>
        <w:t>SIGNATURE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240"/>
        <w:ind w:left="0" w:right="0" w:hanging="0"/>
        <w:jc w:val="center"/>
        <w:rPr/>
      </w:pPr>
      <w:r>
        <w:rPr/>
        <w:t>​</w:t>
      </w:r>
    </w:p>
    <w:tbl>
      <w:tblPr>
        <w:tblW w:w="5253" w:type="dxa"/>
        <w:jc w:val="left"/>
        <w:tblInd w:w="0" w:type="dxa"/>
        <w:tblLayout w:type="fixed"/>
        <w:tblCellMar>
          <w:top w:w="0" w:type="dxa"/>
          <w:left w:w="0" w:type="dxa"/>
          <w:bottom w:w="0" w:type="dxa"/>
          <w:right w:w="0" w:type="dxa"/>
        </w:tblCellMar>
      </w:tblPr>
      <w:tblGrid>
        <w:gridCol w:w="1846"/>
        <w:gridCol w:w="406"/>
        <w:gridCol w:w="3001"/>
      </w:tblGrid>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COMPX INTERNATIONAL INC.</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Amy A. Samford</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Amy A. Samford</w:t>
            </w:r>
          </w:p>
        </w:tc>
      </w:tr>
      <w:tr>
        <w:trPr/>
        <w:tc>
          <w:tcPr>
            <w:tcW w:w="18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Executive Vice President and</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 2023</w:t>
            </w:r>
          </w:p>
        </w:tc>
        <w:tc>
          <w:tcPr>
            <w:tcW w:w="406" w:type="dxa"/>
            <w:tcBorders/>
            <w:vAlign w:val="center"/>
          </w:tcPr>
          <w:p>
            <w:pPr>
              <w:pStyle w:val="TableContents"/>
              <w:bidi w:val="0"/>
              <w:spacing w:before="0" w:after="0"/>
              <w:ind w:left="0" w:right="0" w:hanging="0"/>
              <w:jc w:val="left"/>
              <w:rPr/>
            </w:pPr>
            <w:r>
              <w:rPr/>
              <w:t>​</w:t>
            </w:r>
          </w:p>
        </w:tc>
        <w:tc>
          <w:tcPr>
            <w:tcW w:w="300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4" w:name="cik-20230801xex99d1.htm"/>
      <w:bookmarkStart w:id="45" w:name="kscik20230801xex99d1"/>
      <w:bookmarkStart w:id="46" w:name="cik-20230801xex99d1.htm"/>
      <w:bookmarkStart w:id="47" w:name="kscik20230801xex99d1"/>
      <w:bookmarkEnd w:id="46"/>
      <w:bookmarkEnd w:id="47"/>
      <w:r>
        <w:br w:type="page"/>
      </w:r>
    </w:p>
    <w:tbl>
      <w:tblPr>
        <w:tblW w:w="4420" w:type="dxa"/>
        <w:jc w:val="left"/>
        <w:tblInd w:w="0" w:type="dxa"/>
        <w:tblLayout w:type="fixed"/>
        <w:tblCellMar>
          <w:top w:w="0" w:type="dxa"/>
          <w:left w:w="0" w:type="dxa"/>
          <w:bottom w:w="0" w:type="dxa"/>
          <w:right w:w="0" w:type="dxa"/>
        </w:tblCellMar>
      </w:tblPr>
      <w:tblGrid>
        <w:gridCol w:w="4420"/>
      </w:tblGrid>
      <w:tr>
        <w:trPr/>
        <w:tc>
          <w:tcPr>
            <w:tcW w:w="4420" w:type="dxa"/>
            <w:tcBorders/>
            <w:vAlign w:val="center"/>
          </w:tcPr>
          <w:p>
            <w:pPr>
              <w:pStyle w:val="TableContents"/>
              <w:bidi w:val="0"/>
              <w:spacing w:before="0" w:after="0"/>
              <w:ind w:left="0" w:right="0" w:hanging="0"/>
              <w:jc w:val="right"/>
              <w:rPr/>
            </w:pPr>
            <w:r>
              <w:rPr/>
              <w:t>​</w:t>
            </w:r>
          </w:p>
        </w:tc>
      </w:tr>
      <w:tr>
        <w:trPr/>
        <w:tc>
          <w:tcPr>
            <w:tcW w:w="4420" w:type="dxa"/>
            <w:tcBorders/>
            <w:vAlign w:val="center"/>
          </w:tcPr>
          <w:p>
            <w:pPr>
              <w:pStyle w:val="TableContents"/>
              <w:bidi w:val="0"/>
              <w:spacing w:before="0" w:after="0"/>
              <w:ind w:left="0" w:right="0" w:hanging="0"/>
              <w:jc w:val="left"/>
              <w:rPr/>
            </w:pPr>
            <w:r>
              <w:rPr/>
              <w:t>​</w:t>
            </w:r>
          </w:p>
        </w:tc>
      </w:tr>
      <w:tr>
        <w:trPr/>
        <w:tc>
          <w:tcPr>
            <w:tcW w:w="4420"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30"/>
        </w:rPr>
      </w:pPr>
      <w:r>
        <w:rPr>
          <w:rFonts w:ascii="Times New Roman;Times;serif" w:hAnsi="Times New Roman;Times;serif"/>
          <w:b/>
          <w:sz w:val="30"/>
        </w:rPr>
        <w:t>COMPX REPORTS SECOND QUARTER 2023 RESULTS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 xml:space="preserve">DALLAS, TEXAS </w:t>
      </w:r>
      <w:r>
        <w:rPr>
          <w:rFonts w:ascii="Times New Roman;Times;serif" w:hAnsi="Times New Roman;Times;serif"/>
          <w:sz w:val="20"/>
        </w:rPr>
        <w:t xml:space="preserve">… </w:t>
      </w:r>
      <w:r>
        <w:rPr>
          <w:rFonts w:ascii="Times New Roman;Times;serif" w:hAnsi="Times New Roman;Times;serif"/>
          <w:sz w:val="24"/>
        </w:rPr>
        <w:t xml:space="preserve">August 1, 2023 </w:t>
      </w:r>
      <w:r>
        <w:rPr>
          <w:rFonts w:ascii="Times New Roman;Times;serif" w:hAnsi="Times New Roman;Times;serif"/>
          <w:sz w:val="20"/>
        </w:rPr>
        <w:t xml:space="preserve">… </w:t>
      </w:r>
      <w:r>
        <w:rPr>
          <w:rFonts w:ascii="Times New Roman;Times;serif" w:hAnsi="Times New Roman;Times;serif"/>
          <w:sz w:val="24"/>
        </w:rPr>
        <w:t xml:space="preserve">CompX International Inc. (NYSE American: CIX) announced today sales of $36.6 million for the second quarter of 2023 compared to $41.6 million in the same period of 2022. Operating income was $4.4 million in the second quarter of 2023 compared to $7.7 million in the same period of 2022. Net income was $4.0 million, or $.33 per basic and diluted common share, for the second quarter of 2023 compared to $6.2 million, or $.50 per basic and diluted common share, in the same period of 2022.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For the six months ended June 30, 2023, sales were $77.8 million compared to $83.7 million in the previous year. Operating income was $11.4 million for the first six months of 2023 compared to $14.0 million for the same period in 2022. Net income for the six months ended June 20, 2023, was $10.1 million or $.82 per diluted share, compared to $11.2 million, or $.90 per diluted share, for the same period in 2022.</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Second quarter and year-to-date 2023 net sales decreased over the comparable 2022 periods predominantly due to lower Security Products sales to the government security market and, to a lesser extent, lower Marine Component sales to the towboat market. Operating income decreased in the second quarter and first six months of 2023 compared to the same periods in 2022 primarily due to lower sales and gross margin in the second quarter of 2023 for both Security Products and Marine Components.</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 It operates from three locations in the U.S. and employs approximately 600 people.</w:t>
      </w:r>
    </w:p>
    <w:p>
      <w:pPr>
        <w:pStyle w:val="TextBody"/>
        <w:bidi w:val="0"/>
        <w:spacing w:before="0" w:after="120"/>
        <w:ind w:left="0" w:right="0" w:hanging="0"/>
        <w:jc w:val="left"/>
        <w:rPr/>
      </w:pPr>
      <w:r>
        <w:rPr/>
        <w:t>​</w:t>
      </w:r>
    </w:p>
    <w:p>
      <w:pPr>
        <w:pStyle w:val="TextBody"/>
        <w:bidi w:val="0"/>
        <w:spacing w:before="0" w:after="120"/>
        <w:ind w:left="0" w:right="0" w:hanging="0"/>
        <w:jc w:val="left"/>
        <w:rPr>
          <w:rFonts w:ascii="Times New Roman;Times;serif" w:hAnsi="Times New Roman;Times;serif"/>
          <w:b/>
          <w:sz w:val="24"/>
        </w:rPr>
      </w:pPr>
      <w:r>
        <w:rPr>
          <w:rFonts w:ascii="Times New Roman;Times;serif" w:hAnsi="Times New Roman;Times;serif"/>
          <w:b/>
          <w:sz w:val="24"/>
        </w:rPr>
        <w:t>Forward-Looking Statements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4"/>
        </w:rPr>
        <w:t>The statements in this press release relating to matters that are not historical facts are forward-looking statements that represent management</w:t>
      </w:r>
      <w:r>
        <w:rPr>
          <w:rFonts w:ascii="Times New Roman;Times;serif" w:hAnsi="Times New Roman;Times;serif"/>
          <w:sz w:val="20"/>
        </w:rPr>
        <w:t>’</w:t>
      </w:r>
      <w:r>
        <w:rPr>
          <w:rFonts w:ascii="Times New Roman;Times;serif" w:hAnsi="Times New Roman;Times;serif"/>
          <w:sz w:val="24"/>
        </w:rPr>
        <w:t xml:space="preserve">s belief and assumptions based on currently available information.  Although we believe the expectations reflected in such forward-looking statements are reasonable, we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we continue to face many risks and uncertainties. </w:t>
      </w:r>
    </w:p>
    <w:p>
      <w:pPr>
        <w:pStyle w:val="TextBody"/>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factors that could cause our actual future results to differ materially include, but are not limited to, the following:</w:t>
      </w:r>
    </w:p>
    <w:tbl>
      <w:tblPr>
        <w:tblW w:w="3198" w:type="dxa"/>
        <w:jc w:val="left"/>
        <w:tblInd w:w="0" w:type="dxa"/>
        <w:tblLayout w:type="fixed"/>
        <w:tblCellMar>
          <w:top w:w="0" w:type="dxa"/>
          <w:left w:w="0" w:type="dxa"/>
          <w:bottom w:w="0" w:type="dxa"/>
          <w:right w:w="0" w:type="dxa"/>
        </w:tblCellMar>
      </w:tblPr>
      <w:tblGrid>
        <w:gridCol w:w="23"/>
        <w:gridCol w:w="95"/>
        <w:gridCol w:w="308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308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Future demand for our products,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Changes in our raw material and other operating costs (such as zinc, brass, aluminum, steel and energy costs) and our ability to pass those costs on to our customers or offset them with reductions in other operating costs,</w:t>
            </w:r>
          </w:p>
        </w:tc>
      </w:tr>
    </w:tbl>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133" w:type="dxa"/>
        <w:jc w:val="left"/>
        <w:tblInd w:w="0" w:type="dxa"/>
        <w:tblLayout w:type="fixed"/>
        <w:tblCellMar>
          <w:top w:w="0" w:type="dxa"/>
          <w:left w:w="0" w:type="dxa"/>
          <w:bottom w:w="0" w:type="dxa"/>
          <w:right w:w="0" w:type="dxa"/>
        </w:tblCellMar>
      </w:tblPr>
      <w:tblGrid>
        <w:gridCol w:w="23"/>
        <w:gridCol w:w="95"/>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801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Price and product competition from low-cost manufacturing sources (such as China),</w:t>
            </w:r>
          </w:p>
        </w:tc>
      </w:tr>
    </w:tbl>
    <w:tbl>
      <w:tblPr>
        <w:tblW w:w="4653" w:type="dxa"/>
        <w:jc w:val="left"/>
        <w:tblInd w:w="0" w:type="dxa"/>
        <w:tblLayout w:type="fixed"/>
        <w:tblCellMar>
          <w:top w:w="0" w:type="dxa"/>
          <w:left w:w="0" w:type="dxa"/>
          <w:bottom w:w="0" w:type="dxa"/>
          <w:right w:w="0" w:type="dxa"/>
        </w:tblCellMar>
      </w:tblPr>
      <w:tblGrid>
        <w:gridCol w:w="23"/>
        <w:gridCol w:w="95"/>
        <w:gridCol w:w="453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453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The impact of pricing and production decisions,</w:t>
            </w:r>
          </w:p>
        </w:tc>
      </w:tr>
    </w:tbl>
    <w:tbl>
      <w:tblPr>
        <w:tblW w:w="6273" w:type="dxa"/>
        <w:jc w:val="left"/>
        <w:tblInd w:w="0" w:type="dxa"/>
        <w:tblLayout w:type="fixed"/>
        <w:tblCellMar>
          <w:top w:w="0" w:type="dxa"/>
          <w:left w:w="0" w:type="dxa"/>
          <w:bottom w:w="0" w:type="dxa"/>
          <w:right w:w="0" w:type="dxa"/>
        </w:tblCellMar>
      </w:tblPr>
      <w:tblGrid>
        <w:gridCol w:w="23"/>
        <w:gridCol w:w="95"/>
        <w:gridCol w:w="61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615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Customer and competitor strategies including substitute products,</w:t>
            </w:r>
          </w:p>
        </w:tc>
      </w:tr>
    </w:tbl>
    <w:tbl>
      <w:tblPr>
        <w:tblW w:w="8133" w:type="dxa"/>
        <w:jc w:val="left"/>
        <w:tblInd w:w="0" w:type="dxa"/>
        <w:tblLayout w:type="fixed"/>
        <w:tblCellMar>
          <w:top w:w="0" w:type="dxa"/>
          <w:left w:w="0" w:type="dxa"/>
          <w:bottom w:w="0" w:type="dxa"/>
          <w:right w:w="0" w:type="dxa"/>
        </w:tblCellMar>
      </w:tblPr>
      <w:tblGrid>
        <w:gridCol w:w="23"/>
        <w:gridCol w:w="95"/>
        <w:gridCol w:w="80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801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Uncertainties associated with the development of new products and product features,</w:t>
            </w:r>
          </w:p>
        </w:tc>
      </w:tr>
    </w:tbl>
    <w:tbl>
      <w:tblPr>
        <w:tblW w:w="1698" w:type="dxa"/>
        <w:jc w:val="left"/>
        <w:tblInd w:w="0" w:type="dxa"/>
        <w:tblLayout w:type="fixed"/>
        <w:tblCellMar>
          <w:top w:w="0" w:type="dxa"/>
          <w:left w:w="0" w:type="dxa"/>
          <w:bottom w:w="0" w:type="dxa"/>
          <w:right w:w="0" w:type="dxa"/>
        </w:tblCellMar>
      </w:tblPr>
      <w:tblGrid>
        <w:gridCol w:w="23"/>
        <w:gridCol w:w="95"/>
        <w:gridCol w:w="158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58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Future litigation,</w:t>
            </w:r>
          </w:p>
        </w:tc>
      </w:tr>
    </w:tbl>
    <w:tbl>
      <w:tblPr>
        <w:tblW w:w="6018" w:type="dxa"/>
        <w:jc w:val="left"/>
        <w:tblInd w:w="0" w:type="dxa"/>
        <w:tblLayout w:type="fixed"/>
        <w:tblCellMar>
          <w:top w:w="0" w:type="dxa"/>
          <w:left w:w="0" w:type="dxa"/>
          <w:bottom w:w="0" w:type="dxa"/>
          <w:right w:w="0" w:type="dxa"/>
        </w:tblCellMar>
      </w:tblPr>
      <w:tblGrid>
        <w:gridCol w:w="23"/>
        <w:gridCol w:w="95"/>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590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Our ability to protect or defend our intellectual property rights,</w:t>
            </w:r>
          </w:p>
        </w:tc>
      </w:tr>
    </w:tbl>
    <w:tbl>
      <w:tblPr>
        <w:tblW w:w="5163" w:type="dxa"/>
        <w:jc w:val="left"/>
        <w:tblInd w:w="0" w:type="dxa"/>
        <w:tblLayout w:type="fixed"/>
        <w:tblCellMar>
          <w:top w:w="0" w:type="dxa"/>
          <w:left w:w="0" w:type="dxa"/>
          <w:bottom w:w="0" w:type="dxa"/>
          <w:right w:w="0" w:type="dxa"/>
        </w:tblCellMar>
      </w:tblPr>
      <w:tblGrid>
        <w:gridCol w:w="23"/>
        <w:gridCol w:w="95"/>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5045"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Potential difficulties in integrating future acquisitions,</w:t>
            </w:r>
          </w:p>
        </w:tc>
      </w:tr>
    </w:tbl>
    <w:tbl>
      <w:tblPr>
        <w:tblW w:w="7518" w:type="dxa"/>
        <w:jc w:val="left"/>
        <w:tblInd w:w="0" w:type="dxa"/>
        <w:tblLayout w:type="fixed"/>
        <w:tblCellMar>
          <w:top w:w="0" w:type="dxa"/>
          <w:left w:w="0" w:type="dxa"/>
          <w:bottom w:w="0" w:type="dxa"/>
          <w:right w:w="0" w:type="dxa"/>
        </w:tblCellMar>
      </w:tblPr>
      <w:tblGrid>
        <w:gridCol w:w="23"/>
        <w:gridCol w:w="95"/>
        <w:gridCol w:w="7400"/>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7400"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Decisions to sell operating assets other than in the ordinary course of business,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Environmental matters (such as those requiring emission and discharge standards for existing and new facilities),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The ultimate outcome of income tax audits, tax settlement initiatives or other tax matters, including future tax reform,</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Government laws and regulations and possible changes therein including new environmental health and safety or other regulations,</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4"/>
              </w:rPr>
              <w:t>General global economic and political conditions that introduce instability into our supply chain, impact our customers</w:t>
            </w:r>
            <w:r>
              <w:rPr>
                <w:rFonts w:ascii="Times New Roman;Times;serif" w:hAnsi="Times New Roman;Times;serif"/>
                <w:sz w:val="20"/>
              </w:rPr>
              <w:t xml:space="preserve">’ </w:t>
            </w:r>
            <w:r>
              <w:rPr>
                <w:rFonts w:ascii="Times New Roman;Times;serif" w:hAnsi="Times New Roman;Times;serif"/>
                <w:sz w:val="24"/>
              </w:rPr>
              <w:t>level of demand or our customers</w:t>
            </w:r>
            <w:r>
              <w:rPr>
                <w:rFonts w:ascii="Times New Roman;Times;serif" w:hAnsi="Times New Roman;Times;serif"/>
                <w:sz w:val="20"/>
              </w:rPr>
              <w:t xml:space="preserve">’ </w:t>
            </w:r>
            <w:r>
              <w:rPr>
                <w:rFonts w:ascii="Times New Roman;Times;serif" w:hAnsi="Times New Roman;Times;serif"/>
                <w:sz w:val="24"/>
              </w:rPr>
              <w:t>perception regarding demand or impair our ability to operate our facilities (including changes in the level of gross domestic product in various regions of the world, natural disasters, terrorist acts, global conflicts and public health crises such as COVID-19),</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Operating interruptions (including, but not limited to labor disputes, hazardous chemical leaks, natural disasters, fires, explosions, unscheduled or unplanned downtime, transportation interruptions, cyber-attacks and public health crises such as COVID-19); and</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both"/>
              <w:rPr>
                <w:rFonts w:ascii="Symbol" w:hAnsi="Symbol"/>
                <w:sz w:val="20"/>
              </w:rPr>
            </w:pPr>
            <w:r>
              <w:rPr>
                <w:rFonts w:ascii="Symbol" w:hAnsi="Symbol"/>
                <w:sz w:val="20"/>
              </w:rPr>
              <w:t>·</w:t>
            </w:r>
          </w:p>
        </w:tc>
        <w:tc>
          <w:tcPr>
            <w:tcW w:w="10087" w:type="dxa"/>
            <w:tcBorders/>
            <w:vAlign w:val="center"/>
          </w:tcPr>
          <w:p>
            <w:pPr>
              <w:pStyle w:val="TableContents"/>
              <w:bidi w:val="0"/>
              <w:spacing w:before="0" w:after="120"/>
              <w:jc w:val="both"/>
              <w:rPr>
                <w:rFonts w:ascii="Times New Roman;Times;serif" w:hAnsi="Times New Roman;Times;serif"/>
                <w:sz w:val="24"/>
              </w:rPr>
            </w:pPr>
            <w:r>
              <w:rPr>
                <w:rFonts w:ascii="Times New Roman;Times;serif" w:hAnsi="Times New Roman;Times;serif"/>
                <w:sz w:val="24"/>
              </w:rPr>
              <w:t>Possible disruption of our business or increases in the cost of doing business resulting from terrorist activities or global conflicts.</w:t>
            </w:r>
          </w:p>
        </w:tc>
      </w:tr>
    </w:tbl>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Should one or more of these risks materialize or if the consequences worsen, or if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 * * * *</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COMPX INTERNATIONAL INC.</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SUMMARY OF CONSOLIDATED OPERATIONS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 millions, except per share amounts)</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9701" w:type="dxa"/>
        <w:jc w:val="left"/>
        <w:tblInd w:w="0" w:type="dxa"/>
        <w:tblLayout w:type="fixed"/>
        <w:tblCellMar>
          <w:top w:w="0" w:type="dxa"/>
          <w:left w:w="0" w:type="dxa"/>
          <w:bottom w:w="0" w:type="dxa"/>
          <w:right w:w="0" w:type="dxa"/>
        </w:tblCellMar>
      </w:tblPr>
      <w:tblGrid>
        <w:gridCol w:w="5221"/>
        <w:gridCol w:w="272"/>
        <w:gridCol w:w="634"/>
        <w:gridCol w:w="392"/>
        <w:gridCol w:w="272"/>
        <w:gridCol w:w="634"/>
        <w:gridCol w:w="326"/>
        <w:gridCol w:w="226"/>
        <w:gridCol w:w="526"/>
        <w:gridCol w:w="326"/>
        <w:gridCol w:w="226"/>
        <w:gridCol w:w="646"/>
      </w:tblGrid>
      <w:tr>
        <w:trPr/>
        <w:tc>
          <w:tcPr>
            <w:tcW w:w="5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3315335" cy="175260"/>
                      <wp:effectExtent l="0" t="0" r="0" b="0"/>
                      <wp:wrapNone/>
                      <wp:docPr id="2" name="Frame1"/>
                      <a:graphic xmlns:a="http://schemas.openxmlformats.org/drawingml/2006/main">
                        <a:graphicData uri="http://schemas.microsoft.com/office/word/2010/wordprocessingShape">
                          <wps:wsp>
                            <wps:cNvSpPr txBox="1"/>
                            <wps:spPr>
                              <a:xfrm>
                                <a:off x="0" y="0"/>
                                <a:ext cx="3315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72720" cy="175260"/>
                      <wp:effectExtent l="0" t="0" r="0" b="0"/>
                      <wp:wrapNone/>
                      <wp:docPr id="3" name="Frame2"/>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02590" cy="175260"/>
                      <wp:effectExtent l="0" t="0" r="0" b="0"/>
                      <wp:wrapNone/>
                      <wp:docPr id="4" name="Frame3"/>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48920" cy="175260"/>
                      <wp:effectExtent l="0" t="0" r="0" b="0"/>
                      <wp:wrapNone/>
                      <wp:docPr id="5" name="Frame4"/>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72720" cy="175260"/>
                      <wp:effectExtent l="0" t="0" r="0" b="0"/>
                      <wp:wrapNone/>
                      <wp:docPr id="6" name="Frame5"/>
                      <a:graphic xmlns:a="http://schemas.openxmlformats.org/drawingml/2006/main">
                        <a:graphicData uri="http://schemas.microsoft.com/office/word/2010/wordprocessingShape">
                          <wps:wsp>
                            <wps:cNvSpPr txBox="1"/>
                            <wps:spPr>
                              <a:xfrm>
                                <a:off x="0" y="0"/>
                                <a:ext cx="172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402590" cy="175260"/>
                      <wp:effectExtent l="0" t="0" r="0" b="0"/>
                      <wp:wrapNone/>
                      <wp:docPr id="7" name="Frame6"/>
                      <a:graphic xmlns:a="http://schemas.openxmlformats.org/drawingml/2006/main">
                        <a:graphicData uri="http://schemas.microsoft.com/office/word/2010/wordprocessingShape">
                          <wps:wsp>
                            <wps:cNvSpPr txBox="1"/>
                            <wps:spPr>
                              <a:xfrm>
                                <a:off x="0" y="0"/>
                                <a:ext cx="402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07010" cy="175260"/>
                      <wp:effectExtent l="0" t="0" r="0" b="0"/>
                      <wp:wrapNone/>
                      <wp:docPr id="8"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3510" cy="175260"/>
                      <wp:effectExtent l="0" t="0" r="0" b="0"/>
                      <wp:wrapNone/>
                      <wp:docPr id="9" name="Frame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34010" cy="175260"/>
                      <wp:effectExtent l="0" t="0" r="0" b="0"/>
                      <wp:wrapNone/>
                      <wp:docPr id="10" name="Frame9"/>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1"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3510" cy="175260"/>
                      <wp:effectExtent l="0" t="0" r="0" b="0"/>
                      <wp:wrapNone/>
                      <wp:docPr id="12" name="Frame1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10210" cy="175260"/>
                      <wp:effectExtent l="0" t="0" r="0" b="0"/>
                      <wp:wrapNone/>
                      <wp:docPr id="13" name="Frame12"/>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21" w:type="dxa"/>
            <w:tcBorders/>
            <w:vAlign w:val="center"/>
          </w:tcPr>
          <w:p>
            <w:pPr>
              <w:pStyle w:val="TableContents"/>
              <w:bidi w:val="0"/>
              <w:spacing w:before="0" w:after="0"/>
              <w:ind w:left="0" w:right="0" w:hanging="0"/>
              <w:jc w:val="left"/>
              <w:rPr/>
            </w:pPr>
            <w:r>
              <w:rPr/>
              <w:t>​</w:t>
            </w:r>
          </w:p>
        </w:tc>
        <w:tc>
          <w:tcPr>
            <w:tcW w:w="2204"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Three months ended</w:t>
            </w:r>
          </w:p>
        </w:tc>
        <w:tc>
          <w:tcPr>
            <w:tcW w:w="326" w:type="dxa"/>
            <w:tcBorders/>
            <w:vAlign w:val="center"/>
          </w:tcPr>
          <w:p>
            <w:pPr>
              <w:pStyle w:val="TableContents"/>
              <w:bidi w:val="0"/>
              <w:spacing w:before="0" w:after="0"/>
              <w:ind w:left="0" w:right="0" w:hanging="0"/>
              <w:jc w:val="left"/>
              <w:rPr/>
            </w:pPr>
            <w:r>
              <w:rPr/>
              <w:t>    </w:t>
            </w:r>
          </w:p>
        </w:tc>
        <w:tc>
          <w:tcPr>
            <w:tcW w:w="1950" w:type="dxa"/>
            <w:gridSpan w:val="5"/>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Six months ended</w:t>
            </w:r>
          </w:p>
        </w:tc>
      </w:tr>
      <w:tr>
        <w:trPr/>
        <w:tc>
          <w:tcPr>
            <w:tcW w:w="5221" w:type="dxa"/>
            <w:tcBorders/>
            <w:vAlign w:val="center"/>
          </w:tcPr>
          <w:p>
            <w:pPr>
              <w:pStyle w:val="TableContents"/>
              <w:bidi w:val="0"/>
              <w:spacing w:before="0" w:after="0"/>
              <w:ind w:left="0" w:right="0" w:hanging="0"/>
              <w:jc w:val="left"/>
              <w:rPr/>
            </w:pPr>
            <w:r>
              <w:rPr/>
              <w:t>​</w:t>
            </w:r>
          </w:p>
        </w:tc>
        <w:tc>
          <w:tcPr>
            <w:tcW w:w="220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June 30,</w:t>
            </w:r>
          </w:p>
        </w:tc>
        <w:tc>
          <w:tcPr>
            <w:tcW w:w="326" w:type="dxa"/>
            <w:tcBorders/>
            <w:vAlign w:val="center"/>
          </w:tcPr>
          <w:p>
            <w:pPr>
              <w:pStyle w:val="TableContents"/>
              <w:bidi w:val="0"/>
              <w:spacing w:before="0" w:after="0"/>
              <w:ind w:left="0" w:right="0" w:hanging="0"/>
              <w:jc w:val="left"/>
              <w:rPr/>
            </w:pPr>
            <w:r>
              <w:rPr/>
              <w:t>​</w:t>
            </w:r>
          </w:p>
        </w:tc>
        <w:tc>
          <w:tcPr>
            <w:tcW w:w="19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June 30,</w:t>
            </w:r>
          </w:p>
        </w:tc>
      </w:tr>
      <w:tr>
        <w:trPr/>
        <w:tc>
          <w:tcPr>
            <w:tcW w:w="5221" w:type="dxa"/>
            <w:tcBorders/>
            <w:vAlign w:val="center"/>
          </w:tcPr>
          <w:p>
            <w:pPr>
              <w:pStyle w:val="TableContents"/>
              <w:bidi w:val="0"/>
              <w:spacing w:before="0" w:after="0"/>
              <w:ind w:left="0" w:right="0" w:hanging="0"/>
              <w:jc w:val="left"/>
              <w:rPr/>
            </w:pPr>
            <w:r>
              <w:rPr/>
              <w:t>​</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2022</w:t>
            </w:r>
          </w:p>
        </w:tc>
        <w:tc>
          <w:tcPr>
            <w:tcW w:w="392" w:type="dxa"/>
            <w:tcBorders/>
            <w:vAlign w:val="center"/>
          </w:tcPr>
          <w:p>
            <w:pPr>
              <w:pStyle w:val="TableContents"/>
              <w:bidi w:val="0"/>
              <w:spacing w:before="0" w:after="0"/>
              <w:ind w:left="0" w:right="0" w:hanging="0"/>
              <w:jc w:val="left"/>
              <w:rPr/>
            </w:pPr>
            <w:r>
              <w:rPr/>
              <w:t>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2023</w:t>
            </w:r>
          </w:p>
        </w:tc>
        <w:tc>
          <w:tcPr>
            <w:tcW w:w="326" w:type="dxa"/>
            <w:tcBorders/>
            <w:vAlign w:val="center"/>
          </w:tcPr>
          <w:p>
            <w:pPr>
              <w:pStyle w:val="TableContents"/>
              <w:bidi w:val="0"/>
              <w:spacing w:before="0" w:after="0"/>
              <w:ind w:left="0" w:right="0" w:hanging="0"/>
              <w:jc w:val="left"/>
              <w:rPr/>
            </w:pPr>
            <w:r>
              <w:rPr/>
              <w:t>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2022</w:t>
            </w:r>
          </w:p>
        </w:tc>
        <w:tc>
          <w:tcPr>
            <w:tcW w:w="326" w:type="dxa"/>
            <w:tcBorders/>
            <w:vAlign w:val="center"/>
          </w:tcPr>
          <w:p>
            <w:pPr>
              <w:pStyle w:val="TableContents"/>
              <w:bidi w:val="0"/>
              <w:spacing w:before="0" w:after="0"/>
              <w:ind w:left="0" w:right="0" w:hanging="0"/>
              <w:jc w:val="left"/>
              <w:rPr/>
            </w:pPr>
            <w:r>
              <w:rPr/>
              <w:t>    </w:t>
            </w:r>
          </w:p>
        </w:tc>
        <w:tc>
          <w:tcPr>
            <w:tcW w:w="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2023</w:t>
            </w:r>
          </w:p>
        </w:tc>
      </w:tr>
      <w:tr>
        <w:trPr/>
        <w:tc>
          <w:tcPr>
            <w:tcW w:w="9701" w:type="dxa"/>
            <w:gridSpan w:val="12"/>
            <w:tcBorders/>
            <w:vAlign w:val="center"/>
          </w:tcPr>
          <w:p>
            <w:pPr>
              <w:pStyle w:val="TableContents"/>
              <w:bidi w:val="0"/>
              <w:spacing w:before="0" w:after="283"/>
              <w:ind w:left="0" w:right="0" w:hanging="0"/>
              <w:jc w:val="left"/>
              <w:rPr>
                <w:sz w:val="4"/>
                <w:szCs w:val="4"/>
              </w:rPr>
            </w:pPr>
            <w:r>
              <w:rPr>
                <w:sz w:val="4"/>
                <w:szCs w:val="4"/>
              </w:rPr>
            </w:r>
          </w:p>
        </w:tc>
      </w:tr>
      <w:tr>
        <w:trPr/>
        <w:tc>
          <w:tcPr>
            <w:tcW w:w="5221" w:type="dxa"/>
            <w:tcBorders/>
            <w:vAlign w:val="center"/>
          </w:tcPr>
          <w:p>
            <w:pPr>
              <w:pStyle w:val="TableContents"/>
              <w:bidi w:val="0"/>
              <w:spacing w:before="0" w:after="0"/>
              <w:ind w:left="0" w:right="0" w:hanging="0"/>
              <w:jc w:val="left"/>
              <w:rPr/>
            </w:pPr>
            <w:r>
              <w:rPr/>
              <w:t>​</w:t>
            </w:r>
          </w:p>
        </w:tc>
        <w:tc>
          <w:tcPr>
            <w:tcW w:w="4480" w:type="dxa"/>
            <w:gridSpan w:val="11"/>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(unaudited)</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sales</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41.6</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36.6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83.7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77.8</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Cost of sales</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28.0</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26.3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58.0</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54.8</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Gross margin</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13.6</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10.3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25.7</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23.0</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Selling, general and administrative expense</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5.9</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5.9</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11.7</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11.6</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Operating income</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7.7</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4.4</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11.4</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Interest income</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.9</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1.9</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Income before taxes</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8.1</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 </w:t>
            </w:r>
          </w:p>
        </w:tc>
        <w:tc>
          <w:tcPr>
            <w:tcW w:w="634"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5.3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14.6</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13.3</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Provision for income taxes</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1.9</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3.4</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3.2</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Net income</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6.2</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11.2</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10.1</w:t>
            </w:r>
          </w:p>
        </w:tc>
      </w:tr>
      <w:tr>
        <w:trPr/>
        <w:tc>
          <w:tcPr>
            <w:tcW w:w="5221"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pPr>
            <w:r>
              <w:rPr/>
              <w:t>​</w:t>
            </w:r>
          </w:p>
        </w:tc>
        <w:tc>
          <w:tcPr>
            <w:tcW w:w="392"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63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right"/>
              <w:rPr/>
            </w:pPr>
            <w:r>
              <w:rPr/>
              <w:t>​</w:t>
            </w:r>
          </w:p>
        </w:tc>
      </w:tr>
      <w:tr>
        <w:trPr/>
        <w:tc>
          <w:tcPr>
            <w:tcW w:w="5221" w:type="dxa"/>
            <w:tcBorders/>
            <w:shd w:fill="CCEEFF" w:val="cle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Basic and diluted net income per common share</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.50</w:t>
            </w:r>
          </w:p>
        </w:tc>
        <w:tc>
          <w:tcPr>
            <w:tcW w:w="392" w:type="dxa"/>
            <w:tcBorders/>
            <w:shd w:fill="CCEEFF" w:val="clear"/>
            <w:vAlign w:val="center"/>
          </w:tcPr>
          <w:p>
            <w:pPr>
              <w:pStyle w:val="TableContents"/>
              <w:bidi w:val="0"/>
              <w:spacing w:before="0" w:after="0"/>
              <w:ind w:left="0" w:right="0" w:hanging="0"/>
              <w:jc w:val="left"/>
              <w:rPr/>
            </w:pPr>
            <w:r>
              <w:rPr/>
              <w:t>​</w:t>
            </w:r>
          </w:p>
        </w:tc>
        <w:tc>
          <w:tcPr>
            <w:tcW w:w="2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3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.33</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c>
          <w:tcPr>
            <w:tcW w:w="5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.90</w:t>
            </w:r>
          </w:p>
        </w:tc>
        <w:tc>
          <w:tcPr>
            <w:tcW w:w="326" w:type="dxa"/>
            <w:tcBorders/>
            <w:shd w:fill="CCEEFF" w:val="clear"/>
            <w:vAlign w:val="center"/>
          </w:tcPr>
          <w:p>
            <w:pPr>
              <w:pStyle w:val="TableContents"/>
              <w:bidi w:val="0"/>
              <w:spacing w:before="0" w:after="0"/>
              <w:ind w:left="0" w:right="0" w:hanging="0"/>
              <w:jc w:val="left"/>
              <w:rPr/>
            </w:pPr>
            <w:r>
              <w:rPr/>
              <w:t>​</w:t>
            </w:r>
          </w:p>
        </w:tc>
        <w:tc>
          <w:tcPr>
            <w:tcW w:w="2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w:t>
            </w:r>
          </w:p>
        </w:tc>
        <w:tc>
          <w:tcPr>
            <w:tcW w:w="6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.82</w:t>
            </w:r>
          </w:p>
        </w:tc>
      </w:tr>
      <w:tr>
        <w:trPr/>
        <w:tc>
          <w:tcPr>
            <w:tcW w:w="522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Weighted average diluted common shares outstanding</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12.4</w:t>
            </w:r>
          </w:p>
        </w:tc>
        <w:tc>
          <w:tcPr>
            <w:tcW w:w="392" w:type="dxa"/>
            <w:tcBorders/>
            <w:vAlign w:val="center"/>
          </w:tcPr>
          <w:p>
            <w:pPr>
              <w:pStyle w:val="TableContents"/>
              <w:bidi w:val="0"/>
              <w:spacing w:before="0" w:after="0"/>
              <w:ind w:left="0" w:right="0" w:hanging="0"/>
              <w:jc w:val="left"/>
              <w:rPr/>
            </w:pPr>
            <w:r>
              <w:rPr/>
              <w:t>​</w:t>
            </w:r>
          </w:p>
        </w:tc>
        <w:tc>
          <w:tcPr>
            <w:tcW w:w="272"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3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4"/>
              </w:rPr>
            </w:pPr>
            <w:r>
              <w:rPr>
                <w:rFonts w:ascii="Times New Roman;Times;serif" w:hAnsi="Times New Roman;Times;serif"/>
                <w:b/>
                <w:sz w:val="24"/>
              </w:rPr>
              <w:t>12.3</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52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12.4</w:t>
            </w:r>
          </w:p>
        </w:tc>
        <w:tc>
          <w:tcPr>
            <w:tcW w:w="326" w:type="dxa"/>
            <w:tcBorders/>
            <w:vAlign w:val="center"/>
          </w:tcPr>
          <w:p>
            <w:pPr>
              <w:pStyle w:val="TableContents"/>
              <w:bidi w:val="0"/>
              <w:spacing w:before="0" w:after="0"/>
              <w:ind w:left="0" w:right="0" w:hanging="0"/>
              <w:jc w:val="left"/>
              <w:rPr/>
            </w:pPr>
            <w:r>
              <w:rPr/>
              <w:t>​</w:t>
            </w:r>
          </w:p>
        </w:tc>
        <w:tc>
          <w:tcPr>
            <w:tcW w:w="226"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646" w:type="dxa"/>
            <w:tcBorders>
              <w:bottom w:val="double" w:sz="6" w:space="0" w:color="000000"/>
            </w:tcBorders>
            <w:tcMar>
              <w:bottom w:w="28" w:type="dxa"/>
            </w:tcMar>
            <w:vAlign w:val="center"/>
          </w:tcPr>
          <w:p>
            <w:pPr>
              <w:pStyle w:val="TableContents"/>
              <w:bidi w:val="0"/>
              <w:spacing w:before="0" w:after="0"/>
              <w:ind w:left="0" w:right="75" w:hanging="0"/>
              <w:jc w:val="right"/>
              <w:rPr>
                <w:rFonts w:ascii="Times New Roman;Times;serif" w:hAnsi="Times New Roman;Times;serif"/>
                <w:b/>
                <w:sz w:val="24"/>
              </w:rPr>
            </w:pPr>
            <w:r>
              <w:rPr>
                <w:rFonts w:ascii="Times New Roman;Times;serif" w:hAnsi="Times New Roman;Times;serif"/>
                <w:b/>
                <w:sz w:val="24"/>
              </w:rPr>
              <w:t>12.3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0" w:after="0"/>
        <w:ind w:left="6750" w:right="0" w:hanging="0"/>
        <w:jc w:val="right"/>
        <w:rPr/>
      </w:pPr>
      <w:bookmarkStart w:id="48" w:name="cik-20230801xex99d2.htm"/>
      <w:bookmarkStart w:id="49" w:name="kscik20230801xex99d2"/>
      <w:bookmarkEnd w:id="48"/>
      <w:bookmarkEnd w:id="49"/>
      <w:r>
        <w:rPr/>
        <w:t>​</w:t>
      </w:r>
      <w:r>
        <w:br w:type="page"/>
      </w:r>
    </w:p>
    <w:p>
      <w:pPr>
        <w:pStyle w:val="TextBody"/>
        <w:bidi w:val="0"/>
        <w:spacing w:before="0" w:after="0"/>
        <w:ind w:left="0" w:right="0" w:hanging="0"/>
        <w:jc w:val="both"/>
        <w:rPr>
          <w:spacing w:val="-2"/>
        </w:rPr>
      </w:pPr>
      <w:r>
        <w:rPr>
          <w:spacing w:val="-2"/>
        </w:rPr>
        <w:t>​</w:t>
      </w:r>
    </w:p>
    <w:tbl>
      <w:tblPr>
        <w:tblW w:w="7606" w:type="dxa"/>
        <w:jc w:val="left"/>
        <w:tblInd w:w="0" w:type="dxa"/>
        <w:tblLayout w:type="fixed"/>
        <w:tblCellMar>
          <w:top w:w="0" w:type="dxa"/>
          <w:left w:w="0" w:type="dxa"/>
          <w:bottom w:w="0" w:type="dxa"/>
          <w:right w:w="0" w:type="dxa"/>
        </w:tblCellMar>
      </w:tblPr>
      <w:tblGrid>
        <w:gridCol w:w="7606"/>
      </w:tblGrid>
      <w:tr>
        <w:trPr/>
        <w:tc>
          <w:tcPr>
            <w:tcW w:w="7606" w:type="dxa"/>
            <w:tcBorders/>
            <w:vAlign w:val="center"/>
          </w:tcPr>
          <w:p>
            <w:pPr>
              <w:pStyle w:val="TableContents"/>
              <w:bidi w:val="0"/>
              <w:spacing w:before="0" w:after="0"/>
              <w:ind w:left="0" w:right="0" w:hanging="0"/>
              <w:jc w:val="both"/>
              <w:rPr/>
            </w:pPr>
            <w:r>
              <w:rPr/>
              <w:t>                                                                                                                            ​</w:t>
            </w:r>
          </w:p>
        </w:tc>
      </w:tr>
      <w:tr>
        <w:trPr/>
        <w:tc>
          <w:tcPr>
            <w:tcW w:w="7606" w:type="dxa"/>
            <w:tcBorders/>
            <w:vAlign w:val="center"/>
          </w:tcPr>
          <w:p>
            <w:pPr>
              <w:pStyle w:val="TableContents"/>
              <w:bidi w:val="0"/>
              <w:spacing w:before="0" w:after="0"/>
              <w:ind w:left="0" w:right="0" w:hanging="0"/>
              <w:jc w:val="both"/>
              <w:rPr/>
            </w:pPr>
            <w:r>
              <w:rPr/>
              <w:t>​</w:t>
            </w:r>
          </w:p>
        </w:tc>
      </w:tr>
      <w:tr>
        <w:trPr/>
        <w:tc>
          <w:tcPr>
            <w:tcW w:w="7606" w:type="dxa"/>
            <w:tcBorders/>
            <w:vAlign w:val="center"/>
          </w:tcPr>
          <w:p>
            <w:pPr>
              <w:pStyle w:val="TableContents"/>
              <w:bidi w:val="0"/>
              <w:spacing w:before="0" w:after="0"/>
              <w:ind w:left="0" w:right="0" w:hanging="0"/>
              <w:jc w:val="center"/>
              <w:rPr/>
            </w:pPr>
            <w:r>
              <w:rPr/>
              <w:drawing>
                <wp:inline distT="0" distB="0" distL="0" distR="0">
                  <wp:extent cx="2713990" cy="90487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2713990" cy="904875"/>
                          </a:xfrm>
                          <a:prstGeom prst="rect">
                            <a:avLst/>
                          </a:prstGeom>
                        </pic:spPr>
                      </pic:pic>
                    </a:graphicData>
                  </a:graphic>
                </wp:inline>
              </w:drawing>
            </w:r>
          </w:p>
        </w:tc>
      </w:tr>
    </w:tbl>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both"/>
        <w:rPr>
          <w:spacing w:val="-2"/>
        </w:rPr>
      </w:pPr>
      <w:r>
        <w:rPr>
          <w:spacing w:val="-2"/>
        </w:rPr>
        <w:t>​</w:t>
      </w:r>
    </w:p>
    <w:p>
      <w:pPr>
        <w:pStyle w:val="TextBody"/>
        <w:bidi w:val="0"/>
        <w:spacing w:before="0" w:after="0"/>
        <w:ind w:left="0" w:right="0" w:hanging="0"/>
        <w:jc w:val="center"/>
        <w:rPr>
          <w:rFonts w:ascii="Times New Roman;Times;serif" w:hAnsi="Times New Roman;Times;serif"/>
          <w:b/>
          <w:spacing w:val="-2"/>
          <w:sz w:val="24"/>
        </w:rPr>
      </w:pPr>
      <w:r>
        <w:rPr>
          <w:rFonts w:ascii="Times New Roman;Times;serif" w:hAnsi="Times New Roman;Times;serif"/>
          <w:b/>
          <w:spacing w:val="-2"/>
          <w:sz w:val="24"/>
        </w:rPr>
        <w:t>COMPX DECLARES REGULAR QUARTERLY DIVIDEND</w:t>
      </w:r>
    </w:p>
    <w:p>
      <w:pPr>
        <w:pStyle w:val="TextBody"/>
        <w:bidi w:val="0"/>
        <w:spacing w:before="0" w:after="0"/>
        <w:ind w:left="0" w:right="0" w:hanging="0"/>
        <w:jc w:val="center"/>
        <w:rPr>
          <w:spacing w:val="-2"/>
        </w:rPr>
      </w:pPr>
      <w:r>
        <w:rPr>
          <w:spacing w:val="-2"/>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DALLAS, TEXAS . . . August 1, 2023 . . . CompX International Inc. (NYSE American:  CIX) announced today that its board of directors has declared CompX’s regular quarterly dividend of twenty-five cents ($0.25) per share on its class A common stock, payable on September 12, 2023 to stockholders of record at the close of business on September 1, 2023.</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4"/>
        </w:rPr>
      </w:pPr>
      <w:r>
        <w:rPr>
          <w:rFonts w:ascii="Times New Roman;Times;serif" w:hAnsi="Times New Roman;Times;serif"/>
          <w:sz w:val="24"/>
        </w:rPr>
        <w:t>CompX is a leading manufacturer of security products and recreational marine components.</w:t>
      </w:r>
    </w:p>
    <w:p>
      <w:pPr>
        <w:pStyle w:val="TextBody"/>
        <w:bidi w:val="0"/>
        <w:spacing w:before="0" w:after="0"/>
        <w:ind w:left="0" w:right="0" w:firstLine="720"/>
        <w:jc w:val="both"/>
        <w:rPr/>
      </w:pPr>
      <w:r>
        <w:rPr/>
        <w:t>​</w:t>
      </w:r>
    </w:p>
    <w:p>
      <w:pPr>
        <w:pStyle w:val="TextBody"/>
        <w:bidi w:val="0"/>
        <w:spacing w:before="0" w:after="0"/>
        <w:ind w:left="0" w:right="0" w:firstLine="720"/>
        <w:jc w:val="both"/>
        <w:rPr/>
      </w:pPr>
      <w:r>
        <w:rPr/>
        <w:t>​</w:t>
      </w:r>
    </w:p>
    <w:p>
      <w:pPr>
        <w:pStyle w:val="TextBody"/>
        <w:bidi w:val="0"/>
        <w:spacing w:before="0" w:after="0"/>
        <w:ind w:left="0" w:right="0" w:hanging="0"/>
        <w:jc w:val="center"/>
        <w:rPr>
          <w:rFonts w:ascii="Times New Roman;Times;serif" w:hAnsi="Times New Roman;Times;serif"/>
          <w:spacing w:val="-2"/>
          <w:sz w:val="24"/>
        </w:rPr>
      </w:pPr>
      <w:r>
        <w:rPr>
          <w:rFonts w:ascii="Times New Roman;Times;serif" w:hAnsi="Times New Roman;Times;serif"/>
          <w:spacing w:val="-2"/>
          <w:sz w:val="24"/>
        </w:rPr>
        <w:t>* * * *</w:t>
      </w:r>
    </w:p>
    <w:p>
      <w:pPr>
        <w:pStyle w:val="TextBody"/>
        <w:bidi w:val="0"/>
        <w:spacing w:before="0" w:after="0"/>
        <w:ind w:left="0" w:right="0" w:hanging="0"/>
        <w:jc w:val="center"/>
        <w:rPr>
          <w:spacing w:val="-2"/>
        </w:rPr>
      </w:pPr>
      <w:r>
        <w:rPr>
          <w:spacing w:val="-2"/>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Investor Relations Contact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Bryan A. Hanley</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Senior Vice President and Treasurer</w:t>
      </w:r>
    </w:p>
    <w:p>
      <w:pPr>
        <w:pStyle w:val="TextBody"/>
        <w:bidi w:val="0"/>
        <w:spacing w:before="0" w:after="0"/>
        <w:ind w:left="0" w:right="0" w:hanging="0"/>
        <w:jc w:val="both"/>
        <w:rPr>
          <w:rFonts w:ascii="Times New Roman;Times;serif" w:hAnsi="Times New Roman;Times;serif"/>
          <w:sz w:val="24"/>
        </w:rPr>
      </w:pPr>
      <w:r>
        <w:rPr>
          <w:rFonts w:ascii="Times New Roman;Times;serif" w:hAnsi="Times New Roman;Times;serif"/>
          <w:sz w:val="24"/>
        </w:rPr>
        <w:t>Tel. 972-233-1700</w:t>
      </w:r>
    </w:p>
    <w:p>
      <w:pPr>
        <w:pStyle w:val="TextBody"/>
        <w:bidi w:val="0"/>
        <w:spacing w:before="0" w:after="0"/>
        <w:ind w:left="0" w:right="0" w:hanging="0"/>
        <w:jc w:val="both"/>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1627</Words>
  <Characters>8831</Characters>
  <CharactersWithSpaces>10634</CharactersWithSpaces>
  <Paragraphs>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