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November 4, 2020</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4"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Arial" w:cs="Arial" w:eastAsia="Arial" w:hAnsi="Arial"/>
                <w:sz w:val="22"/>
                <w:szCs w:val="22"/>
                <w:b w:val="1"/>
                <w:bCs w:val="1"/>
                <w:color w:val="auto"/>
                <w:w w:val="91"/>
              </w:rPr>
              <w:t>Delaware</w:t>
            </w:r>
          </w:p>
        </w:tc>
        <w:tc>
          <w:tcPr>
            <w:tcW w:w="3100" w:type="dxa"/>
            <w:vAlign w:val="bottom"/>
          </w:tcPr>
          <w:p>
            <w:pPr>
              <w:jc w:val="center"/>
              <w:ind w:right="364"/>
              <w:spacing w:after="0"/>
              <w:rPr>
                <w:sz w:val="20"/>
                <w:szCs w:val="20"/>
                <w:color w:val="auto"/>
              </w:rPr>
            </w:pPr>
            <w:r>
              <w:rPr>
                <w:rFonts w:ascii="Arial" w:cs="Arial" w:eastAsia="Arial" w:hAnsi="Arial"/>
                <w:sz w:val="22"/>
                <w:szCs w:val="22"/>
                <w:b w:val="1"/>
                <w:bCs w:val="1"/>
                <w:color w:val="auto"/>
                <w:w w:val="89"/>
              </w:rPr>
              <w:t>1-13905</w:t>
            </w:r>
          </w:p>
        </w:tc>
        <w:tc>
          <w:tcPr>
            <w:tcW w:w="2640" w:type="dxa"/>
            <w:vAlign w:val="bottom"/>
          </w:tcPr>
          <w:p>
            <w:pPr>
              <w:jc w:val="center"/>
              <w:ind w:left="1203"/>
              <w:spacing w:after="0"/>
              <w:rPr>
                <w:sz w:val="20"/>
                <w:szCs w:val="20"/>
                <w:color w:val="auto"/>
              </w:rPr>
            </w:pPr>
            <w:r>
              <w:rPr>
                <w:rFonts w:ascii="Arial" w:cs="Arial" w:eastAsia="Arial" w:hAnsi="Arial"/>
                <w:sz w:val="22"/>
                <w:szCs w:val="22"/>
                <w:b w:val="1"/>
                <w:bCs w:val="1"/>
                <w:color w:val="auto"/>
                <w:w w:val="90"/>
              </w:rPr>
              <w:t>57-0981653</w:t>
            </w:r>
          </w:p>
        </w:tc>
      </w:tr>
      <w:tr>
        <w:trPr>
          <w:trHeight w:val="216"/>
        </w:trPr>
        <w:tc>
          <w:tcPr>
            <w:tcW w:w="4000" w:type="dxa"/>
            <w:vAlign w:val="bottom"/>
          </w:tcPr>
          <w:p>
            <w:pPr>
              <w:jc w:val="center"/>
              <w:ind w:right="741"/>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spacing w:after="0"/>
              <w:rPr>
                <w:sz w:val="20"/>
                <w:szCs w:val="20"/>
                <w:color w:val="auto"/>
              </w:rPr>
            </w:pPr>
          </w:p>
        </w:tc>
        <w:tc>
          <w:tcPr>
            <w:tcW w:w="3100" w:type="dxa"/>
            <w:vAlign w:val="bottom"/>
          </w:tcPr>
          <w:p>
            <w:pPr>
              <w:jc w:val="center"/>
              <w:ind w:right="344"/>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100" w:type="dxa"/>
            <w:vAlign w:val="bottom"/>
            <w:gridSpan w:val="2"/>
          </w:tcPr>
          <w:p>
            <w:pPr>
              <w:jc w:val="center"/>
              <w:ind w:right="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40" w:type="dxa"/>
            <w:vAlign w:val="bottom"/>
          </w:tcPr>
          <w:p>
            <w:pPr>
              <w:jc w:val="center"/>
              <w:ind w:left="122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71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23"/>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269875</wp:posOffset>
            </wp:positionV>
            <wp:extent cx="3763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240"/>
          </w:cols>
          <w:pgMar w:left="320" w:top="229" w:right="339" w:bottom="1440" w:gutter="0" w:footer="0" w:header="0"/>
        </w:sectPr>
      </w:pPr>
    </w:p>
    <w:p>
      <w:pPr>
        <w:spacing w:after="0" w:line="120"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440"/>
          </w:cols>
          <w:pgMar w:left="320" w:top="229" w:right="33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80" w:type="dxa"/>
            <w:vAlign w:val="bottom"/>
          </w:tcPr>
          <w:p>
            <w:pPr>
              <w:jc w:val="center"/>
              <w:spacing w:after="0" w:line="130" w:lineRule="exact"/>
              <w:rPr>
                <w:sz w:val="20"/>
                <w:szCs w:val="20"/>
                <w:color w:val="auto"/>
              </w:rPr>
            </w:pPr>
            <w:r>
              <w:rPr>
                <w:rFonts w:ascii="Arial" w:cs="Arial" w:eastAsia="Arial" w:hAnsi="Arial"/>
                <w:sz w:val="14"/>
                <w:szCs w:val="14"/>
                <w:color w:val="auto"/>
                <w:w w:val="94"/>
              </w:rPr>
              <w:t>Class A common stock</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rPr>
                <w:sz w:val="20"/>
                <w:szCs w:val="20"/>
                <w:color w:val="auto"/>
              </w:rPr>
            </w:pPr>
            <w:r>
              <w:rPr>
                <w:rFonts w:ascii="Arial" w:cs="Arial" w:eastAsia="Arial" w:hAnsi="Arial"/>
                <w:sz w:val="14"/>
                <w:szCs w:val="14"/>
                <w:color w:val="auto"/>
                <w:w w:val="90"/>
              </w:rPr>
              <w:t>($.01 par value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06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14"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Reports Third Quarter 2020 Results” that the registrant issued on November 4, 2020, a copy of which is attached hereto as Exhibit 99.1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Declares Quarterly Dividend” that the registrant also issued on November 4, 2020, a copy of which is attached hereto as Exhibit 99.2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80" w:hanging="672"/>
        <w:spacing w:after="0"/>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Borders>
              <w:bottom w:val="single" w:sz="8" w:color="auto"/>
            </w:tcBorders>
          </w:tcPr>
          <w:p>
            <w:pPr>
              <w:ind w:left="620"/>
              <w:spacing w:after="0"/>
              <w:rPr>
                <w:sz w:val="20"/>
                <w:szCs w:val="20"/>
                <w:color w:val="auto"/>
              </w:rPr>
            </w:pPr>
            <w:r>
              <w:rPr>
                <w:rFonts w:ascii="Arial" w:cs="Arial" w:eastAsia="Arial" w:hAnsi="Arial"/>
                <w:sz w:val="22"/>
                <w:szCs w:val="22"/>
                <w:b w:val="1"/>
                <w:bCs w:val="1"/>
                <w:color w:val="auto"/>
              </w:rPr>
              <w:t>Item No.</w:t>
            </w:r>
          </w:p>
        </w:tc>
        <w:tc>
          <w:tcPr>
            <w:tcW w:w="52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b w:val="1"/>
                <w:bCs w:val="1"/>
                <w:color w:val="auto"/>
              </w:rPr>
              <w:t>Description</w:t>
            </w:r>
          </w:p>
        </w:tc>
      </w:tr>
      <w:tr>
        <w:trPr>
          <w:trHeight w:val="418"/>
        </w:trPr>
        <w:tc>
          <w:tcPr>
            <w:tcW w:w="380" w:type="dxa"/>
            <w:vAlign w:val="bottom"/>
          </w:tcPr>
          <w:p>
            <w:pPr>
              <w:spacing w:after="0"/>
              <w:rPr>
                <w:sz w:val="24"/>
                <w:szCs w:val="24"/>
                <w:color w:val="auto"/>
              </w:rPr>
            </w:pPr>
          </w:p>
        </w:tc>
        <w:tc>
          <w:tcPr>
            <w:tcW w:w="2340" w:type="dxa"/>
            <w:vAlign w:val="bottom"/>
            <w:gridSpan w:val="2"/>
          </w:tcPr>
          <w:p>
            <w:pPr>
              <w:ind w:left="300"/>
              <w:spacing w:after="0"/>
              <w:rPr>
                <w:sz w:val="20"/>
                <w:szCs w:val="20"/>
                <w:color w:val="auto"/>
              </w:rPr>
            </w:pPr>
            <w:r>
              <w:rPr>
                <w:rFonts w:ascii="Arial" w:cs="Arial" w:eastAsia="Arial" w:hAnsi="Arial"/>
                <w:sz w:val="22"/>
                <w:szCs w:val="22"/>
                <w:color w:val="auto"/>
              </w:rPr>
              <w:t>99.1*</w:t>
            </w:r>
          </w:p>
        </w:tc>
        <w:tc>
          <w:tcPr>
            <w:tcW w:w="520" w:type="dxa"/>
            <w:vAlign w:val="bottom"/>
          </w:tcPr>
          <w:p>
            <w:pPr>
              <w:spacing w:after="0"/>
              <w:rPr>
                <w:sz w:val="24"/>
                <w:szCs w:val="24"/>
                <w:color w:val="auto"/>
              </w:rPr>
            </w:pPr>
          </w:p>
        </w:tc>
        <w:tc>
          <w:tcPr>
            <w:tcW w:w="8000" w:type="dxa"/>
            <w:vAlign w:val="bottom"/>
            <w:tcBorders>
              <w:bottom w:val="single" w:sz="8" w:color="0000EE"/>
            </w:tcBorders>
            <w:gridSpan w:val="4"/>
          </w:tcPr>
          <w:p>
            <w:pPr>
              <w:spacing w:after="0"/>
              <w:rPr>
                <w:rFonts w:ascii="Arial" w:cs="Arial" w:eastAsia="Arial" w:hAnsi="Arial"/>
                <w:sz w:val="22"/>
                <w:szCs w:val="22"/>
                <w:color w:val="0000EE"/>
                <w:w w:val="97"/>
              </w:rPr>
            </w:pPr>
            <w:hyperlink w:anchor="page4">
              <w:r>
                <w:rPr>
                  <w:rFonts w:ascii="Arial" w:cs="Arial" w:eastAsia="Arial" w:hAnsi="Arial"/>
                  <w:sz w:val="22"/>
                  <w:szCs w:val="22"/>
                  <w:color w:val="0000EE"/>
                  <w:w w:val="97"/>
                </w:rPr>
                <w:t>Press release dated November 4, 2020 entitled “CompX Reports Third Quarter 2020</w:t>
              </w:r>
            </w:hyperlink>
          </w:p>
        </w:tc>
      </w:tr>
      <w:tr>
        <w:trPr>
          <w:trHeight w:val="223"/>
        </w:trPr>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0" w:type="dxa"/>
            <w:vAlign w:val="bottom"/>
            <w:gridSpan w:val="4"/>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Results” and issued by the registrant</w:t>
              </w:r>
              <w:r>
                <w:rPr>
                  <w:rFonts w:ascii="Arial" w:cs="Arial" w:eastAsia="Arial" w:hAnsi="Arial"/>
                  <w:sz w:val="22"/>
                  <w:szCs w:val="22"/>
                  <w:color w:val="000000"/>
                </w:rPr>
                <w:t>.</w:t>
              </w:r>
            </w:hyperlink>
          </w:p>
        </w:tc>
      </w:tr>
      <w:tr>
        <w:trPr>
          <w:trHeight w:val="20"/>
        </w:trPr>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2340" w:type="dxa"/>
            <w:vAlign w:val="bottom"/>
            <w:gridSpan w:val="2"/>
          </w:tcPr>
          <w:p>
            <w:pPr>
              <w:ind w:left="300"/>
              <w:spacing w:after="0"/>
              <w:rPr>
                <w:sz w:val="20"/>
                <w:szCs w:val="20"/>
                <w:color w:val="auto"/>
              </w:rPr>
            </w:pPr>
            <w:r>
              <w:rPr>
                <w:rFonts w:ascii="Arial" w:cs="Arial" w:eastAsia="Arial" w:hAnsi="Arial"/>
                <w:sz w:val="22"/>
                <w:szCs w:val="22"/>
                <w:color w:val="auto"/>
              </w:rPr>
              <w:t>99.2*</w:t>
            </w:r>
          </w:p>
        </w:tc>
        <w:tc>
          <w:tcPr>
            <w:tcW w:w="520" w:type="dxa"/>
            <w:vAlign w:val="bottom"/>
          </w:tcPr>
          <w:p>
            <w:pPr>
              <w:spacing w:after="0"/>
              <w:rPr>
                <w:sz w:val="24"/>
                <w:szCs w:val="24"/>
                <w:color w:val="auto"/>
              </w:rPr>
            </w:pPr>
          </w:p>
        </w:tc>
        <w:tc>
          <w:tcPr>
            <w:tcW w:w="8000" w:type="dxa"/>
            <w:vAlign w:val="bottom"/>
            <w:gridSpan w:val="4"/>
          </w:tcPr>
          <w:p>
            <w:pPr>
              <w:spacing w:after="0"/>
              <w:rPr>
                <w:rFonts w:ascii="Arial" w:cs="Arial" w:eastAsia="Arial" w:hAnsi="Arial"/>
                <w:sz w:val="22"/>
                <w:szCs w:val="22"/>
                <w:color w:val="0000EE"/>
                <w:w w:val="90"/>
              </w:rPr>
            </w:pPr>
            <w:hyperlink w:anchor="page8">
              <w:r>
                <w:rPr>
                  <w:rFonts w:ascii="Arial" w:cs="Arial" w:eastAsia="Arial" w:hAnsi="Arial"/>
                  <w:sz w:val="22"/>
                  <w:szCs w:val="22"/>
                  <w:color w:val="0000EE"/>
                  <w:w w:val="90"/>
                </w:rPr>
                <w:t>Press release dated November 4, 2020 entitled “CompX Declares Quarterly Dividend” and</w:t>
              </w:r>
            </w:hyperlink>
          </w:p>
        </w:tc>
      </w:tr>
      <w:tr>
        <w:trPr>
          <w:trHeight w:val="223"/>
        </w:trPr>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980" w:type="dxa"/>
            <w:vAlign w:val="bottom"/>
            <w:tcBorders>
              <w:top w:val="single" w:sz="8" w:color="0000EE"/>
            </w:tcBorders>
            <w:gridSpan w:val="3"/>
          </w:tcPr>
          <w:p>
            <w:pPr>
              <w:spacing w:after="0" w:line="223" w:lineRule="exact"/>
              <w:rPr>
                <w:rFonts w:ascii="Arial" w:cs="Arial" w:eastAsia="Arial" w:hAnsi="Arial"/>
                <w:sz w:val="22"/>
                <w:szCs w:val="22"/>
                <w:color w:val="0000EE"/>
              </w:rPr>
            </w:pPr>
            <w:hyperlink w:anchor="page8">
              <w:r>
                <w:rPr>
                  <w:rFonts w:ascii="Arial" w:cs="Arial" w:eastAsia="Arial" w:hAnsi="Arial"/>
                  <w:sz w:val="22"/>
                  <w:szCs w:val="22"/>
                  <w:color w:val="0000EE"/>
                </w:rPr>
                <w:t>issued by the registrant</w:t>
              </w:r>
              <w:r>
                <w:rPr>
                  <w:rFonts w:ascii="Arial" w:cs="Arial" w:eastAsia="Arial" w:hAnsi="Arial"/>
                  <w:sz w:val="22"/>
                  <w:szCs w:val="22"/>
                  <w:color w:val="000000"/>
                </w:rPr>
                <w:t>.</w:t>
              </w:r>
            </w:hyperlink>
          </w:p>
        </w:tc>
        <w:tc>
          <w:tcPr>
            <w:tcW w:w="2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r>
      <w:tr>
        <w:trPr>
          <w:trHeight w:val="472"/>
        </w:trPr>
        <w:tc>
          <w:tcPr>
            <w:tcW w:w="380" w:type="dxa"/>
            <w:vAlign w:val="bottom"/>
          </w:tcPr>
          <w:p>
            <w:pPr>
              <w:spacing w:after="0"/>
              <w:rPr>
                <w:sz w:val="24"/>
                <w:szCs w:val="24"/>
                <w:color w:val="auto"/>
              </w:rPr>
            </w:pPr>
          </w:p>
        </w:tc>
        <w:tc>
          <w:tcPr>
            <w:tcW w:w="2340" w:type="dxa"/>
            <w:vAlign w:val="bottom"/>
            <w:gridSpan w:val="2"/>
          </w:tcPr>
          <w:p>
            <w:pPr>
              <w:ind w:left="300"/>
              <w:spacing w:after="0"/>
              <w:rPr>
                <w:sz w:val="20"/>
                <w:szCs w:val="20"/>
                <w:color w:val="auto"/>
              </w:rPr>
            </w:pPr>
            <w:r>
              <w:rPr>
                <w:rFonts w:ascii="Arial" w:cs="Arial" w:eastAsia="Arial" w:hAnsi="Arial"/>
                <w:sz w:val="22"/>
                <w:szCs w:val="22"/>
                <w:color w:val="auto"/>
              </w:rPr>
              <w:t>104</w:t>
            </w:r>
          </w:p>
        </w:tc>
        <w:tc>
          <w:tcPr>
            <w:tcW w:w="520" w:type="dxa"/>
            <w:vAlign w:val="bottom"/>
          </w:tcPr>
          <w:p>
            <w:pPr>
              <w:spacing w:after="0"/>
              <w:rPr>
                <w:sz w:val="24"/>
                <w:szCs w:val="24"/>
                <w:color w:val="auto"/>
              </w:rPr>
            </w:pPr>
          </w:p>
        </w:tc>
        <w:tc>
          <w:tcPr>
            <w:tcW w:w="8000" w:type="dxa"/>
            <w:vAlign w:val="bottom"/>
            <w:gridSpan w:val="4"/>
          </w:tcPr>
          <w:p>
            <w:pPr>
              <w:spacing w:after="0"/>
              <w:rPr>
                <w:sz w:val="20"/>
                <w:szCs w:val="20"/>
                <w:color w:val="auto"/>
              </w:rPr>
            </w:pPr>
            <w:r>
              <w:rPr>
                <w:rFonts w:ascii="Arial" w:cs="Arial" w:eastAsia="Arial" w:hAnsi="Arial"/>
                <w:sz w:val="22"/>
                <w:szCs w:val="22"/>
                <w:color w:val="auto"/>
              </w:rPr>
              <w:t>Cover Page Interactive Data File (embedded within the Inline XBRL document)</w:t>
            </w:r>
          </w:p>
        </w:tc>
      </w:tr>
      <w:tr>
        <w:trPr>
          <w:trHeight w:val="274"/>
        </w:trPr>
        <w:tc>
          <w:tcPr>
            <w:tcW w:w="3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2340" w:type="dxa"/>
            <w:vAlign w:val="bottom"/>
            <w:gridSpan w:val="2"/>
          </w:tcPr>
          <w:p>
            <w:pPr>
              <w:ind w:left="280"/>
              <w:spacing w:after="0"/>
              <w:rPr>
                <w:sz w:val="20"/>
                <w:szCs w:val="20"/>
                <w:color w:val="auto"/>
              </w:rPr>
            </w:pPr>
            <w:r>
              <w:rPr>
                <w:rFonts w:ascii="Arial" w:cs="Arial" w:eastAsia="Arial" w:hAnsi="Arial"/>
                <w:sz w:val="22"/>
                <w:szCs w:val="22"/>
                <w:color w:val="auto"/>
              </w:rPr>
              <w:t>Filed herewith</w:t>
            </w:r>
          </w:p>
        </w:tc>
        <w:tc>
          <w:tcPr>
            <w:tcW w:w="5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901"/>
        </w:trPr>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000" w:type="dxa"/>
            <w:vAlign w:val="bottom"/>
            <w:gridSpan w:val="2"/>
          </w:tcPr>
          <w:p>
            <w:pPr>
              <w:ind w:left="5620"/>
              <w:spacing w:after="0"/>
              <w:rPr>
                <w:sz w:val="20"/>
                <w:szCs w:val="20"/>
                <w:color w:val="auto"/>
              </w:rPr>
            </w:pPr>
            <w:r>
              <w:rPr>
                <w:rFonts w:ascii="Arial" w:cs="Arial" w:eastAsia="Arial" w:hAnsi="Arial"/>
                <w:sz w:val="22"/>
                <w:szCs w:val="22"/>
                <w:color w:val="auto"/>
              </w:rPr>
              <w:t>By:</w:t>
            </w:r>
          </w:p>
        </w:tc>
        <w:tc>
          <w:tcPr>
            <w:tcW w:w="5240" w:type="dxa"/>
            <w:vAlign w:val="bottom"/>
          </w:tcPr>
          <w:p>
            <w:pPr>
              <w:ind w:left="400"/>
              <w:spacing w:after="0"/>
              <w:rPr>
                <w:sz w:val="20"/>
                <w:szCs w:val="20"/>
                <w:color w:val="auto"/>
              </w:rPr>
            </w:pPr>
            <w:r>
              <w:rPr>
                <w:rFonts w:ascii="Arial" w:cs="Arial" w:eastAsia="Arial" w:hAnsi="Arial"/>
                <w:sz w:val="22"/>
                <w:szCs w:val="22"/>
                <w:color w:val="auto"/>
              </w:rPr>
              <w:t>/s/ Amy A. Samford</w:t>
            </w:r>
          </w:p>
        </w:tc>
      </w:tr>
      <w:tr>
        <w:trPr>
          <w:trHeight w:val="222"/>
        </w:trPr>
        <w:tc>
          <w:tcPr>
            <w:tcW w:w="5620" w:type="dxa"/>
            <w:vAlign w:val="bottom"/>
          </w:tcPr>
          <w:p>
            <w:pPr>
              <w:spacing w:after="0" w:line="222" w:lineRule="exact"/>
              <w:rPr>
                <w:sz w:val="20"/>
                <w:szCs w:val="20"/>
                <w:color w:val="auto"/>
              </w:rPr>
            </w:pPr>
            <w:r>
              <w:rPr>
                <w:rFonts w:ascii="Arial" w:cs="Arial" w:eastAsia="Arial" w:hAnsi="Arial"/>
                <w:sz w:val="22"/>
                <w:szCs w:val="22"/>
                <w:color w:val="auto"/>
              </w:rPr>
              <w:t>Date: November 4, 2020</w:t>
            </w:r>
          </w:p>
        </w:tc>
        <w:tc>
          <w:tcPr>
            <w:tcW w:w="380" w:type="dxa"/>
            <w:vAlign w:val="bottom"/>
            <w:tcBorders>
              <w:top w:val="single" w:sz="8" w:color="auto"/>
            </w:tcBorders>
          </w:tcPr>
          <w:p>
            <w:pPr>
              <w:spacing w:after="0"/>
              <w:rPr>
                <w:sz w:val="19"/>
                <w:szCs w:val="19"/>
                <w:color w:val="auto"/>
              </w:rPr>
            </w:pPr>
          </w:p>
        </w:tc>
        <w:tc>
          <w:tcPr>
            <w:tcW w:w="5240" w:type="dxa"/>
            <w:vAlign w:val="bottom"/>
            <w:tcBorders>
              <w:top w:val="single" w:sz="8" w:color="auto"/>
            </w:tcBorders>
          </w:tcPr>
          <w:p>
            <w:pPr>
              <w:ind w:left="80"/>
              <w:spacing w:after="0" w:line="222" w:lineRule="exact"/>
              <w:rPr>
                <w:sz w:val="20"/>
                <w:szCs w:val="20"/>
                <w:color w:val="auto"/>
              </w:rPr>
            </w:pPr>
            <w:r>
              <w:rPr>
                <w:rFonts w:ascii="Arial" w:cs="Arial" w:eastAsia="Arial" w:hAnsi="Arial"/>
                <w:sz w:val="22"/>
                <w:szCs w:val="22"/>
                <w:i w:val="1"/>
                <w:iCs w:val="1"/>
                <w:color w:val="auto"/>
              </w:rPr>
              <w:t>Amy A. Samford</w:t>
            </w:r>
          </w:p>
        </w:tc>
      </w:tr>
      <w:tr>
        <w:trPr>
          <w:trHeight w:val="274"/>
        </w:trPr>
        <w:tc>
          <w:tcPr>
            <w:tcW w:w="5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40" w:type="dxa"/>
            <w:vAlign w:val="bottom"/>
          </w:tcPr>
          <w:p>
            <w:pPr>
              <w:ind w:left="80"/>
              <w:spacing w:after="0"/>
              <w:rPr>
                <w:sz w:val="20"/>
                <w:szCs w:val="20"/>
                <w:color w:val="auto"/>
              </w:rPr>
            </w:pPr>
            <w:r>
              <w:rPr>
                <w:rFonts w:ascii="Arial" w:cs="Arial" w:eastAsia="Arial" w:hAnsi="Arial"/>
                <w:sz w:val="22"/>
                <w:szCs w:val="22"/>
                <w:i w:val="1"/>
                <w:iCs w:val="1"/>
                <w:color w:val="auto"/>
              </w:rPr>
              <w:t>Vice President and Chief Financial Officer</w:t>
            </w:r>
          </w:p>
        </w:tc>
      </w:tr>
    </w:tbl>
    <w:p>
      <w:pPr>
        <w:sectPr>
          <w:pgSz w:w="11900" w:h="16838" w:orient="portrait"/>
          <w:cols w:equalWidth="0" w:num="1">
            <w:col w:w="11240"/>
          </w:cols>
          <w:pgMar w:left="320" w:top="598"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1660" cy="514350"/>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234"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COMPX REPORTS THIRD QUARTER 2020 RESULTS</w:t>
      </w: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DALLAS, TEXAS … November 4, 2020 … CompX International Inc. (NYSE American: CIX) announced today sales of $28.4 million for the third quarter of 2020 compared to $29.7 million in the same period of 2019. Operating income was $2.1 million for the third quarter of 2020 compared to $4.3 million in the same period of 2019. Net income for the third quarter of 2020 was $1.8 million, or $0.15 per diluted share, compared to $3.9 million, or $0.31 per diluted share, in the third quarter of 2019.</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nine months ended September 30, 2020, sales were $84.5 million compared to $94.6 million in the previous year. Operating income was $9.5 million for the first nine months of 2020 compared to $14.2 million for 2019. Net income for the nine months ended September 30, 2020 was $8.2 million, or $0.66 per diluted share, compared to $12.8 million, or $1.03 per diluted share, in 2019.</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the third quarter of 2020, our sales began to recover from the historically low levels we experienced during the second quarter, although the COVID-19 pandemic continues to impact our operations and demand for our products. Operating income for the third quarter and the first nine months of 2020 compared to the same periods in 2019 was negatively impacted by higher fixed cost per unit of production as the result of lower production volumes in the second quarter which increased the cost of inventory produced in the second quarter and sold in the third quarter of 2020. In the third quarter, our manufacturing operations returned to more normal production rates as demand from our customers began to return, although for the most part, below pre-pandemic levels. The extent of the COVID-19 impact on our future operations will depend on the time period and degree to which the COVID-19 pandemic persists in the economy thereby reducing customer demand for certain of our products, including the timing and extent to which our customers’ operations continue to be impacted, our customers’ perception as to when consumer demand for their products will return to pre-pandemic levels and on any future disruptions in our operations or our suppliers’ operations, all of which are difficult to predict.</w:t>
      </w:r>
    </w:p>
    <w:p>
      <w:pPr>
        <w:spacing w:after="0" w:line="200" w:lineRule="exact"/>
        <w:rPr>
          <w:sz w:val="20"/>
          <w:szCs w:val="20"/>
          <w:color w:val="auto"/>
        </w:rPr>
      </w:pP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CompX is a leading manufacturer of security products and recreational marine components. It operates from three locations in the U.S. and employs approximately 515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statements in this press release relating to matters that are not historical facts are forward-looking statements that represent management’s belief and assumptions based on currently available information. Although CompX believes the expectations reflected in such forward-looking statements are reasonable, it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CompX continues to face many risks and uncertainties. The factors that could cause our actual future results to differ materially include, but are not limited to, the following:</w:t>
      </w:r>
    </w:p>
    <w:p>
      <w:pPr>
        <w:spacing w:after="0" w:line="387" w:lineRule="exact"/>
        <w:rPr>
          <w:sz w:val="20"/>
          <w:szCs w:val="20"/>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Future demand for our products,</w:t>
      </w:r>
    </w:p>
    <w:p>
      <w:pPr>
        <w:spacing w:after="0" w:line="179" w:lineRule="exact"/>
        <w:rPr>
          <w:rFonts w:ascii="Arial" w:cs="Arial" w:eastAsia="Arial" w:hAnsi="Arial"/>
          <w:sz w:val="22"/>
          <w:szCs w:val="22"/>
          <w:color w:val="auto"/>
        </w:rPr>
      </w:pPr>
    </w:p>
    <w:p>
      <w:pPr>
        <w:ind w:left="880" w:hanging="431"/>
        <w:spacing w:after="0" w:line="274" w:lineRule="auto"/>
        <w:tabs>
          <w:tab w:leader="none" w:pos="880" w:val="left"/>
        </w:tabs>
        <w:numPr>
          <w:ilvl w:val="0"/>
          <w:numId w:val="2"/>
        </w:numPr>
        <w:rPr>
          <w:rFonts w:ascii="Arial" w:cs="Arial" w:eastAsia="Arial" w:hAnsi="Arial"/>
          <w:sz w:val="21"/>
          <w:szCs w:val="21"/>
          <w:color w:val="auto"/>
        </w:rPr>
      </w:pPr>
      <w:r>
        <w:rPr>
          <w:rFonts w:ascii="Arial" w:cs="Arial" w:eastAsia="Arial" w:hAnsi="Arial"/>
          <w:sz w:val="21"/>
          <w:szCs w:val="21"/>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23" w:lineRule="exact"/>
        <w:rPr>
          <w:rFonts w:ascii="Arial" w:cs="Arial" w:eastAsia="Arial" w:hAnsi="Arial"/>
          <w:sz w:val="21"/>
          <w:szCs w:val="21"/>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Price and product competition from low-cost manufacturing sources (such as China),</w:t>
      </w:r>
    </w:p>
    <w:p>
      <w:pPr>
        <w:spacing w:after="0" w:line="165"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impact of pricing and production decisions,</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Customer and competitor strategies including substitute products,</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Uncertainties associated with the development of new products and product features,</w:t>
      </w:r>
    </w:p>
    <w:p>
      <w:pPr>
        <w:spacing w:after="0" w:line="165"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Future litigation,</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protect or defend our intellectual property rights,</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Potential difficulties in integrating future acquisitions,</w:t>
      </w:r>
    </w:p>
    <w:p>
      <w:pPr>
        <w:spacing w:after="0" w:line="165"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Decisions to sell operating assets other than in the ordinary course of business,</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Environmental matters (such as those requiring emission and discharge standards for existing and new facilities),</w:t>
      </w:r>
    </w:p>
    <w:p>
      <w:pPr>
        <w:spacing w:after="0" w:line="213" w:lineRule="exact"/>
        <w:rPr>
          <w:rFonts w:ascii="Arial" w:cs="Arial" w:eastAsia="Arial" w:hAnsi="Arial"/>
          <w:sz w:val="19"/>
          <w:szCs w:val="19"/>
          <w:color w:val="auto"/>
        </w:rPr>
      </w:pPr>
    </w:p>
    <w:p>
      <w:pPr>
        <w:ind w:left="880" w:hanging="431"/>
        <w:spacing w:after="0"/>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ultimate outcome of income tax audits, tax settlement initiatives or other tax matters, including future tax reform,</w:t>
      </w:r>
    </w:p>
    <w:p>
      <w:pPr>
        <w:spacing w:after="0" w:line="200" w:lineRule="exact"/>
        <w:rPr>
          <w:rFonts w:ascii="Arial" w:cs="Arial" w:eastAsia="Arial" w:hAnsi="Arial"/>
          <w:sz w:val="19"/>
          <w:szCs w:val="19"/>
          <w:color w:val="auto"/>
        </w:rPr>
      </w:pPr>
    </w:p>
    <w:p>
      <w:pPr>
        <w:ind w:left="880" w:hanging="431"/>
        <w:spacing w:after="0"/>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impact of current or future government regulations (including employee healthcare benefit related regulations),</w:t>
      </w:r>
    </w:p>
    <w:p>
      <w:pPr>
        <w:spacing w:after="0" w:line="213" w:lineRule="exact"/>
        <w:rPr>
          <w:rFonts w:ascii="Arial" w:cs="Arial" w:eastAsia="Arial" w:hAnsi="Arial"/>
          <w:sz w:val="19"/>
          <w:szCs w:val="19"/>
          <w:color w:val="auto"/>
        </w:rPr>
      </w:pPr>
    </w:p>
    <w:p>
      <w:pPr>
        <w:jc w:val="both"/>
        <w:ind w:left="880" w:hanging="431"/>
        <w:spacing w:after="0" w:line="238"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157" w:lineRule="exact"/>
        <w:rPr>
          <w:rFonts w:ascii="Arial" w:cs="Arial" w:eastAsia="Arial" w:hAnsi="Arial"/>
          <w:sz w:val="22"/>
          <w:szCs w:val="22"/>
          <w:color w:val="auto"/>
        </w:rPr>
      </w:pPr>
    </w:p>
    <w:p>
      <w:pPr>
        <w:jc w:val="both"/>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145" w:lineRule="exact"/>
        <w:rPr>
          <w:rFonts w:ascii="Arial" w:cs="Arial" w:eastAsia="Arial" w:hAnsi="Arial"/>
          <w:sz w:val="22"/>
          <w:szCs w:val="22"/>
          <w:color w:val="auto"/>
        </w:rPr>
      </w:pPr>
    </w:p>
    <w:p>
      <w:pPr>
        <w:ind w:left="880" w:hanging="431"/>
        <w:spacing w:after="0" w:line="250"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Possible disruption of our business or increases in the cost of doing business resulting from terrorist activities or global conflicts.</w:t>
      </w:r>
    </w:p>
    <w:p>
      <w:pPr>
        <w:spacing w:after="0" w:line="200" w:lineRule="exact"/>
        <w:rPr>
          <w:rFonts w:ascii="Arial" w:cs="Arial" w:eastAsia="Arial" w:hAnsi="Arial"/>
          <w:sz w:val="22"/>
          <w:szCs w:val="22"/>
          <w:color w:val="auto"/>
        </w:rPr>
      </w:pPr>
    </w:p>
    <w:p>
      <w:pPr>
        <w:spacing w:after="0" w:line="274" w:lineRule="exact"/>
        <w:rPr>
          <w:rFonts w:ascii="Arial" w:cs="Arial" w:eastAsia="Arial" w:hAnsi="Arial"/>
          <w:sz w:val="22"/>
          <w:szCs w:val="22"/>
          <w:color w:val="auto"/>
        </w:rPr>
      </w:pPr>
    </w:p>
    <w:p>
      <w:pPr>
        <w:ind w:left="5580" w:hanging="76"/>
        <w:spacing w:after="0"/>
        <w:tabs>
          <w:tab w:leader="none" w:pos="5580" w:val="left"/>
        </w:tabs>
        <w:numPr>
          <w:ilvl w:val="1"/>
          <w:numId w:val="2"/>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22"/>
          <w:szCs w:val="22"/>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CONSOLIDATED OPERATIONS</w:t>
      </w:r>
    </w:p>
    <w:p>
      <w:pPr>
        <w:jc w:val="center"/>
        <w:spacing w:after="0" w:line="230" w:lineRule="auto"/>
        <w:rPr>
          <w:sz w:val="20"/>
          <w:szCs w:val="20"/>
          <w:color w:val="auto"/>
        </w:rPr>
      </w:pPr>
      <w:r>
        <w:rPr>
          <w:rFonts w:ascii="Arial" w:cs="Arial" w:eastAsia="Arial" w:hAnsi="Arial"/>
          <w:sz w:val="22"/>
          <w:szCs w:val="22"/>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120" w:type="dxa"/>
            <w:vAlign w:val="bottom"/>
            <w:gridSpan w:val="4"/>
          </w:tcPr>
          <w:p>
            <w:pPr>
              <w:jc w:val="right"/>
              <w:ind w:right="225"/>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432"/>
        </w:trPr>
        <w:tc>
          <w:tcPr>
            <w:tcW w:w="5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740" w:type="dxa"/>
            <w:vAlign w:val="bottom"/>
            <w:shd w:val="clear" w:color="auto" w:fill="CCEEFF"/>
          </w:tcPr>
          <w:p>
            <w:pPr>
              <w:jc w:val="right"/>
              <w:ind w:right="546"/>
              <w:spacing w:after="0"/>
              <w:rPr>
                <w:sz w:val="20"/>
                <w:szCs w:val="20"/>
                <w:color w:val="auto"/>
              </w:rPr>
            </w:pPr>
            <w:r>
              <w:rPr>
                <w:rFonts w:ascii="Arial" w:cs="Arial" w:eastAsia="Arial" w:hAnsi="Arial"/>
                <w:sz w:val="19"/>
                <w:szCs w:val="19"/>
                <w:color w:val="auto"/>
                <w:w w:val="75"/>
              </w:rPr>
              <w:t>$</w:t>
            </w:r>
          </w:p>
        </w:tc>
        <w:tc>
          <w:tcPr>
            <w:tcW w:w="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29.7</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45"/>
              <w:spacing w:after="0"/>
              <w:rPr>
                <w:sz w:val="20"/>
                <w:szCs w:val="20"/>
                <w:color w:val="auto"/>
              </w:rPr>
            </w:pPr>
            <w:r>
              <w:rPr>
                <w:rFonts w:ascii="Arial" w:cs="Arial" w:eastAsia="Arial" w:hAnsi="Arial"/>
                <w:sz w:val="19"/>
                <w:szCs w:val="19"/>
                <w:color w:val="auto"/>
                <w:w w:val="75"/>
              </w:rPr>
              <w:t>$</w:t>
            </w:r>
          </w:p>
        </w:tc>
        <w:tc>
          <w:tcPr>
            <w:tcW w:w="60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w w:val="83"/>
              </w:rPr>
              <w:t>28.4</w:t>
            </w:r>
          </w:p>
        </w:tc>
        <w:tc>
          <w:tcPr>
            <w:tcW w:w="2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ind w:left="500"/>
              <w:spacing w:after="0" w:line="243" w:lineRule="exact"/>
              <w:rPr>
                <w:sz w:val="20"/>
                <w:szCs w:val="20"/>
                <w:color w:val="auto"/>
              </w:rPr>
            </w:pPr>
            <w:r>
              <w:rPr>
                <w:rFonts w:ascii="Arial" w:cs="Arial" w:eastAsia="Arial" w:hAnsi="Arial"/>
                <w:sz w:val="22"/>
                <w:szCs w:val="22"/>
                <w:color w:val="auto"/>
              </w:rPr>
              <w:t>94.6</w:t>
            </w:r>
          </w:p>
        </w:tc>
        <w:tc>
          <w:tcPr>
            <w:tcW w:w="2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9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84.5</w:t>
            </w:r>
          </w:p>
        </w:tc>
      </w:tr>
      <w:tr>
        <w:trPr>
          <w:trHeight w:val="250"/>
        </w:trPr>
        <w:tc>
          <w:tcPr>
            <w:tcW w:w="598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20.2</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w w:val="83"/>
              </w:rPr>
              <w:t>21.1</w:t>
            </w:r>
          </w:p>
        </w:tc>
        <w:tc>
          <w:tcPr>
            <w:tcW w:w="240" w:type="dxa"/>
            <w:vAlign w:val="bottom"/>
          </w:tcPr>
          <w:p>
            <w:pPr>
              <w:spacing w:after="0"/>
              <w:rPr>
                <w:sz w:val="21"/>
                <w:szCs w:val="21"/>
                <w:color w:val="auto"/>
              </w:rPr>
            </w:pPr>
          </w:p>
        </w:tc>
        <w:tc>
          <w:tcPr>
            <w:tcW w:w="108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64.6</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59.4</w:t>
            </w:r>
          </w:p>
        </w:tc>
      </w:tr>
      <w:tr>
        <w:trPr>
          <w:trHeight w:val="243"/>
        </w:trPr>
        <w:tc>
          <w:tcPr>
            <w:tcW w:w="59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profit</w:t>
            </w: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9.5</w:t>
            </w:r>
          </w:p>
        </w:tc>
        <w:tc>
          <w:tcPr>
            <w:tcW w:w="26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7.3</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ind w:left="500"/>
              <w:spacing w:after="0" w:line="243" w:lineRule="exact"/>
              <w:rPr>
                <w:sz w:val="20"/>
                <w:szCs w:val="20"/>
                <w:color w:val="auto"/>
              </w:rPr>
            </w:pPr>
            <w:r>
              <w:rPr>
                <w:rFonts w:ascii="Arial" w:cs="Arial" w:eastAsia="Arial" w:hAnsi="Arial"/>
                <w:sz w:val="22"/>
                <w:szCs w:val="22"/>
                <w:color w:val="auto"/>
                <w:w w:val="79"/>
              </w:rPr>
              <w:t>30.0</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25.1</w:t>
            </w:r>
          </w:p>
        </w:tc>
        <w:tc>
          <w:tcPr>
            <w:tcW w:w="100" w:type="dxa"/>
            <w:vAlign w:val="bottom"/>
            <w:shd w:val="clear" w:color="auto" w:fill="CCEEFF"/>
          </w:tcPr>
          <w:p>
            <w:pPr>
              <w:spacing w:after="0"/>
              <w:rPr>
                <w:sz w:val="21"/>
                <w:szCs w:val="21"/>
                <w:color w:val="auto"/>
              </w:rPr>
            </w:pPr>
          </w:p>
        </w:tc>
      </w:tr>
      <w:tr>
        <w:trPr>
          <w:trHeight w:val="250"/>
        </w:trPr>
        <w:tc>
          <w:tcPr>
            <w:tcW w:w="598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 expense</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5.2</w:t>
            </w:r>
          </w:p>
        </w:tc>
        <w:tc>
          <w:tcPr>
            <w:tcW w:w="240" w:type="dxa"/>
            <w:vAlign w:val="bottom"/>
          </w:tcPr>
          <w:p>
            <w:pPr>
              <w:spacing w:after="0"/>
              <w:rPr>
                <w:sz w:val="21"/>
                <w:szCs w:val="21"/>
                <w:color w:val="auto"/>
              </w:rPr>
            </w:pPr>
          </w:p>
        </w:tc>
        <w:tc>
          <w:tcPr>
            <w:tcW w:w="108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15.8</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15.6</w:t>
            </w:r>
          </w:p>
        </w:tc>
      </w:tr>
      <w:tr>
        <w:trPr>
          <w:trHeight w:val="243"/>
        </w:trPr>
        <w:tc>
          <w:tcPr>
            <w:tcW w:w="59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4.3</w:t>
            </w:r>
          </w:p>
        </w:tc>
        <w:tc>
          <w:tcPr>
            <w:tcW w:w="26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2.1</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ind w:left="500"/>
              <w:spacing w:after="0" w:line="243" w:lineRule="exact"/>
              <w:rPr>
                <w:sz w:val="20"/>
                <w:szCs w:val="20"/>
                <w:color w:val="auto"/>
              </w:rPr>
            </w:pPr>
            <w:r>
              <w:rPr>
                <w:rFonts w:ascii="Arial" w:cs="Arial" w:eastAsia="Arial" w:hAnsi="Arial"/>
                <w:sz w:val="22"/>
                <w:szCs w:val="22"/>
                <w:color w:val="auto"/>
                <w:w w:val="79"/>
              </w:rPr>
              <w:t>14.2</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9.5</w:t>
            </w:r>
          </w:p>
        </w:tc>
        <w:tc>
          <w:tcPr>
            <w:tcW w:w="100" w:type="dxa"/>
            <w:vAlign w:val="bottom"/>
            <w:shd w:val="clear" w:color="auto" w:fill="CCEEFF"/>
          </w:tcPr>
          <w:p>
            <w:pPr>
              <w:spacing w:after="0"/>
              <w:rPr>
                <w:sz w:val="21"/>
                <w:szCs w:val="21"/>
                <w:color w:val="auto"/>
              </w:rPr>
            </w:pPr>
          </w:p>
        </w:tc>
      </w:tr>
      <w:tr>
        <w:trPr>
          <w:trHeight w:val="250"/>
        </w:trPr>
        <w:tc>
          <w:tcPr>
            <w:tcW w:w="5980" w:type="dxa"/>
            <w:vAlign w:val="bottom"/>
          </w:tcPr>
          <w:p>
            <w:pPr>
              <w:spacing w:after="0" w:line="243" w:lineRule="exact"/>
              <w:rPr>
                <w:sz w:val="20"/>
                <w:szCs w:val="20"/>
                <w:color w:val="auto"/>
              </w:rPr>
            </w:pPr>
            <w:r>
              <w:rPr>
                <w:rFonts w:ascii="Arial" w:cs="Arial" w:eastAsia="Arial" w:hAnsi="Arial"/>
                <w:sz w:val="22"/>
                <w:szCs w:val="22"/>
                <w:color w:val="auto"/>
              </w:rPr>
              <w:t>Interest income</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0.8</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0.3</w:t>
            </w:r>
          </w:p>
        </w:tc>
        <w:tc>
          <w:tcPr>
            <w:tcW w:w="240" w:type="dxa"/>
            <w:vAlign w:val="bottom"/>
          </w:tcPr>
          <w:p>
            <w:pPr>
              <w:spacing w:after="0"/>
              <w:rPr>
                <w:sz w:val="21"/>
                <w:szCs w:val="21"/>
                <w:color w:val="auto"/>
              </w:rPr>
            </w:pPr>
          </w:p>
        </w:tc>
        <w:tc>
          <w:tcPr>
            <w:tcW w:w="1080" w:type="dxa"/>
            <w:vAlign w:val="bottom"/>
            <w:gridSpan w:val="2"/>
          </w:tcPr>
          <w:p>
            <w:pPr>
              <w:ind w:left="600"/>
              <w:spacing w:after="0" w:line="243" w:lineRule="exact"/>
              <w:rPr>
                <w:sz w:val="20"/>
                <w:szCs w:val="20"/>
                <w:color w:val="auto"/>
              </w:rPr>
            </w:pPr>
            <w:r>
              <w:rPr>
                <w:rFonts w:ascii="Arial" w:cs="Arial" w:eastAsia="Arial" w:hAnsi="Arial"/>
                <w:sz w:val="22"/>
                <w:szCs w:val="22"/>
                <w:color w:val="auto"/>
              </w:rPr>
              <w:t>2.5</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w:t>
            </w:r>
          </w:p>
        </w:tc>
      </w:tr>
      <w:tr>
        <w:trPr>
          <w:trHeight w:val="243"/>
        </w:trPr>
        <w:tc>
          <w:tcPr>
            <w:tcW w:w="59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before taxes</w:t>
            </w: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5.1</w:t>
            </w:r>
          </w:p>
        </w:tc>
        <w:tc>
          <w:tcPr>
            <w:tcW w:w="26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2.4</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ind w:left="500"/>
              <w:spacing w:after="0" w:line="243" w:lineRule="exact"/>
              <w:rPr>
                <w:sz w:val="20"/>
                <w:szCs w:val="20"/>
                <w:color w:val="auto"/>
              </w:rPr>
            </w:pPr>
            <w:r>
              <w:rPr>
                <w:rFonts w:ascii="Arial" w:cs="Arial" w:eastAsia="Arial" w:hAnsi="Arial"/>
                <w:sz w:val="22"/>
                <w:szCs w:val="22"/>
                <w:color w:val="auto"/>
                <w:w w:val="79"/>
              </w:rPr>
              <w:t>16.7</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10.8</w:t>
            </w:r>
          </w:p>
        </w:tc>
        <w:tc>
          <w:tcPr>
            <w:tcW w:w="100" w:type="dxa"/>
            <w:vAlign w:val="bottom"/>
            <w:shd w:val="clear" w:color="auto" w:fill="CCEEFF"/>
          </w:tcPr>
          <w:p>
            <w:pPr>
              <w:spacing w:after="0"/>
              <w:rPr>
                <w:sz w:val="21"/>
                <w:szCs w:val="21"/>
                <w:color w:val="auto"/>
              </w:rPr>
            </w:pPr>
          </w:p>
        </w:tc>
      </w:tr>
      <w:tr>
        <w:trPr>
          <w:trHeight w:val="250"/>
        </w:trPr>
        <w:tc>
          <w:tcPr>
            <w:tcW w:w="5980" w:type="dxa"/>
            <w:vAlign w:val="bottom"/>
          </w:tcPr>
          <w:p>
            <w:pPr>
              <w:spacing w:after="0" w:line="243" w:lineRule="exact"/>
              <w:rPr>
                <w:sz w:val="20"/>
                <w:szCs w:val="20"/>
                <w:color w:val="auto"/>
              </w:rPr>
            </w:pPr>
            <w:r>
              <w:rPr>
                <w:rFonts w:ascii="Arial" w:cs="Arial" w:eastAsia="Arial" w:hAnsi="Arial"/>
                <w:sz w:val="22"/>
                <w:szCs w:val="22"/>
                <w:color w:val="auto"/>
              </w:rPr>
              <w:t>Provision for income taxes</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0.6</w:t>
            </w:r>
          </w:p>
        </w:tc>
        <w:tc>
          <w:tcPr>
            <w:tcW w:w="240" w:type="dxa"/>
            <w:vAlign w:val="bottom"/>
          </w:tcPr>
          <w:p>
            <w:pPr>
              <w:spacing w:after="0"/>
              <w:rPr>
                <w:sz w:val="21"/>
                <w:szCs w:val="21"/>
                <w:color w:val="auto"/>
              </w:rPr>
            </w:pPr>
          </w:p>
        </w:tc>
        <w:tc>
          <w:tcPr>
            <w:tcW w:w="1080" w:type="dxa"/>
            <w:vAlign w:val="bottom"/>
            <w:gridSpan w:val="2"/>
          </w:tcPr>
          <w:p>
            <w:pPr>
              <w:ind w:left="600"/>
              <w:spacing w:after="0" w:line="243" w:lineRule="exact"/>
              <w:rPr>
                <w:sz w:val="20"/>
                <w:szCs w:val="20"/>
                <w:color w:val="auto"/>
              </w:rPr>
            </w:pPr>
            <w:r>
              <w:rPr>
                <w:rFonts w:ascii="Arial" w:cs="Arial" w:eastAsia="Arial" w:hAnsi="Arial"/>
                <w:sz w:val="22"/>
                <w:szCs w:val="22"/>
                <w:color w:val="auto"/>
              </w:rPr>
              <w:t>3.9</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2.6</w:t>
            </w:r>
          </w:p>
        </w:tc>
      </w:tr>
      <w:tr>
        <w:trPr>
          <w:trHeight w:val="283"/>
        </w:trPr>
        <w:tc>
          <w:tcPr>
            <w:tcW w:w="598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22"/>
                <w:szCs w:val="22"/>
                <w:color w:val="auto"/>
              </w:rPr>
              <w:t>Net income</w:t>
            </w:r>
          </w:p>
        </w:tc>
        <w:tc>
          <w:tcPr>
            <w:tcW w:w="740" w:type="dxa"/>
            <w:vAlign w:val="bottom"/>
            <w:tcBorders>
              <w:top w:val="single" w:sz="8" w:color="auto"/>
              <w:bottom w:val="single" w:sz="8" w:color="auto"/>
            </w:tcBorders>
            <w:shd w:val="clear" w:color="auto" w:fill="CCEEFF"/>
          </w:tcPr>
          <w:p>
            <w:pPr>
              <w:jc w:val="right"/>
              <w:ind w:right="546"/>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3.9</w:t>
            </w: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shd w:val="clear" w:color="auto" w:fill="CCEEFF"/>
          </w:tcPr>
          <w:p>
            <w:pPr>
              <w:jc w:val="right"/>
              <w:ind w:right="545"/>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1.8</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860" w:type="dxa"/>
            <w:vAlign w:val="bottom"/>
            <w:tcBorders>
              <w:top w:val="single" w:sz="8" w:color="auto"/>
              <w:bottom w:val="single" w:sz="8" w:color="auto"/>
            </w:tcBorders>
            <w:shd w:val="clear" w:color="auto" w:fill="CCEEFF"/>
          </w:tcPr>
          <w:p>
            <w:pPr>
              <w:ind w:left="500"/>
              <w:spacing w:after="0" w:line="243" w:lineRule="exact"/>
              <w:rPr>
                <w:sz w:val="20"/>
                <w:szCs w:val="20"/>
                <w:color w:val="auto"/>
              </w:rPr>
            </w:pPr>
            <w:r>
              <w:rPr>
                <w:rFonts w:ascii="Arial" w:cs="Arial" w:eastAsia="Arial" w:hAnsi="Arial"/>
                <w:sz w:val="22"/>
                <w:szCs w:val="22"/>
                <w:color w:val="auto"/>
                <w:w w:val="79"/>
              </w:rPr>
              <w:t>12.8</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8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8.2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10"/>
        </w:trPr>
        <w:tc>
          <w:tcPr>
            <w:tcW w:w="5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5980" w:type="dxa"/>
            <w:vAlign w:val="bottom"/>
          </w:tcPr>
          <w:p>
            <w:pPr>
              <w:spacing w:after="0" w:line="243" w:lineRule="exact"/>
              <w:rPr>
                <w:sz w:val="20"/>
                <w:szCs w:val="20"/>
                <w:color w:val="auto"/>
              </w:rPr>
            </w:pPr>
            <w:r>
              <w:rPr>
                <w:rFonts w:ascii="Arial" w:cs="Arial" w:eastAsia="Arial" w:hAnsi="Arial"/>
                <w:sz w:val="22"/>
                <w:szCs w:val="22"/>
                <w:color w:val="auto"/>
              </w:rPr>
              <w:t>Basic and diluted net income</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3"/>
        </w:trPr>
        <w:tc>
          <w:tcPr>
            <w:tcW w:w="598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per common share</w:t>
            </w:r>
          </w:p>
        </w:tc>
        <w:tc>
          <w:tcPr>
            <w:tcW w:w="740" w:type="dxa"/>
            <w:vAlign w:val="bottom"/>
            <w:shd w:val="clear" w:color="auto" w:fill="CCEEFF"/>
          </w:tcPr>
          <w:p>
            <w:pPr>
              <w:jc w:val="right"/>
              <w:ind w:right="546"/>
              <w:spacing w:after="0"/>
              <w:rPr>
                <w:sz w:val="20"/>
                <w:szCs w:val="20"/>
                <w:color w:val="auto"/>
              </w:rPr>
            </w:pPr>
            <w:r>
              <w:rPr>
                <w:rFonts w:ascii="Arial" w:cs="Arial" w:eastAsia="Arial" w:hAnsi="Arial"/>
                <w:sz w:val="19"/>
                <w:szCs w:val="19"/>
                <w:color w:val="auto"/>
                <w:w w:val="75"/>
              </w:rPr>
              <w:t>$</w:t>
            </w:r>
          </w:p>
        </w:tc>
        <w:tc>
          <w:tcPr>
            <w:tcW w:w="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0.31</w:t>
            </w: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45"/>
              <w:spacing w:after="0"/>
              <w:rPr>
                <w:sz w:val="20"/>
                <w:szCs w:val="20"/>
                <w:color w:val="auto"/>
              </w:rPr>
            </w:pPr>
            <w:r>
              <w:rPr>
                <w:rFonts w:ascii="Arial" w:cs="Arial" w:eastAsia="Arial" w:hAnsi="Arial"/>
                <w:sz w:val="19"/>
                <w:szCs w:val="19"/>
                <w:color w:val="auto"/>
                <w:w w:val="75"/>
              </w:rPr>
              <w:t>$</w:t>
            </w:r>
          </w:p>
        </w:tc>
        <w:tc>
          <w:tcPr>
            <w:tcW w:w="60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w w:val="83"/>
              </w:rPr>
              <w:t>0.15</w:t>
            </w:r>
          </w:p>
        </w:tc>
        <w:tc>
          <w:tcPr>
            <w:tcW w:w="2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ind w:left="500"/>
              <w:spacing w:after="0" w:line="243" w:lineRule="exact"/>
              <w:rPr>
                <w:sz w:val="20"/>
                <w:szCs w:val="20"/>
                <w:color w:val="auto"/>
              </w:rPr>
            </w:pPr>
            <w:r>
              <w:rPr>
                <w:rFonts w:ascii="Arial" w:cs="Arial" w:eastAsia="Arial" w:hAnsi="Arial"/>
                <w:sz w:val="22"/>
                <w:szCs w:val="22"/>
                <w:color w:val="auto"/>
              </w:rPr>
              <w:t>1.03</w:t>
            </w:r>
          </w:p>
        </w:tc>
        <w:tc>
          <w:tcPr>
            <w:tcW w:w="2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9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0.66</w:t>
            </w:r>
          </w:p>
        </w:tc>
      </w:tr>
      <w:tr>
        <w:trPr>
          <w:trHeight w:val="209"/>
        </w:trPr>
        <w:tc>
          <w:tcPr>
            <w:tcW w:w="598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Weighted average diluted common</w:t>
            </w: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980" w:type="dxa"/>
            <w:vAlign w:val="bottom"/>
          </w:tcPr>
          <w:p>
            <w:pPr>
              <w:ind w:left="180"/>
              <w:spacing w:after="0" w:line="243" w:lineRule="exact"/>
              <w:rPr>
                <w:sz w:val="20"/>
                <w:szCs w:val="20"/>
                <w:color w:val="auto"/>
              </w:rPr>
            </w:pPr>
            <w:r>
              <w:rPr>
                <w:rFonts w:ascii="Arial" w:cs="Arial" w:eastAsia="Arial" w:hAnsi="Arial"/>
                <w:sz w:val="22"/>
                <w:szCs w:val="22"/>
                <w:color w:val="auto"/>
              </w:rPr>
              <w:t>shares outstanding</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12.4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w w:val="83"/>
              </w:rPr>
              <w:t>12.5</w:t>
            </w:r>
          </w:p>
        </w:tc>
        <w:tc>
          <w:tcPr>
            <w:tcW w:w="240" w:type="dxa"/>
            <w:vAlign w:val="bottom"/>
          </w:tcPr>
          <w:p>
            <w:pPr>
              <w:spacing w:after="0"/>
              <w:rPr>
                <w:sz w:val="21"/>
                <w:szCs w:val="21"/>
                <w:color w:val="auto"/>
              </w:rPr>
            </w:pPr>
          </w:p>
        </w:tc>
        <w:tc>
          <w:tcPr>
            <w:tcW w:w="108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12.4</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12.4</w:t>
            </w:r>
          </w:p>
        </w:tc>
      </w:tr>
      <w:tr>
        <w:trPr>
          <w:trHeight w:val="20"/>
        </w:trPr>
        <w:tc>
          <w:tcPr>
            <w:tcW w:w="5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11480"/>
                    </a:xfrm>
                    <a:prstGeom prst="rect">
                      <a:avLst/>
                    </a:prstGeom>
                    <a:noFill/>
                  </pic:spPr>
                </pic:pic>
              </a:graphicData>
            </a:graphic>
          </wp:anchor>
        </w:drawing>
        <w:t>PRESS RELEASE</w:t>
      </w:r>
    </w:p>
    <w:p>
      <w:pPr>
        <w:sectPr>
          <w:pgSz w:w="11900" w:h="16838" w:orient="portrait"/>
          <w:cols w:equalWidth="0" w:num="1">
            <w:col w:w="11240"/>
          </w:cols>
          <w:pgMar w:left="320" w:top="12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6060" w:space="720"/>
            <w:col w:w="4460"/>
          </w:cols>
          <w:pgMar w:left="320" w:top="1232"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238" w:lineRule="auto"/>
        <w:rPr>
          <w:sz w:val="20"/>
          <w:szCs w:val="20"/>
          <w:color w:val="auto"/>
        </w:rPr>
      </w:pPr>
      <w:r>
        <w:rPr>
          <w:rFonts w:ascii="Arial" w:cs="Arial" w:eastAsia="Arial" w:hAnsi="Arial"/>
          <w:sz w:val="22"/>
          <w:szCs w:val="22"/>
          <w:color w:val="auto"/>
        </w:rPr>
        <w:t>Three Lincoln Centre</w:t>
      </w: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477" w:lineRule="exact"/>
        <w:rPr>
          <w:sz w:val="20"/>
          <w:szCs w:val="20"/>
          <w:color w:val="auto"/>
        </w:rPr>
      </w:pPr>
    </w:p>
    <w:p>
      <w:pPr>
        <w:sectPr>
          <w:pgSz w:w="11900" w:h="16838" w:orient="portrait"/>
          <w:cols w:equalWidth="0" w:num="2">
            <w:col w:w="6060" w:space="720"/>
            <w:col w:w="4460"/>
          </w:cols>
          <w:pgMar w:left="320" w:top="1232" w:right="339" w:bottom="1440"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COMPX DECLARES REGULAR QUARTERLY DIVIDEND</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DALLAS, TEXAS . . . November 4, 2020 . . . CompX International Inc. (NYSE American: CIX) announced today that its board of directors has declared CompX’s regular quarterly dividend of ten cents ($0.10) per share on its class A common stock, payable on December 8, 2020 to stockholders of record at the close of business on December 1, 2020.</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CompX is a leading manufacturer of security products and recreational marine components.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sectPr>
      <w:pgSz w:w="11900" w:h="16838" w:orient="portrait"/>
      <w:cols w:equalWidth="0" w:num="1">
        <w:col w:w="11240"/>
      </w:cols>
      <w:pgMar w:left="320" w:top="123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2020-11-04T15:33:26Z</dcterms:created>
  <dcterms:modified xsi:type="dcterms:W3CDTF">2020-11-04T15:33:26Z</dcterms:modified>
</cp:coreProperties>
</file>