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945515</wp:posOffset>
            </wp:positionH>
            <wp:positionV relativeFrom="page">
              <wp:posOffset>911860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980440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55880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33" w:lineRule="exact"/>
        <w:rPr>
          <w:sz w:val="24"/>
          <w:szCs w:val="24"/>
          <w:color w:val="auto"/>
        </w:rPr>
      </w:pPr>
    </w:p>
    <w:p>
      <w:pPr>
        <w:ind w:left="2700" w:right="1379" w:hanging="1329"/>
        <w:spacing w:after="0" w:line="246" w:lineRule="auto"/>
        <w:tabs>
          <w:tab w:leader="none" w:pos="1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67945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1680" w:hanging="278"/>
        <w:spacing w:after="0"/>
        <w:tabs>
          <w:tab w:leader="none" w:pos="16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20"/>
          <w:szCs w:val="20"/>
          <w:b w:val="1"/>
          <w:bCs w:val="1"/>
          <w:color w:val="auto"/>
        </w:rPr>
        <w:t>TRANSITION REPORT PURSUANT TO SECTION 13 OR 15(d) OF</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5"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 to 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1-13905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COMPX INTERNATIONAL INC.</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36195</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97" w:lineRule="exact"/>
        <w:rPr>
          <w:sz w:val="24"/>
          <w:szCs w:val="24"/>
          <w:color w:val="auto"/>
        </w:rPr>
      </w:pPr>
    </w:p>
    <w:tbl>
      <w:tblPr>
        <w:tblLayout w:type="fixed"/>
        <w:tblInd w:w="40" w:type="dxa"/>
        <w:tblCellMar>
          <w:top w:w="0" w:type="dxa"/>
          <w:left w:w="0" w:type="dxa"/>
          <w:bottom w:w="0" w:type="dxa"/>
          <w:right w:w="0" w:type="dxa"/>
        </w:tblCellMar>
      </w:tblPr>
      <w:tr>
        <w:trPr>
          <w:trHeight w:val="198"/>
        </w:trPr>
        <w:tc>
          <w:tcPr>
            <w:tcW w:w="3220" w:type="dxa"/>
            <w:vAlign w:val="bottom"/>
          </w:tcPr>
          <w:p>
            <w:pPr>
              <w:jc w:val="center"/>
              <w:ind w:left="109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tcPr>
          <w:p>
            <w:pPr>
              <w:jc w:val="center"/>
              <w:ind w:right="1133"/>
              <w:spacing w:after="0"/>
              <w:rPr>
                <w:sz w:val="20"/>
                <w:szCs w:val="20"/>
                <w:color w:val="auto"/>
              </w:rPr>
            </w:pPr>
            <w:r>
              <w:rPr>
                <w:rFonts w:ascii="Times New Roman" w:cs="Times New Roman" w:eastAsia="Times New Roman" w:hAnsi="Times New Roman"/>
                <w:sz w:val="16"/>
                <w:szCs w:val="16"/>
                <w:b w:val="1"/>
                <w:bCs w:val="1"/>
                <w:color w:val="auto"/>
              </w:rPr>
              <w:t>57-0981653</w:t>
            </w:r>
          </w:p>
        </w:tc>
      </w:tr>
      <w:tr>
        <w:trPr>
          <w:trHeight w:val="135"/>
        </w:trPr>
        <w:tc>
          <w:tcPr>
            <w:tcW w:w="3220" w:type="dxa"/>
            <w:vAlign w:val="bottom"/>
          </w:tcPr>
          <w:p>
            <w:pPr>
              <w:jc w:val="center"/>
              <w:ind w:left="1092"/>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140" w:type="dxa"/>
            <w:vAlign w:val="bottom"/>
          </w:tcPr>
          <w:p>
            <w:pPr>
              <w:jc w:val="center"/>
              <w:ind w:right="1133"/>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220" w:type="dxa"/>
            <w:vAlign w:val="bottom"/>
          </w:tcPr>
          <w:p>
            <w:pPr>
              <w:jc w:val="center"/>
              <w:ind w:left="1092"/>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tcPr>
          <w:p>
            <w:pPr>
              <w:jc w:val="center"/>
              <w:ind w:right="113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24"/>
        </w:trPr>
        <w:tc>
          <w:tcPr>
            <w:tcW w:w="3220" w:type="dxa"/>
            <w:vAlign w:val="bottom"/>
          </w:tcPr>
          <w:p>
            <w:pPr>
              <w:spacing w:after="0"/>
              <w:rPr>
                <w:sz w:val="24"/>
                <w:szCs w:val="24"/>
                <w:color w:val="auto"/>
              </w:rPr>
            </w:pPr>
          </w:p>
        </w:tc>
        <w:tc>
          <w:tcPr>
            <w:tcW w:w="254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5430 LBJ Freeway, Suite 1700</w:t>
            </w:r>
          </w:p>
        </w:tc>
        <w:tc>
          <w:tcPr>
            <w:tcW w:w="3140" w:type="dxa"/>
            <w:vAlign w:val="bottom"/>
          </w:tcPr>
          <w:p>
            <w:pPr>
              <w:spacing w:after="0"/>
              <w:rPr>
                <w:sz w:val="24"/>
                <w:szCs w:val="24"/>
                <w:color w:val="auto"/>
              </w:rPr>
            </w:pPr>
          </w:p>
        </w:tc>
      </w:tr>
      <w:tr>
        <w:trPr>
          <w:trHeight w:val="198"/>
        </w:trPr>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Dallas, Texas 75240-2620</w:t>
            </w:r>
          </w:p>
        </w:tc>
        <w:tc>
          <w:tcPr>
            <w:tcW w:w="3140" w:type="dxa"/>
            <w:vAlign w:val="bottom"/>
          </w:tcPr>
          <w:p>
            <w:pPr>
              <w:spacing w:after="0"/>
              <w:rPr>
                <w:sz w:val="17"/>
                <w:szCs w:val="17"/>
                <w:color w:val="auto"/>
              </w:rPr>
            </w:pPr>
          </w:p>
        </w:tc>
      </w:tr>
      <w:tr>
        <w:trPr>
          <w:trHeight w:val="131"/>
        </w:trPr>
        <w:tc>
          <w:tcPr>
            <w:tcW w:w="3220" w:type="dxa"/>
            <w:vAlign w:val="bottom"/>
          </w:tcPr>
          <w:p>
            <w:pPr>
              <w:spacing w:after="0"/>
              <w:rPr>
                <w:sz w:val="11"/>
                <w:szCs w:val="11"/>
                <w:color w:val="auto"/>
              </w:rPr>
            </w:pPr>
          </w:p>
        </w:tc>
        <w:tc>
          <w:tcPr>
            <w:tcW w:w="2540" w:type="dxa"/>
            <w:vAlign w:val="bottom"/>
            <w:gridSpan w:val="5"/>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140" w:type="dxa"/>
            <w:vAlign w:val="bottom"/>
          </w:tcPr>
          <w:p>
            <w:pPr>
              <w:spacing w:after="0"/>
              <w:rPr>
                <w:sz w:val="11"/>
                <w:szCs w:val="11"/>
                <w:color w:val="auto"/>
              </w:rPr>
            </w:pPr>
          </w:p>
        </w:tc>
      </w:tr>
      <w:tr>
        <w:trPr>
          <w:trHeight w:val="190"/>
        </w:trPr>
        <w:tc>
          <w:tcPr>
            <w:tcW w:w="89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(972) 448-1400</w:t>
            </w:r>
          </w:p>
        </w:tc>
      </w:tr>
      <w:tr>
        <w:trPr>
          <w:trHeight w:val="216"/>
        </w:trPr>
        <w:tc>
          <w:tcPr>
            <w:tcW w:w="57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140" w:type="dxa"/>
            <w:vAlign w:val="bottom"/>
          </w:tcPr>
          <w:p>
            <w:pPr>
              <w:spacing w:after="0"/>
              <w:rPr>
                <w:sz w:val="18"/>
                <w:szCs w:val="18"/>
                <w:color w:val="auto"/>
              </w:rPr>
            </w:pPr>
          </w:p>
        </w:tc>
      </w:tr>
      <w:tr>
        <w:trPr>
          <w:trHeight w:val="192"/>
        </w:trPr>
        <w:tc>
          <w:tcPr>
            <w:tcW w:w="3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140" w:type="dxa"/>
            <w:vAlign w:val="bottom"/>
          </w:tcPr>
          <w:p>
            <w:pPr>
              <w:spacing w:after="0"/>
              <w:rPr>
                <w:sz w:val="16"/>
                <w:szCs w:val="16"/>
                <w:color w:val="auto"/>
              </w:rPr>
            </w:pPr>
          </w:p>
        </w:tc>
      </w:tr>
      <w:tr>
        <w:trPr>
          <w:trHeight w:val="155"/>
        </w:trPr>
        <w:tc>
          <w:tcPr>
            <w:tcW w:w="3220" w:type="dxa"/>
            <w:vAlign w:val="bottom"/>
          </w:tcPr>
          <w:p>
            <w:pPr>
              <w:jc w:val="center"/>
              <w:ind w:left="172"/>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140" w:type="dxa"/>
            <w:vAlign w:val="bottom"/>
          </w:tcPr>
          <w:p>
            <w:pPr>
              <w:jc w:val="center"/>
              <w:ind w:right="213"/>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58"/>
        </w:trPr>
        <w:tc>
          <w:tcPr>
            <w:tcW w:w="3220" w:type="dxa"/>
            <w:vAlign w:val="bottom"/>
            <w:tcBorders>
              <w:top w:val="single" w:sz="8" w:color="auto"/>
            </w:tcBorders>
          </w:tcPr>
          <w:p>
            <w:pPr>
              <w:jc w:val="center"/>
              <w:ind w:left="192"/>
              <w:spacing w:after="0"/>
              <w:rPr>
                <w:sz w:val="20"/>
                <w:szCs w:val="20"/>
                <w:color w:val="auto"/>
              </w:rPr>
            </w:pPr>
            <w:r>
              <w:rPr>
                <w:rFonts w:ascii="Times New Roman" w:cs="Times New Roman" w:eastAsia="Times New Roman" w:hAnsi="Times New Roman"/>
                <w:sz w:val="13"/>
                <w:szCs w:val="13"/>
                <w:color w:val="auto"/>
                <w:w w:val="96"/>
              </w:rPr>
              <w:t>Class A common stock</w:t>
            </w: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CIX</w:t>
            </w: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140" w:type="dxa"/>
            <w:vAlign w:val="bottom"/>
            <w:tcBorders>
              <w:top w:val="single" w:sz="8" w:color="auto"/>
            </w:tcBorders>
          </w:tcPr>
          <w:p>
            <w:pPr>
              <w:jc w:val="center"/>
              <w:ind w:right="213"/>
              <w:spacing w:after="0"/>
              <w:rPr>
                <w:sz w:val="20"/>
                <w:szCs w:val="20"/>
                <w:color w:val="auto"/>
              </w:rPr>
            </w:pPr>
            <w:r>
              <w:rPr>
                <w:rFonts w:ascii="Times New Roman" w:cs="Times New Roman" w:eastAsia="Times New Roman" w:hAnsi="Times New Roman"/>
                <w:sz w:val="13"/>
                <w:szCs w:val="13"/>
                <w:color w:val="auto"/>
                <w:w w:val="97"/>
              </w:rPr>
              <w:t>NYSE American</w:t>
            </w:r>
          </w:p>
        </w:tc>
      </w:tr>
    </w:tbl>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 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63500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Indicate by check mark:</w:t>
      </w:r>
    </w:p>
    <w:p>
      <w:pPr>
        <w:spacing w:after="0" w:line="15" w:lineRule="exact"/>
        <w:rPr>
          <w:sz w:val="24"/>
          <w:szCs w:val="24"/>
          <w:color w:val="auto"/>
        </w:rPr>
      </w:pPr>
    </w:p>
    <w:p>
      <w:pPr>
        <w:ind w:left="60" w:right="3239"/>
        <w:spacing w:after="0" w:line="193" w:lineRule="exact"/>
        <w:rPr>
          <w:sz w:val="20"/>
          <w:szCs w:val="20"/>
          <w:color w:val="auto"/>
        </w:rPr>
      </w:pPr>
      <w:r>
        <w:rPr>
          <w:rFonts w:ascii="Times New Roman" w:cs="Times New Roman" w:eastAsia="Times New Roman" w:hAnsi="Times New Roman"/>
          <w:sz w:val="12"/>
          <w:szCs w:val="12"/>
          <w:color w:val="auto"/>
        </w:rPr>
        <w:t xml:space="preserve">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ind w:left="60" w:right="59"/>
        <w:spacing w:after="0" w:line="158" w:lineRule="exact"/>
        <w:rPr>
          <w:sz w:val="20"/>
          <w:szCs w:val="20"/>
          <w:color w:val="auto"/>
        </w:rPr>
      </w:pPr>
      <w:r>
        <w:rPr>
          <w:rFonts w:ascii="Times New Roman" w:cs="Times New Roman" w:eastAsia="Times New Roman" w:hAnsi="Times New Roman"/>
          <w:sz w:val="13"/>
          <w:szCs w:val="13"/>
          <w:color w:val="auto"/>
        </w:rPr>
        <w:t xml:space="preserve">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60" w:right="59"/>
        <w:spacing w:after="0" w:line="159" w:lineRule="exact"/>
        <w:rPr>
          <w:sz w:val="20"/>
          <w:szCs w:val="20"/>
          <w:color w:val="auto"/>
        </w:rPr>
      </w:pPr>
      <w:r>
        <w:rPr>
          <w:rFonts w:ascii="Times New Roman" w:cs="Times New Roman" w:eastAsia="Times New Roman" w:hAnsi="Times New Roman"/>
          <w:sz w:val="13"/>
          <w:szCs w:val="13"/>
          <w:color w:val="auto"/>
        </w:rPr>
        <w:t xml:space="preserve">Whether the registrant has submitted electronically every Interactive Data File required to be submitted pursuant to Rule 405 of Regulation S-T during the preceding 12 months (or for such shorter period that the registration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60" w:right="59"/>
        <w:spacing w:after="0" w:line="233" w:lineRule="auto"/>
        <w:rPr>
          <w:sz w:val="20"/>
          <w:szCs w:val="20"/>
          <w:color w:val="auto"/>
        </w:rPr>
      </w:pPr>
      <w:r>
        <w:rPr>
          <w:rFonts w:ascii="Times New Roman" w:cs="Times New Roman" w:eastAsia="Times New Roman" w:hAnsi="Times New Roman"/>
          <w:sz w:val="13"/>
          <w:szCs w:val="13"/>
          <w:color w:val="auto"/>
        </w:rPr>
        <w:t>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60" w:type="dxa"/>
        <w:tblCellMar>
          <w:top w:w="0" w:type="dxa"/>
          <w:left w:w="0" w:type="dxa"/>
          <w:bottom w:w="0" w:type="dxa"/>
          <w:right w:w="0" w:type="dxa"/>
        </w:tblCellMar>
      </w:tblPr>
      <w:tr>
        <w:trPr>
          <w:trHeight w:val="155"/>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0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ind w:left="2480"/>
              <w:spacing w:after="0"/>
              <w:rPr>
                <w:sz w:val="20"/>
                <w:szCs w:val="20"/>
                <w:color w:val="auto"/>
              </w:rPr>
            </w:pPr>
            <w:r>
              <w:rPr>
                <w:rFonts w:ascii="Times New Roman" w:cs="Times New Roman" w:eastAsia="Times New Roman" w:hAnsi="Times New Roman"/>
                <w:sz w:val="13"/>
                <w:szCs w:val="13"/>
                <w:color w:val="auto"/>
              </w:rPr>
              <w:t>Accelerated filer</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0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ind w:left="24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80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spacing w:after="0"/>
              <w:rPr>
                <w:sz w:val="18"/>
                <w:szCs w:val="18"/>
                <w:color w:val="auto"/>
              </w:rPr>
            </w:pPr>
          </w:p>
        </w:tc>
        <w:tc>
          <w:tcPr>
            <w:tcW w:w="380" w:type="dxa"/>
            <w:vAlign w:val="bottom"/>
          </w:tcPr>
          <w:p>
            <w:pPr>
              <w:spacing w:after="0"/>
              <w:rPr>
                <w:sz w:val="18"/>
                <w:szCs w:val="18"/>
                <w:color w:val="auto"/>
              </w:rPr>
            </w:pPr>
          </w:p>
        </w:tc>
      </w:tr>
    </w:tbl>
    <w:p>
      <w:pPr>
        <w:spacing w:after="0" w:line="12" w:lineRule="exact"/>
        <w:rPr>
          <w:sz w:val="24"/>
          <w:szCs w:val="24"/>
          <w:color w:val="auto"/>
        </w:rPr>
      </w:pPr>
    </w:p>
    <w:p>
      <w:pPr>
        <w:jc w:val="both"/>
        <w:ind w:left="60" w:right="7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left="60" w:right="79"/>
        <w:spacing w:after="0" w:line="167" w:lineRule="exact"/>
        <w:rPr>
          <w:sz w:val="20"/>
          <w:szCs w:val="20"/>
          <w:color w:val="auto"/>
        </w:rPr>
      </w:pPr>
      <w:r>
        <w:rPr>
          <w:rFonts w:ascii="Times New Roman" w:cs="Times New Roman" w:eastAsia="Times New Roman" w:hAnsi="Times New Roman"/>
          <w:sz w:val="13"/>
          <w:szCs w:val="13"/>
          <w:color w:val="auto"/>
        </w:rPr>
        <w:t xml:space="preserve">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2" w:lineRule="exact"/>
        <w:rPr>
          <w:sz w:val="24"/>
          <w:szCs w:val="24"/>
          <w:color w:val="auto"/>
        </w:rPr>
      </w:pPr>
    </w:p>
    <w:p>
      <w:pPr>
        <w:ind w:left="60" w:right="479"/>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left="60" w:right="59"/>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60"/>
        <w:spacing w:after="0" w:line="150" w:lineRule="exact"/>
        <w:tabs>
          <w:tab w:leader="none" w:pos="5180" w:val="left"/>
        </w:tabs>
        <w:rPr>
          <w:sz w:val="20"/>
          <w:szCs w:val="20"/>
          <w:color w:val="auto"/>
        </w:rPr>
      </w:pPr>
      <w:r>
        <w:rPr>
          <w:rFonts w:ascii="Times New Roman" w:cs="Times New Roman" w:eastAsia="Times New Roman" w:hAnsi="Times New Roman"/>
          <w:sz w:val="13"/>
          <w:szCs w:val="13"/>
          <w:color w:val="auto"/>
        </w:rPr>
        <w:t xml:space="preserve">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40" w:lineRule="exact"/>
        <w:rPr>
          <w:sz w:val="24"/>
          <w:szCs w:val="24"/>
          <w:color w:val="auto"/>
        </w:rPr>
      </w:pPr>
    </w:p>
    <w:p>
      <w:pPr>
        <w:ind w:left="60" w:right="59"/>
        <w:spacing w:after="0" w:line="233" w:lineRule="auto"/>
        <w:rPr>
          <w:sz w:val="20"/>
          <w:szCs w:val="20"/>
          <w:color w:val="auto"/>
        </w:rPr>
      </w:pPr>
      <w:r>
        <w:rPr>
          <w:rFonts w:ascii="Times New Roman" w:cs="Times New Roman" w:eastAsia="Times New Roman" w:hAnsi="Times New Roman"/>
          <w:sz w:val="13"/>
          <w:szCs w:val="13"/>
          <w:color w:val="auto"/>
        </w:rPr>
        <w:t>The aggregate market value of the 1.6 million shares of voting stock held by nonaffiliates of CompX International Inc. as of June 30, 2024 (the last business day of the Registrant’s most recently completed second fiscal quarter) approximated $38.6 million.</w:t>
      </w:r>
    </w:p>
    <w:p>
      <w:pPr>
        <w:ind w:left="60"/>
        <w:spacing w:after="0"/>
        <w:rPr>
          <w:sz w:val="20"/>
          <w:szCs w:val="20"/>
          <w:color w:val="auto"/>
        </w:rPr>
      </w:pPr>
      <w:r>
        <w:rPr>
          <w:rFonts w:ascii="Times New Roman" w:cs="Times New Roman" w:eastAsia="Times New Roman" w:hAnsi="Times New Roman"/>
          <w:sz w:val="13"/>
          <w:szCs w:val="13"/>
          <w:color w:val="auto"/>
        </w:rPr>
        <w:t>As of February 28, 2025, registrant had 12,318,557 shares of Class A common stock, $.01 par value per share, outstanding.</w:t>
      </w:r>
    </w:p>
    <w:p>
      <w:pPr>
        <w:spacing w:after="0" w:line="2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3"/>
          <w:szCs w:val="13"/>
          <w:b w:val="1"/>
          <w:bCs w:val="1"/>
          <w:u w:val="single" w:color="auto"/>
          <w:color w:val="auto"/>
        </w:rPr>
        <w:t>Documents incorporated by reference</w:t>
      </w:r>
    </w:p>
    <w:p>
      <w:pPr>
        <w:spacing w:after="0" w:line="55" w:lineRule="exact"/>
        <w:rPr>
          <w:sz w:val="24"/>
          <w:szCs w:val="24"/>
          <w:color w:val="auto"/>
        </w:rPr>
      </w:pPr>
    </w:p>
    <w:p>
      <w:pPr>
        <w:ind w:left="60" w:right="59" w:firstLine="648"/>
        <w:spacing w:after="0"/>
        <w:rPr>
          <w:sz w:val="20"/>
          <w:szCs w:val="20"/>
          <w:color w:val="auto"/>
        </w:rPr>
      </w:pPr>
      <w:r>
        <w:rPr>
          <w:rFonts w:ascii="Times New Roman" w:cs="Times New Roman" w:eastAsia="Times New Roman" w:hAnsi="Times New Roman"/>
          <w:sz w:val="13"/>
          <w:szCs w:val="13"/>
          <w:color w:val="auto"/>
        </w:rPr>
        <w:t>The information required by Part III is incorporated by reference from the Registrant’s definitive proxy statement to be filed with the Commission pursuant to Regulation 14A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464820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44450</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78740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CompX International Inc. (NYSE American: CIX), incorporated in Delaware in 1993, is a leading manufacturer of security products used in the postal, recreational transportation, office and institutional furniture, cabinetry, tool storage, healthcare applications and a variety of other industries. We are also a leading manufacturer of wake enhancement systems, stainless steel exhaust systems, gauges, throttle controls and trim tabs and related hardware and accessories for the recreational marine and various other industries. Our products are principally designed for use in medium to high-end product applications where design, quality and durability are valued by our customers.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At December 31, 2024, NL Industries, Inc. (NYSE: NL) owns approximately 87% of our outstanding common stock, Valhi, Inc. (NYSE: VHI) owns approximately 83% of NL’s outstanding common stock and a subsidiary of Contran Corporation owns approximately 91% of Valhi’s outstanding common stock. As discussed in Note 1 to our Consolidated Financial Statements,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2024, Ms. Simmons and the Family Trust may be deemed to control Contran, and therefore may be deemed to indirectly control the wholly-owned subsidiary of Contran, Valhi, NL and us.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corporate offices are located at Three Lincoln Centre, 5430 LBJ Freeway, Suite 1700, Dallas, Texas 75240.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Our telephone number is (972) 448-1400. We maintain a website at </w:t>
      </w:r>
      <w:r>
        <w:rPr>
          <w:rFonts w:ascii="Times New Roman" w:cs="Times New Roman" w:eastAsia="Times New Roman" w:hAnsi="Times New Roman"/>
          <w:sz w:val="18"/>
          <w:szCs w:val="18"/>
          <w:u w:val="single" w:color="auto"/>
          <w:color w:val="auto"/>
        </w:rPr>
        <w:t>www.compxinternational.com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“us,” or “our” refer to CompX International Inc. and its subsidiaries taken as a whole.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as amended. Statements in this Annual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Annual Report and those described from time to time in our other filings with the U.S. Securities and Exchange Commission (the “SEC”) and include, but are not limited to, the following:</w:t>
      </w:r>
    </w:p>
    <w:p>
      <w:pPr>
        <w:spacing w:after="0" w:line="192"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supply and demand for our products;</w:t>
      </w:r>
    </w:p>
    <w:p>
      <w:pPr>
        <w:spacing w:after="0" w:line="117"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raw material and other operating costs (such as zinc, brass, aluminum, steel and energy costs) or the implementation of tariffs on imported raw materials and our ability to pass those costs on to our customers or offset them with reductions in other operating costs;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competition from low-cost manufacturing sources (such as China);</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and production decisions;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 including substitute products;</w:t>
      </w:r>
    </w:p>
    <w:p>
      <w:pPr>
        <w:spacing w:after="0" w:line="117" w:lineRule="exact"/>
        <w:rPr>
          <w:rFonts w:ascii="Times New Roman" w:cs="Times New Roman" w:eastAsia="Times New Roman" w:hAnsi="Times New Roman"/>
          <w:sz w:val="18"/>
          <w:szCs w:val="18"/>
          <w:color w:val="auto"/>
        </w:rPr>
      </w:pPr>
    </w:p>
    <w:p>
      <w:pPr>
        <w:ind w:left="4460" w:hanging="111"/>
        <w:spacing w:after="0"/>
        <w:tabs>
          <w:tab w:leader="none" w:pos="4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 w:name="page3"/>
    <w:bookmarkEnd w:id="2"/>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new product development and the development of new product features;</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possible future litigation (such as litigation related to our use of certain permitted chemicals in our production process) or other actions;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or defend our intellectual property rights;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integrating future acquisitions;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sell operating assets other than in the ordinary course of business;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emission and discharge standards for existing and new facilities);</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 including future tax reform;</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and possible changes therein including new environmental, health and safety, sustainability or other regulations;</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leaks, natural disasters, fires, explosions, unscheduled or unplanned downtime, transportation interruptions, certain regional and world events or economic conditions and public health crises);</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or changes in existing, tariffs, trade barriers or trade disputes (including tariffs imposed by the U.S. government on imports from China and Mexico);</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p>
      <w:pPr>
        <w:spacing w:after="0" w:line="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 of our business or increases in the cost of doing business resulting from terrorist activities or global conflicts.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manufacture engineered components utilized in a variety of applications and industries.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We continuously seek to diversify into new markets and identify new applications and features for our products, which we believe provide a greater potential for higher rates of earnings growth as well as diversification of risk. See also Item 7 – “Management’s Discussion and Analysis of Financial Condition and Results of Operations.”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two operating business segments – Security Products and Marine Components. For additional information regarding our segments, see “Part II – Item 7. Management’s Discussion and Analysis of Financial Condition and Results of Operations” and Note 2 to the Consolidated Financial Statements.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Operations and Products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Security Products</w:t>
      </w:r>
      <w:r>
        <w:rPr>
          <w:rFonts w:ascii="Times New Roman" w:cs="Times New Roman" w:eastAsia="Times New Roman" w:hAnsi="Times New Roman"/>
          <w:sz w:val="18"/>
          <w:szCs w:val="18"/>
          <w:color w:val="auto"/>
        </w:rPr>
        <w:t>. Our Security Products segment manufactures mechanical and electrical cabinet locks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locking mechanisms used in a variety of applications including mailboxes, ignition systems, file cabinets, desk drawers, tool storage cabinets, high security medical cabinetry, integrated inventory and access control secured narcotics boxes, electronic circuit panels, storage compartments, gas station security, vending and cash containment machines. Our Security Products segment has one manufacturing facility in Mauldin, South Carolina and one in Grayslake, Illinois which is shared with Marine Components. We believe we are a North American market leader in the manufacture and sale of cabinet locks and other locking mechanisms. These products include:</w:t>
      </w:r>
    </w:p>
    <w:p>
      <w:pPr>
        <w:spacing w:after="0" w:line="185"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 tumbler locks which provide moderate security and generally represent the lowest cost lock we produce;</w:t>
      </w:r>
    </w:p>
    <w:p>
      <w:pPr>
        <w:spacing w:after="0" w:line="117" w:lineRule="exact"/>
        <w:rPr>
          <w:rFonts w:ascii="Times New Roman" w:cs="Times New Roman" w:eastAsia="Times New Roman" w:hAnsi="Times New Roman"/>
          <w:sz w:val="18"/>
          <w:szCs w:val="18"/>
          <w:color w:val="auto"/>
        </w:rPr>
      </w:pPr>
    </w:p>
    <w:p>
      <w:pPr>
        <w:jc w:val="both"/>
        <w:ind w:left="720" w:right="79" w:hanging="319"/>
        <w:spacing w:after="0" w:line="249"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pin tumbler locks which are more costly to produce and are used in applications requiring higher levels of security, including </w:t>
      </w:r>
      <w:r>
        <w:rPr>
          <w:rFonts w:ascii="Times New Roman" w:cs="Times New Roman" w:eastAsia="Times New Roman" w:hAnsi="Times New Roman"/>
          <w:sz w:val="18"/>
          <w:szCs w:val="18"/>
          <w:i w:val="1"/>
          <w:iCs w:val="1"/>
          <w:color w:val="auto"/>
        </w:rPr>
        <w:t>KeSet</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System 64</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(which each allow the user to change the keying on a single lock 64 times without removing the lock from its enclosure), </w:t>
      </w:r>
      <w:r>
        <w:rPr>
          <w:rFonts w:ascii="Times New Roman" w:cs="Times New Roman" w:eastAsia="Times New Roman" w:hAnsi="Times New Roman"/>
          <w:sz w:val="18"/>
          <w:szCs w:val="18"/>
          <w:i w:val="1"/>
          <w:iCs w:val="1"/>
          <w:color w:val="auto"/>
        </w:rPr>
        <w:t>TuBar</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Turbine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and</w:t>
      </w:r>
    </w:p>
    <w:p>
      <w:pPr>
        <w:spacing w:after="0" w:line="13" w:lineRule="exact"/>
        <w:rPr>
          <w:rFonts w:ascii="Times New Roman" w:cs="Times New Roman" w:eastAsia="Times New Roman" w:hAnsi="Times New Roman"/>
          <w:sz w:val="18"/>
          <w:szCs w:val="18"/>
          <w:color w:val="auto"/>
        </w:rPr>
      </w:pPr>
    </w:p>
    <w:p>
      <w:pPr>
        <w:jc w:val="both"/>
        <w:ind w:left="720" w:right="79" w:hanging="319"/>
        <w:spacing w:after="0" w:line="24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innovative </w:t>
      </w:r>
      <w:r>
        <w:rPr>
          <w:rFonts w:ascii="Times New Roman" w:cs="Times New Roman" w:eastAsia="Times New Roman" w:hAnsi="Times New Roman"/>
          <w:sz w:val="18"/>
          <w:szCs w:val="18"/>
          <w:i w:val="1"/>
          <w:iCs w:val="1"/>
          <w:color w:val="auto"/>
        </w:rPr>
        <w:t>CompX eLock</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StealthLock</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electronic locks which provide stand-alone or networked security and audit trail capability for drug storage and other valuables through the use of a proximity card, magnetic stripe, radio frequency or other keypad credential.</w:t>
      </w:r>
    </w:p>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substantial portion of our Security Products’ sales consist of products with specialized adaptations to an individual customer’s specifications, some of which are listed above. We also have a standardized product line suitable for many customers, which is offered through a North American distribution network to locksmith and smaller original equipment manufacturer (“OEM”) distributors via our </w:t>
      </w:r>
      <w:r>
        <w:rPr>
          <w:rFonts w:ascii="Times New Roman" w:cs="Times New Roman" w:eastAsia="Times New Roman" w:hAnsi="Times New Roman"/>
          <w:sz w:val="18"/>
          <w:szCs w:val="18"/>
          <w:i w:val="1"/>
          <w:iCs w:val="1"/>
          <w:color w:val="auto"/>
        </w:rPr>
        <w:t>STOCK LOCKS</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distribution program.</w:t>
      </w:r>
    </w:p>
    <w:p>
      <w:pPr>
        <w:spacing w:after="0" w:line="109"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Marine Components</w:t>
      </w:r>
      <w:r>
        <w:rPr>
          <w:rFonts w:ascii="Times New Roman" w:cs="Times New Roman" w:eastAsia="Times New Roman" w:hAnsi="Times New Roman"/>
          <w:sz w:val="18"/>
          <w:szCs w:val="18"/>
          <w:color w:val="auto"/>
        </w:rPr>
        <w:t>. Our Marine Components segment manufactures and distributes wake enhancement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stainless steel exhaust components, gauges, throttle controls, trim tabs and related hardware and accessories primarily for ski/wakeboard boats (towboats) and performance boats. Our Marine Components segment has a facility in Neenah, Wisconsin and a facility in Grayslake, Illinois which is shared with Security Products. Our specialty Marine Component products are high precision components designed to operate within tight tolerances in the highly demanding marine environment. These products include:</w:t>
      </w:r>
    </w:p>
    <w:p>
      <w:pPr>
        <w:spacing w:after="0" w:line="184"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wake enhancement devices, trim tabs, steering wheels and billet aluminum accessories;</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equipment and aftermarket stainless steel exhaust headers, exhaust pipes, mufflers and other exhaust components;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performance gauges such as GPS speedometers and tachometers;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and electronic controls and throttles;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dash panels, LED indicators and wire harnesses;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grab handles, pin cleats and other accessories.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information regarding our three principal manufacturing facilities, see “Item 2 – Properties.”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primary raw materials are:</w:t>
      </w:r>
    </w:p>
    <w:p>
      <w:pPr>
        <w:spacing w:after="0" w:line="225"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Products - zinc and brass (for the manufacture of locking mechanisms).</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Components - stainless steel (for the manufacture of exhaust headers and pipes and wake enhancement systems), aluminum (for the manufacture of throttles and trim tabs) and other components.</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ind w:left="4460" w:hanging="111"/>
        <w:spacing w:after="0"/>
        <w:tabs>
          <w:tab w:leader="none" w:pos="4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 w:name="page5"/>
    <w:bookmarkEnd w:id="4"/>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These raw materials are purchased from several suppliers, are readily available from numerous sources and accounted for approximately 13% of our total cost of sales for 2024. Total material costs, including purchased components, represented approximately 46% of our cost of sales in 2024.</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occasionally enter into short-term commodity-related raw material supply arrangements to mitigate the impact of future price increases in commodity-related raw materials, including zinc, brass, aluminum and stainless steel. These arrangements generally provide for stated unit prices based upon specified purchase volumes, which help us to stabilize our commodity-related raw material costs to a certain extent. At other times we may make spot market buys of larger quantities of raw materials to take advantage of favorable pricing or volume-based discounts. Our raw material prices were generally stable through the first half of 2024, although beginning in the latter half of the third quarter we began to experience moderate increases in certain raw material costs, particularly brass. The zinc market was volatile in 2024, but we were successful in making strategic spot buys to keep our costs consistent with 2023. Prices for aluminum and stainless steel, which are the primary raw materials used for the manufacture of marine components (including marine exhaust headers and pipes, wake enhancement systems, throttles and trim tabs), were relatively stable in 2024 because we took advantage of volume purchase opportunities during the year. In most cases, commodity raw materials we purchase include processing and conversion costs, such as alloying, extrusion and rolling, which remain elevated due to costs of labor, transportation, and energy. Processing and conversion costs are not expected to decrease and may negate the benefit of softening commodity prices on our purchases. Based on current economic conditions, we expect the prices for zinc, brass, aluminum, stainless steel and other manufacturing materials in 2025 to be relatively stable, although governmental actions such as tariffs may impact markets. When purchased on the spot market, each of these raw materials may be subject to sudden and unanticipated price increases. When possible, we seek to mitigate the impact of fluctuations in these raw material costs on our margins through improvements in production efficiencies or other operating cost reductions. In the event we are unable to offset raw material cost increases with other cost reductions, it may be difficult to recover those cost increases through increased product selling prices or raw material surcharges due to the competitive nature of the markets in which we compete. Consequently, overall operating margins can be negatively affected by commodity-related raw material cost pressures. Commodity market prices are cyclical, reflecting overall economic trends, specific developments in consuming industries and speculative investor activities.</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Patents and Trademarks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hold a number of patents relating to our component products, certain of which we believe to be important to us and our continuing business activity. Patents generally have a term of 20 years, and our patents have remaining terms ranging from 1 to 16 years at December 31, 2024.</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Our major trademarks and brand names in addition to </w:t>
      </w:r>
      <w:r>
        <w:rPr>
          <w:rFonts w:ascii="Times New Roman" w:cs="Times New Roman" w:eastAsia="Times New Roman" w:hAnsi="Times New Roman"/>
          <w:sz w:val="18"/>
          <w:szCs w:val="18"/>
          <w:i w:val="1"/>
          <w:iCs w:val="1"/>
          <w:color w:val="auto"/>
        </w:rPr>
        <w:t>CompX</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include:</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Security Products</w:t>
            </w:r>
          </w:p>
        </w:tc>
        <w:tc>
          <w:tcPr>
            <w:tcW w:w="24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Security Products</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Marine Components</w:t>
            </w:r>
          </w:p>
        </w:tc>
      </w:tr>
      <w:tr>
        <w:trPr>
          <w:trHeight w:val="181"/>
        </w:trPr>
        <w:tc>
          <w:tcPr>
            <w:tcW w:w="284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5"/>
                <w:szCs w:val="15"/>
                <w:i w:val="1"/>
                <w:iCs w:val="1"/>
                <w:color w:val="auto"/>
              </w:rPr>
              <w:t>CompX</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5"/>
                <w:szCs w:val="15"/>
                <w:i w:val="1"/>
                <w:iCs w:val="1"/>
                <w:color w:val="auto"/>
              </w:rPr>
              <w:t xml:space="preserve"> Security Products™</w:t>
            </w:r>
          </w:p>
        </w:tc>
        <w:tc>
          <w:tcPr>
            <w:tcW w:w="200" w:type="dxa"/>
            <w:vAlign w:val="bottom"/>
          </w:tcPr>
          <w:p>
            <w:pPr>
              <w:spacing w:after="0"/>
              <w:rPr>
                <w:sz w:val="15"/>
                <w:szCs w:val="15"/>
                <w:color w:val="auto"/>
              </w:rPr>
            </w:pPr>
          </w:p>
        </w:tc>
        <w:tc>
          <w:tcPr>
            <w:tcW w:w="22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5"/>
                <w:szCs w:val="15"/>
                <w:i w:val="1"/>
                <w:iCs w:val="1"/>
                <w:color w:val="auto"/>
              </w:rPr>
              <w:t>Lockview</w:t>
            </w:r>
            <w:r>
              <w:rPr>
                <w:rFonts w:ascii="Times New Roman" w:cs="Times New Roman" w:eastAsia="Times New Roman" w:hAnsi="Times New Roman"/>
                <w:sz w:val="21"/>
                <w:szCs w:val="21"/>
                <w:i w:val="1"/>
                <w:iCs w:val="1"/>
                <w:color w:val="auto"/>
                <w:vertAlign w:val="superscript"/>
              </w:rPr>
              <w:t>®</w:t>
            </w:r>
          </w:p>
        </w:tc>
        <w:tc>
          <w:tcPr>
            <w:tcW w:w="180" w:type="dxa"/>
            <w:vAlign w:val="bottom"/>
          </w:tcPr>
          <w:p>
            <w:pPr>
              <w:spacing w:after="0"/>
              <w:rPr>
                <w:sz w:val="15"/>
                <w:szCs w:val="15"/>
                <w:color w:val="auto"/>
              </w:rPr>
            </w:pPr>
          </w:p>
        </w:tc>
        <w:tc>
          <w:tcPr>
            <w:tcW w:w="34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5"/>
                <w:szCs w:val="15"/>
                <w:i w:val="1"/>
                <w:iCs w:val="1"/>
                <w:color w:val="auto"/>
              </w:rPr>
              <w:t>CompX Marine</w:t>
            </w:r>
            <w:r>
              <w:rPr>
                <w:rFonts w:ascii="Times New Roman" w:cs="Times New Roman" w:eastAsia="Times New Roman" w:hAnsi="Times New Roman"/>
                <w:sz w:val="21"/>
                <w:szCs w:val="21"/>
                <w:i w:val="1"/>
                <w:iCs w:val="1"/>
                <w:color w:val="auto"/>
                <w:vertAlign w:val="superscript"/>
              </w:rPr>
              <w:t>®</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i w:val="1"/>
                <w:iCs w:val="1"/>
                <w:color w:val="auto"/>
              </w:rPr>
              <w:t>National Cabinet Lock</w:t>
            </w:r>
            <w:r>
              <w:rPr>
                <w:rFonts w:ascii="Times New Roman" w:cs="Times New Roman" w:eastAsia="Times New Roman" w:hAnsi="Times New Roman"/>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System 64</w:t>
            </w:r>
            <w:r>
              <w:rPr>
                <w:rFonts w:ascii="Times New Roman" w:cs="Times New Roman" w:eastAsia="Times New Roman" w:hAnsi="Times New Roman"/>
                <w:sz w:val="25"/>
                <w:szCs w:val="25"/>
                <w:i w:val="1"/>
                <w:iCs w:val="1"/>
                <w:color w:val="auto"/>
                <w:vertAlign w:val="superscript"/>
              </w:rPr>
              <w:t>®</w:t>
            </w:r>
          </w:p>
        </w:tc>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Custom Marine</w:t>
            </w:r>
            <w:r>
              <w:rPr>
                <w:rFonts w:ascii="Times New Roman" w:cs="Times New Roman" w:eastAsia="Times New Roman" w:hAnsi="Times New Roman"/>
                <w:sz w:val="25"/>
                <w:szCs w:val="25"/>
                <w:i w:val="1"/>
                <w:iCs w:val="1"/>
                <w:color w:val="auto"/>
                <w:vertAlign w:val="superscript"/>
              </w:rPr>
              <w:t>®</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i w:val="1"/>
                <w:iCs w:val="1"/>
                <w:color w:val="auto"/>
              </w:rPr>
              <w:t>Fort Lock</w:t>
            </w:r>
            <w:r>
              <w:rPr>
                <w:rFonts w:ascii="Times New Roman" w:cs="Times New Roman" w:eastAsia="Times New Roman" w:hAnsi="Times New Roman"/>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SlamCAM</w:t>
            </w:r>
            <w:r>
              <w:rPr>
                <w:rFonts w:ascii="Times New Roman" w:cs="Times New Roman" w:eastAsia="Times New Roman" w:hAnsi="Times New Roman"/>
                <w:sz w:val="25"/>
                <w:szCs w:val="25"/>
                <w:i w:val="1"/>
                <w:iCs w:val="1"/>
                <w:color w:val="auto"/>
                <w:vertAlign w:val="superscript"/>
              </w:rPr>
              <w:t>®</w:t>
            </w:r>
          </w:p>
        </w:tc>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Livorsi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i w:val="1"/>
                <w:iCs w:val="1"/>
                <w:color w:val="auto"/>
              </w:rPr>
              <w:t xml:space="preserve"> Marine</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i w:val="1"/>
                <w:iCs w:val="1"/>
                <w:color w:val="auto"/>
              </w:rPr>
              <w:t>Timberline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i w:val="1"/>
                <w:iCs w:val="1"/>
                <w:color w:val="auto"/>
              </w:rPr>
              <w:t xml:space="preserve"> Lock</w:t>
            </w:r>
          </w:p>
        </w:tc>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RegulatoR</w:t>
            </w:r>
            <w:r>
              <w:rPr>
                <w:rFonts w:ascii="Times New Roman" w:cs="Times New Roman" w:eastAsia="Times New Roman" w:hAnsi="Times New Roman"/>
                <w:sz w:val="25"/>
                <w:szCs w:val="25"/>
                <w:i w:val="1"/>
                <w:iCs w:val="1"/>
                <w:color w:val="auto"/>
                <w:vertAlign w:val="superscript"/>
              </w:rPr>
              <w:t>®</w:t>
            </w:r>
          </w:p>
        </w:tc>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Livorsi II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i w:val="1"/>
                <w:iCs w:val="1"/>
                <w:color w:val="auto"/>
              </w:rPr>
              <w:t xml:space="preserve"> Marine</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i w:val="1"/>
                <w:iCs w:val="1"/>
                <w:color w:val="auto"/>
              </w:rPr>
              <w:t>Chicago Lock</w:t>
            </w:r>
            <w:r>
              <w:rPr>
                <w:rFonts w:ascii="Times New Roman" w:cs="Times New Roman" w:eastAsia="Times New Roman" w:hAnsi="Times New Roman"/>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CompXpress</w:t>
            </w:r>
            <w:r>
              <w:rPr>
                <w:rFonts w:ascii="Times New Roman" w:cs="Times New Roman" w:eastAsia="Times New Roman" w:hAnsi="Times New Roman"/>
                <w:sz w:val="25"/>
                <w:szCs w:val="25"/>
                <w:i w:val="1"/>
                <w:iCs w:val="1"/>
                <w:color w:val="auto"/>
                <w:vertAlign w:val="superscript"/>
              </w:rPr>
              <w:t>®</w:t>
            </w:r>
          </w:p>
        </w:tc>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CMI Industrial</w:t>
            </w:r>
            <w:r>
              <w:rPr>
                <w:rFonts w:ascii="Times New Roman" w:cs="Times New Roman" w:eastAsia="Times New Roman" w:hAnsi="Times New Roman"/>
                <w:sz w:val="25"/>
                <w:szCs w:val="25"/>
                <w:i w:val="1"/>
                <w:iCs w:val="1"/>
                <w:color w:val="auto"/>
                <w:vertAlign w:val="superscript"/>
              </w:rPr>
              <w:t>®</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i w:val="1"/>
                <w:iCs w:val="1"/>
                <w:color w:val="auto"/>
              </w:rPr>
              <w:t>STOCK LOCKS</w:t>
            </w:r>
            <w:r>
              <w:rPr>
                <w:rFonts w:ascii="Times New Roman" w:cs="Times New Roman" w:eastAsia="Times New Roman" w:hAnsi="Times New Roman"/>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GEM</w:t>
            </w:r>
            <w:r>
              <w:rPr>
                <w:rFonts w:ascii="Times New Roman" w:cs="Times New Roman" w:eastAsia="Times New Roman" w:hAnsi="Times New Roman"/>
                <w:sz w:val="25"/>
                <w:szCs w:val="25"/>
                <w:i w:val="1"/>
                <w:iCs w:val="1"/>
                <w:color w:val="auto"/>
                <w:vertAlign w:val="superscript"/>
              </w:rPr>
              <w:t>®</w:t>
            </w:r>
          </w:p>
        </w:tc>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Custom Marine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i w:val="1"/>
                <w:iCs w:val="1"/>
                <w:color w:val="auto"/>
              </w:rPr>
              <w:t xml:space="preserve"> Stainless Exhaust</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i w:val="1"/>
                <w:iCs w:val="1"/>
                <w:color w:val="auto"/>
              </w:rPr>
              <w:t>KeSet</w:t>
            </w:r>
            <w:r>
              <w:rPr>
                <w:rFonts w:ascii="Times New Roman" w:cs="Times New Roman" w:eastAsia="Times New Roman" w:hAnsi="Times New Roman"/>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Turbine</w:t>
            </w:r>
            <w:r>
              <w:rPr>
                <w:rFonts w:ascii="Times New Roman" w:cs="Times New Roman" w:eastAsia="Times New Roman" w:hAnsi="Times New Roman"/>
                <w:sz w:val="25"/>
                <w:szCs w:val="25"/>
                <w:i w:val="1"/>
                <w:iCs w:val="1"/>
                <w:color w:val="auto"/>
                <w:vertAlign w:val="superscript"/>
              </w:rPr>
              <w:t>®</w:t>
            </w:r>
          </w:p>
        </w:tc>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The #1 Choice in Performance Boating</w:t>
            </w:r>
            <w:r>
              <w:rPr>
                <w:rFonts w:ascii="Times New Roman" w:cs="Times New Roman" w:eastAsia="Times New Roman" w:hAnsi="Times New Roman"/>
                <w:sz w:val="25"/>
                <w:szCs w:val="25"/>
                <w:i w:val="1"/>
                <w:iCs w:val="1"/>
                <w:color w:val="auto"/>
                <w:vertAlign w:val="superscript"/>
              </w:rPr>
              <w:t>®</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i w:val="1"/>
                <w:iCs w:val="1"/>
                <w:color w:val="auto"/>
              </w:rPr>
              <w:t>TuBar</w:t>
            </w:r>
            <w:r>
              <w:rPr>
                <w:rFonts w:ascii="Times New Roman" w:cs="Times New Roman" w:eastAsia="Times New Roman" w:hAnsi="Times New Roman"/>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NARC iD</w:t>
            </w:r>
            <w:r>
              <w:rPr>
                <w:rFonts w:ascii="Times New Roman" w:cs="Times New Roman" w:eastAsia="Times New Roman" w:hAnsi="Times New Roman"/>
                <w:sz w:val="25"/>
                <w:szCs w:val="25"/>
                <w:i w:val="1"/>
                <w:iCs w:val="1"/>
                <w:color w:val="auto"/>
                <w:vertAlign w:val="superscript"/>
              </w:rPr>
              <w:t>®</w:t>
            </w:r>
          </w:p>
        </w:tc>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Mega Rim</w:t>
            </w:r>
            <w:r>
              <w:rPr>
                <w:rFonts w:ascii="Times New Roman" w:cs="Times New Roman" w:eastAsia="Times New Roman" w:hAnsi="Times New Roman"/>
                <w:sz w:val="25"/>
                <w:szCs w:val="25"/>
                <w:i w:val="1"/>
                <w:iCs w:val="1"/>
                <w:color w:val="auto"/>
                <w:vertAlign w:val="superscript"/>
              </w:rPr>
              <w:t>®</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i w:val="1"/>
                <w:iCs w:val="1"/>
                <w:color w:val="auto"/>
              </w:rPr>
              <w:t>StealthLock</w:t>
            </w:r>
            <w:r>
              <w:rPr>
                <w:rFonts w:ascii="Times New Roman" w:cs="Times New Roman" w:eastAsia="Times New Roman" w:hAnsi="Times New Roman"/>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NARC</w:t>
            </w:r>
            <w:r>
              <w:rPr>
                <w:rFonts w:ascii="Times New Roman" w:cs="Times New Roman" w:eastAsia="Times New Roman" w:hAnsi="Times New Roman"/>
                <w:sz w:val="25"/>
                <w:szCs w:val="25"/>
                <w:i w:val="1"/>
                <w:iCs w:val="1"/>
                <w:color w:val="auto"/>
                <w:vertAlign w:val="superscript"/>
              </w:rPr>
              <w:t>®</w:t>
            </w:r>
          </w:p>
        </w:tc>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Race Rim</w:t>
            </w:r>
            <w:r>
              <w:rPr>
                <w:rFonts w:ascii="Times New Roman" w:cs="Times New Roman" w:eastAsia="Times New Roman" w:hAnsi="Times New Roman"/>
                <w:sz w:val="25"/>
                <w:szCs w:val="25"/>
                <w:i w:val="1"/>
                <w:iCs w:val="1"/>
                <w:color w:val="auto"/>
                <w:vertAlign w:val="superscript"/>
              </w:rPr>
              <w:t>®</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i w:val="1"/>
                <w:iCs w:val="1"/>
                <w:color w:val="auto"/>
              </w:rPr>
              <w:t>ACE</w:t>
            </w:r>
            <w:r>
              <w:rPr>
                <w:rFonts w:ascii="Times New Roman" w:cs="Times New Roman" w:eastAsia="Times New Roman" w:hAnsi="Times New Roman"/>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ecoForce</w:t>
            </w:r>
            <w:r>
              <w:rPr>
                <w:rFonts w:ascii="Times New Roman" w:cs="Times New Roman" w:eastAsia="Times New Roman" w:hAnsi="Times New Roman"/>
                <w:sz w:val="25"/>
                <w:szCs w:val="25"/>
                <w:i w:val="1"/>
                <w:iCs w:val="1"/>
                <w:color w:val="auto"/>
                <w:vertAlign w:val="superscript"/>
              </w:rPr>
              <w:t>®</w:t>
            </w:r>
          </w:p>
        </w:tc>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Vantage View</w:t>
            </w:r>
            <w:r>
              <w:rPr>
                <w:rFonts w:ascii="Times New Roman" w:cs="Times New Roman" w:eastAsia="Times New Roman" w:hAnsi="Times New Roman"/>
                <w:sz w:val="25"/>
                <w:szCs w:val="25"/>
                <w:i w:val="1"/>
                <w:iCs w:val="1"/>
                <w:color w:val="auto"/>
                <w:vertAlign w:val="superscript"/>
              </w:rPr>
              <w:t>®</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i w:val="1"/>
                <w:iCs w:val="1"/>
                <w:color w:val="auto"/>
              </w:rPr>
              <w:t>ACE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i w:val="1"/>
                <w:iCs w:val="1"/>
                <w:color w:val="auto"/>
              </w:rPr>
              <w:t xml:space="preserve"> II</w:t>
            </w:r>
          </w:p>
        </w:tc>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Pearl</w:t>
            </w:r>
            <w:r>
              <w:rPr>
                <w:rFonts w:ascii="Times New Roman" w:cs="Times New Roman" w:eastAsia="Times New Roman" w:hAnsi="Times New Roman"/>
                <w:sz w:val="25"/>
                <w:szCs w:val="25"/>
                <w:i w:val="1"/>
                <w:iCs w:val="1"/>
                <w:color w:val="auto"/>
                <w:vertAlign w:val="superscript"/>
              </w:rPr>
              <w:t>®</w:t>
            </w:r>
          </w:p>
        </w:tc>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GEN-X</w:t>
            </w:r>
            <w:r>
              <w:rPr>
                <w:rFonts w:ascii="Times New Roman" w:cs="Times New Roman" w:eastAsia="Times New Roman" w:hAnsi="Times New Roman"/>
                <w:sz w:val="25"/>
                <w:szCs w:val="25"/>
                <w:i w:val="1"/>
                <w:iCs w:val="1"/>
                <w:color w:val="auto"/>
                <w:vertAlign w:val="superscript"/>
              </w:rPr>
              <w:t>®</w:t>
            </w:r>
          </w:p>
        </w:tc>
      </w:tr>
      <w:tr>
        <w:trPr>
          <w:trHeight w:val="35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CompX eLock</w:t>
            </w:r>
            <w:r>
              <w:rPr>
                <w:rFonts w:ascii="Times New Roman" w:cs="Times New Roman" w:eastAsia="Times New Roman" w:hAnsi="Times New Roman"/>
                <w:sz w:val="26"/>
                <w:szCs w:val="26"/>
                <w:i w:val="1"/>
                <w:iCs w:val="1"/>
                <w:color w:val="auto"/>
                <w:vertAlign w:val="superscript"/>
              </w:rPr>
              <w:t>®</w:t>
            </w: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Distribution</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 majority of our component sales are direct to large OEM customers through our factory-based sales and marketing professionals supported by engineers working in concert with field salespeople and independent manufacturer’s</w:t>
      </w:r>
    </w:p>
    <w:p>
      <w:pPr>
        <w:sectPr>
          <w:pgSz w:w="11900" w:h="16838" w:orient="portrait"/>
          <w:cols w:equalWidth="0" w:num="1">
            <w:col w:w="9019"/>
          </w:cols>
          <w:pgMar w:left="1440" w:top="1269"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 w:name="page6"/>
    <w:bookmarkEnd w:id="5"/>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representatives. We select manufacturer’s representatives based on special skills in certain markets or relationships with current or potential customers.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to sales to large OEM customers, a substantial portion of our Security Products sales are made through distributors. We have a significant North American market share of cabinet lock security product sales as a result of the locksmith distribution channel. We support our locksmith distributor sales with a line of standardized products used by the largest segments of the marketplace. These products are packaged and merchandised for easy availability and handling by distributors and end users.</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sell to a diverse customer base with only one customer representing 10% or more of our sales in 2024 (United States Postal Service representing 21%). Our largest ten customers accounted for approximately 47% of our sales in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markets in which we participate are highly competitive. We compete primarily on the basis of product design, including space utilization and aesthetic factors, product quality and durability, price, on-time delivery, service and technical support. We focus our efforts on the middle and high-end segments of the market, where product design, quality, durability and service are valued by the customer. Our Security Products segment competes against a number of domestic and foreign manufacturers. Our Marine Components segment competes with small domestic manufacturers and is minimally affected by foreign competitors.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seek to operate our business in line with sound ESG principles that include corporate governance, social responsibility, sustainability and cybersecurity. We believe ESG means conducting operations with high standards of environmental and social responsibility, practicing exemplary ethical standards, focusing on safety as a top priority, respecting human rights and supporting our local communities, and continuously developing our employees. At our facilities, we undertake various environmental sustainability programs, and we promote social responsibility and volunteerism through programs designed to support and give back to the local communities in which we operate. Each of our locations maintains site-specific safety programs and disaster response and business continuity plans. All manufacturing facilities have detailed, site-specific emergency response procedures we believe adequately address regulatory compliance, vulnerability to potential hazards, emergency response and action plans, employee training, alarms and warning systems and crisis communication.</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an effort to align our non-employee directors’ financial interests with those of our stockholders, our board of directors established share ownership guidelines for our non-management directors. In addition, we have adopted an insider trading policy that applies to both employees and non-employee directors.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Environmental Matters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a history of incorporating environmental management and compliance in our operations and decision making. We operate three manufacturing facilities and our production processes requiring waste-water discharge are consolidated at our Mauldin, South Carolina facility. This facility has received a ReWa Compliance Excellence Award multiple years for its exemplary performance from Renewable Water Resources, an organization which sets regulatory and water policies for the Mauldin facility’s geographic region. In addition, we operate extensive scrap metal recycling programs to reduce landfill waste.</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relating to the use, storage, handling, generation, transportation, treatment, emission, discharge, disposal, remediation of and exposure to hazardous and non-hazardous substances, materials and wastes, some of which are becoming stricter over time. Our operations also are subject to federal, state and local laws and regulations relating to worker health and safety. We believe we are in substantial compliance with all such laws and regulations. To date, the costs of maintaining compliance with such laws and regulations have not significantly impacted our results; however, it is possible future laws and regulations may require us to incur significant additional expenditures.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27"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Employees </w:t>
      </w:r>
      <w:r>
        <w:rPr>
          <w:rFonts w:ascii="Times New Roman" w:cs="Times New Roman" w:eastAsia="Times New Roman" w:hAnsi="Times New Roman"/>
          <w:sz w:val="18"/>
          <w:szCs w:val="18"/>
          <w:color w:val="auto"/>
        </w:rPr>
        <w:t>– Our operating results depend in part on our ability to successfully manage our human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including attracting, identifying, and retaining key talent. We have a well-trained labor force with a substantial number of long-tenured employees. We provide competitive compensation and benefits to our employees. In addition to salaries, these programs can include annual bonuses, a defined contribution plan with employer matching, a profit sharing plan, healthcare and insurance benefits, health savings and flexible spending accounts, paid time off, family leave, family care resources, employee assistance programs and tuition assistance.</w:t>
      </w:r>
    </w:p>
    <w:p>
      <w:pPr>
        <w:spacing w:after="0" w:line="18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recognize that everyone deserves respect and equal treatment. We embrace diversity and collaboration in our workforce and our business initiatives. We are an equal opportunity employer, and we base employment decisions on merit, competence and qualifications, without regard to race, color, national origin, gender, age, religion, disability, sex, sexual orientation or other characteristics protected by applicable law in the jurisdictions in which we operate. We promote a respectful, diverse and inclusive workplace in which all individuals are treated with respect and dignity.</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2024, we employed 510 people, all in the United States. We believe our labor relations are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good.</w:t>
      </w:r>
    </w:p>
    <w:p>
      <w:pPr>
        <w:spacing w:after="0" w:line="20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Health and Safety </w:t>
      </w:r>
      <w:r>
        <w:rPr>
          <w:rFonts w:ascii="Times New Roman" w:cs="Times New Roman" w:eastAsia="Times New Roman" w:hAnsi="Times New Roman"/>
          <w:sz w:val="18"/>
          <w:szCs w:val="18"/>
          <w:color w:val="auto"/>
        </w:rPr>
        <w:t>– Protecting the health and safety of our workforce, our customers, our business partners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natural environment is one of our core values. We are committed to maintaining a strong safety culture where all workers meet or exceed required industry performance standards, and we continuously seek to improve occupational and process safety performance. We conduct our business in ways intended to provide all personnel with a safe and healthy work environment and have established safety and environmental programs and goals to achieve these results. We expect our manufacturing facilities to produce our products safely and in compliance with local regulations, policies, standards and practices intended to protect the environment and our people, and we have established policies designed to promote compliance. We require our employees to comply with such requirements. We provide our workers with the tools and training necessary to make the appropriate decisions to prevent accidents and injuries. Each of our operating facilities develops, maintains and implements safety programs encompassing key aspects of their operations. In addition, management reviews and evaluates safety performance throughout the year. We monitor conditions that could lead to a safety incident and keep track of injuries through reporting systems in accordance with laws in the jurisdictions in which we operate. We track this data to assess the quality of our safety performance, and we use lost time incidents as a key measure of worker safety. We define lost time incidents as work-related accidents where a worker sustains an injury that results in time away from work. We had three lost time incidents in 2022, and one in each of 2023 and 2024.</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Website and Available Information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fiscal year end is always the Sunday closest to December 31, and our operations are reported on a 52 or 53-week fiscal year. For presentation purposes, annual information in this Form 10-K is presented as ended on December 31. The actual date of our fiscal years ended December 31, 2022, 2023 and 2024 are January 1, 2023, December 31, 2023, and December 29, 2024, respectively. Each of the years ending December 31, 2022, 2023, and 2024 consisted of 52 weeks. We furnish our stockholders with annual reports containing audited financial statements. In addition, we file annual, quarterly and current reports, proxy and information statements and other information with the SEC. We also make our annual reports on Form 10-K, quarterly reports on Form 10-Q, current reports on Form 8-K and amendments thereto available free of charge through our website at www.compxinternational.com as soon as reasonably practical after they have been filed with the SEC. We also provide to anyone, without charge, copies of such documents upon written request. Requests should be directed to the attention of the Corporate Secretary at our address on the cover page of this Form 10-K.</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Additional information, including our Audit Committee Charter, our Code of Business Conduct and Ethics and our Corporate Governance Guidelines, can also be found on our website. Information contained on our website is not a part of this Annual Report.</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SEC maintains an internet website at www.sec.gov that contains reports, proxy and information statements and other information regarding issuers, such as us, that file electronically with the SEC.</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7" w:name="page8"/>
    <w:bookmarkEnd w:id="7"/>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Listed below are certain risk factors associated with us and our businesses. In addition to the potential effect of these risk factors discussed below, any risk factor which could result in reduced earnings, operating losses, or reduced liquidity, could in turn adversely affect our ability to service our liabilities or pay dividends on our common stock or adversely affect the quoted market prices for our securities.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Operational Risk Factors</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mature and highly competitive markets, resulting in pricing pressure and the need to continuously reduce costs.</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Many of the markets we serve are highly competitive, with a number of competitors offering similar products. We focus our efforts on the middle and high-end segment of the market where we feel that we can compete due to the importance of product design, quality and durability to the customer. However, our ability to effectively compete is impacted by a number of factors. The occurrence of any of these factors could result in reduced earnings or operating losses.</w:t>
      </w:r>
    </w:p>
    <w:p>
      <w:pPr>
        <w:spacing w:after="0" w:line="183" w:lineRule="exact"/>
        <w:rPr>
          <w:sz w:val="20"/>
          <w:szCs w:val="20"/>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be able to drive down prices for our products beyond our ability to adjust costs because their costs are lower than ours, especially products sourced from Asia.</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financial, technological and other resources may be greater than our resources, which may enable them to more effectively withstand changes in market conditions.</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be able to respond more quickly than we can to new or emerging technologies and changes in customer requirements.</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competitors or customers in any of the markets in which we compete may result in reduced demand for our products.</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our market share with one or more of our key customers, or a reduction in one or more of our key customers’ market share for their end-use products, may reduce demand for our products.</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competitors could emerge by modifying their existing production facilities to manufacture products that compete with our products.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sustain a cost structure that enables us to be competitive.</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no longer value our product design, quality or durability over the lower cost products of our competitors.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of innovative features for current products is critical to sustaining and growing our sales.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Historically, our ability to provide value-added custom engineered products that address requirements of technology and space utilization has been a key element of our success. We spend a significant amount of time and effort to refine, improve and adapt our existing products for new customers and applications. Since expenditures for these types of activities are not considered research and development expense under accounting principles generally accepted in the United States of America (“GAAP”), the amount of our research and development expenditures, which is not significant, is not indicative of the overall effort involved in the development of new product features. The introduction of new product features requires the coordination of the design, manufacturing and marketing of the new product features with current and potential customers. The ability to coordinate these activities with current and potential customers may be affected by factors beyond our control. While we will continue to emphasize the introduction of innovative new product features that target customer-specific opportunities, we do not know if any new product features we introduce will achieve the same degree of success that we have achieved with our existing products. At times we work with new and existing customers on specific product innovations. Sometimes we have a cost sharing arrangement for development efforts although we may also fully bear the development costs. If a customer were to ultimately reject or abandon custom product innovation efforts, we may not be able to recover our development costs.</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Higher costs or limited availability of our raw materials could negatively impact our financial results.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Certain raw materials used in our products are commodities that are subject to significant fluctuations in price in response to world-wide supply and demand as well as speculative investor activity. Zinc and brass are the principal raw materials used in the manufacture of security products. Stainless steel and aluminum are the major raw materials used in the manufacture of marine components. These raw materials are purchased from several suppliers and are generally readily available from numerous sources. We occasionally enter into short-term raw material supply arrangements to mitigate the impact of future increases in commodity-related raw material costs and ensure supply. Materials purchased outside of these arrangements are sometimes subject to unanticipated and sudden price increases.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Certain components used in our products are manufactured by foreign suppliers located in China and elsewhere. Global economic and political conditions, including natural disasters, terrorist acts, transportation disruptions, global conflicts and public health crises such as pandemics, could prevent our vendors from being able to supply these components. Should our vendors not be able to meet their supply obligations or should we be otherwise unable to obtain necessary raw materials or components, we may incur higher supply costs or may be required to reduce production levels. In addition, the imposition of new tariffs or increases in existing tariffs by the U.S. government on imports from China, Mexico or other countries from which we import raw materials and other components could increase our supply costs. Increases in our supply costs may decrease our liquidity or negatively impact our financial condition or results of operations as we may be unable to offset the higher costs with increases in our selling prices or reductions in other operating costs.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Compliance and Regulatory Risk Factors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the disposition of which could have a material adverse effect on our results of operations.</w:t>
      </w:r>
    </w:p>
    <w:p>
      <w:pPr>
        <w:spacing w:after="0" w:line="5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nature of our operations exposes us to possible litigation claims, including disputes with customers and suppliers and matters relating to, among other things, product liability, intellectual property, employment and environmental claims. It is possible that judgments could be rendered against us in these or other types of cases for which we could be uninsured or not covered by indemnity, or which may be beyond the amounts that we currently have reserved or anticipate incurring for such matters. In addition, litigation can be costly, and the costs associated with defending litigation matters could potentially have a material adverse effect on our results of operations.</w:t>
      </w:r>
    </w:p>
    <w:p>
      <w:pPr>
        <w:spacing w:after="0" w:line="18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rights or claims by others that we infringe their intellectual property rights could substantially harm our business.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rely on patent, trademark and trade secret laws in the United States and similar laws in other countries to establish and maintain our intellectual property rights in our technology and designs. Despite these measures, any of our intellectual property rights could be challenged, invalidated, circumvented or misappropriated. Third parties may independently discover our trade secrets and proprietary information, and in such cases we could not assert any trade secret rights against such parties. Further, we do not know if any of our pending trademark or patent applications will be approved. Costly and time-consuming litigation could be necessary to enforce and determine the scope of our intellectual property rights. In addition, the laws of certain countries do not protect intellectual property rights to the same extent as the laws of the United States. Therefore, in certain jurisdictions, we may be unable to protect our technology and designs adequately against unauthorized third party use, which could adversely affect our competitive position.</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Third parties may claim that we or our customers are infringing upon their intellectual property rights. Even if we believe that such claims are without merit, they can be time-consuming and costly to defend and distract our management’s and technical staff’s attention and resources. Claims of intellectual property infringement might also require us to redesign affected technology, enter into costly settlement or license agreements or pay costly damage awards, or face a temporary or permanent injunction prohibiting us from marketing or selling certain of our technology. If we cannot or do not license the infringed technology on reasonable pricing terms or at all, or substitute similar technology from another source, our business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9" w:name="page10"/>
    <w:bookmarkEnd w:id="9"/>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laws and regulations could negatively impact our financial results or limit our ability to operate our businesses.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All of our production facilities are located in the United States and each requires energy, including electricity and natural gas in order to conduct operations. The U.S. government has determined that the consumption of energy derived from fossil fuels is a major contributor to climate change and is contemplating regulatory changes in response to the potential impact of climate change, including laws and regulations regarding carbon emission costs, Green House Gas (“GHG”) emissions and renewable energy targets. To date, laws and regulatory actions related to climate change have not had a material adverse effect on our financial results. Until the timing, scope and extent of any new or future regulation becomes known, we cannot predict the effect on our business, results of operations or financial condition. However, if new laws or regulations or regulatory actions related to climate change were to be enacted or implemented, it could negatively impact our future results from operations through increased costs of production, particularly as it relates to our energy requirements. If such increased costs of production were to materialize, we may be unable to pass price increases on to our customers to compensate for increased production costs, which may decrease our liquidity, operating income and results of operations. In addition, any adopted future climate change laws and regulations could negatively impact our ability (or that of our customers and suppliers) to compete with companies situated in areas not subject to such limitations.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Technology failures or cybersecurity breaches could have a material adverse effect on our operations.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to manage, process and analyze data, as well as to facilitate the manufacture and distribution of our products to and from our facilities. We receive, process and ship orders, manage the billing of and collections from our customers, and manage the accounting for and payment to our vendors. Although we have systems and procedures in place to protect our information technology systems, there can be no assurance that such systems and procedures will be sufficiently effective. Therefore, any of our information technology systems may be susceptible to outages, disruptions or destruction from power outages, telecommunications failures, employee error, cybersecurity breaches or attacks and other similar events. This could result in a disruption of our business operations, injury to people, harm to the environment or our assets, and/or the inability to access our information technology systems and could adversely affect our results of operations and financial condition. We have in the past experienced, and we expect to continue to experience, cyber-attacks, including phishing, and other attempts to breach or gain unauthorized access to our systems. To date we have not suffered breaches in our systems, either directly or through a trusted third-party vendor, which have led to material losses. Due to the increase in global cybersecurity incidents it has become increasingly difficult to obtain insurance coverage on reasonable pricing terms to mitigate some risks associated with technology failures or cybersecurity breaches, and we are experiencing such difficulties in obtaining insurance coverage.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Physical impacts of climate change could have a material adverse effect on our costs and operations.</w:t>
      </w:r>
    </w:p>
    <w:p>
      <w:pPr>
        <w:spacing w:after="0" w:line="2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Climate change may increase both the frequency and severity of extreme weather conditions and natural disasters such as hurricanes, thunderstorms, tornadoes, drought and snow or ice storms. Extreme weather conditions may increase our costs or cause damage to our facilities, and any damage resulting from extreme weather may not be fully insured. Furthermore, periods of extended inclement weather may inhibit our facility operations and delay or hinder shipments of our products to customers. Any such events could have a material adverse effect on our costs or results of operations.</w:t>
      </w:r>
    </w:p>
    <w:p>
      <w:pPr>
        <w:spacing w:after="0" w:line="179"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recognize the importance of proactively assessing, identifying and managing material risks associated with cybersecurity threats. These risks include, among other things: operational disruptions, intellectual property theft, fraud, extortion, harm to employees or customers and violation of data privacy or security laws. Our cybersecurity programs are built on both operational and compliance foundations. The operational component focuses on continuous detection,</w:t>
      </w:r>
    </w:p>
    <w:p>
      <w:pPr>
        <w:sectPr>
          <w:pgSz w:w="11900" w:h="16838" w:orient="portrait"/>
          <w:cols w:equalWidth="0" w:num="1">
            <w:col w:w="9019"/>
          </w:cols>
          <w:pgMar w:left="1440" w:top="1265"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10" w:name="page11"/>
    <w:bookmarkEnd w:id="10"/>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prevention, measurement, analysis and response to cybersecurity alerts and incidents, and on emerging threats. The compliance component establishes oversight of our cybersecurity programs by creating risk-based controls to protect the integrity, confidentiality, accessibility and availability of company data stored, processed or transferred. Our cybersecurity program is fully integrated into our enterprise-wide risk management framework.</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cybersecurity program is led by our director of information technology (IT), who is responsible for developing and executing our overall information security strategy, policy, security engineering, operations and cyber threat detection and response. Our director of IT has extensive information technology and program management experience and leads a team that has many years of experience with our organization. Our director of IT reports to our vice president in charge of coordinating operational activities within our business segments. Our cybersecurity risks are also reviewed and tested annually through third party assessments and internal and external information technology audits. Our information technology team reviews cybersecurity risks at least annually, integrating findings into strategic risk assessments.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continually enhance our cyber defense strategy with the ultimate goal of preventing cybersecurity incidents to the extent feasible, while simultaneously bolstering our system resilience in an effort to minimize the business impact should an incident occur. Third parties also play a role in our cybersecurity. We engage reputable third-party security firms for consultation on industry best practices and regulatory standards and to conduct routine evaluations of our cybersecurity, such as through penetration testing and security audits; these evaluations include testing both the design and operational effectiveness of security controls. All employees are required to complete cybersecurity training at least once a year and have access to more frequent cybersecurity training through periodic updates. Employees in certain roles also receive additional role-based, specialized cybersecurity training.</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 Cybersecurity Incident Disclosure and Controls Committee (CIDAC) which is central to the response and evaluation of cybersecurity incidents. Our CIDAC is comprised of our director of IT and senior executives including our chief executive officer, chief financial officer and general counsel, and our executive vice president who is also the Contran chief information officer. Security events and data incidents are evaluated, ranked by severity and prioritized for response and remediation. The IT team is responsible for categorizing cybersecurity incidents, and those deemed high-risk or critical are escalated to the CIDAC for review and response coordination. Incidents are evaluated to determine materiality and for operational, financial and reputational impact. Our CIDAC performs simulations and tabletop exercises at a management level to evaluate our readiness and response to cybersecurity incidents. As needed, we collaborate with external cybersecurity experts and legal advisors to help ensure a robust response strategy.</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oversees management’s processes for identifying and mitigating risks, including cybersecurity risks, to help align our risk exposure with our strategic objectives. Senior leadership, including our chief executive officer and chief financial officer, provides regular updates to the board of directors on our cybersecurity posture, emerging threats and our risk mitigation efforts. Our board of directors is apprised of cybersecurity incidents deemed to have significant business impact, even if they are not material to us. The board has delegated some of its primary risk oversight to board committees, including that our audit committee facilitates the board’s process of oversight of our overall risk management approach. Our full board retains oversight of cybersecurity because of its importance to us and visibility with our customers.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event of an incident, we follow a structured incident response playbook, which outlines clear and defined steps to be followed from incident detection to mitigation, recovery and notification, including notifying functional areas (such as legal), senior leadership and the board, as appropriate. We also conduct post-incident reviews to identify lessons learned and implement continuous improvements.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face a number of cybersecurity risks. To date, such risks have not materially affected us, including our business strategy, results of operations or financial condition. While we have not experienced any major breaches, we actively monitor and mitigate cyber threats, including phishing attempts, malware and targeted attacks. Thus far all such incidents have been minor, isolated and promptly contained. For more information about the cybersecurity risks we face, see the risk factor entitled “Technology failures or cybersecurity breaches could have a material adverse effect on our operations.” in Item 1A- Risk Factors.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1" w:name="page12"/>
    <w:bookmarkEnd w:id="11"/>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8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leased space at 5430 LBJ Freeway, Dallas, Texas 75240. The following table sets forth the location, size and business operating segment for each of our principal operating facilities.</w:t>
      </w:r>
    </w:p>
    <w:p>
      <w:pPr>
        <w:spacing w:after="0" w:line="171"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Size</w:t>
            </w:r>
          </w:p>
        </w:tc>
      </w:tr>
      <w:tr>
        <w:trPr>
          <w:trHeight w:val="238"/>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(square feet)</w:t>
            </w:r>
          </w:p>
        </w:tc>
      </w:tr>
      <w:tr>
        <w:trPr>
          <w:trHeight w:val="190"/>
        </w:trPr>
        <w:tc>
          <w:tcPr>
            <w:tcW w:w="278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Owned Facilities:</w:t>
            </w:r>
          </w:p>
        </w:tc>
        <w:tc>
          <w:tcPr>
            <w:tcW w:w="2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r>
      <w:tr>
        <w:trPr>
          <w:trHeight w:val="216"/>
        </w:trPr>
        <w:tc>
          <w:tcPr>
            <w:tcW w:w="1220" w:type="dxa"/>
            <w:vAlign w:val="bottom"/>
            <w:tcBorders>
              <w:top w:val="single" w:sz="8" w:color="auto"/>
            </w:tcBorders>
          </w:tcPr>
          <w:p>
            <w:pPr>
              <w:ind w:left="320"/>
              <w:spacing w:after="0" w:line="216" w:lineRule="exact"/>
              <w:rPr>
                <w:sz w:val="20"/>
                <w:szCs w:val="20"/>
                <w:color w:val="auto"/>
              </w:rPr>
            </w:pPr>
            <w:r>
              <w:rPr>
                <w:rFonts w:ascii="Times New Roman" w:cs="Times New Roman" w:eastAsia="Times New Roman" w:hAnsi="Times New Roman"/>
                <w:sz w:val="17"/>
                <w:szCs w:val="17"/>
                <w:color w:val="auto"/>
              </w:rPr>
              <w:t xml:space="preserve">National </w:t>
            </w:r>
            <w:r>
              <w:rPr>
                <w:rFonts w:ascii="Times New Roman" w:cs="Times New Roman" w:eastAsia="Times New Roman" w:hAnsi="Times New Roman"/>
                <w:sz w:val="25"/>
                <w:szCs w:val="25"/>
                <w:color w:val="auto"/>
                <w:vertAlign w:val="superscript"/>
              </w:rPr>
              <w:t>(1)</w:t>
            </w:r>
          </w:p>
        </w:tc>
        <w:tc>
          <w:tcPr>
            <w:tcW w:w="1760" w:type="dxa"/>
            <w:vAlign w:val="bottom"/>
            <w:tcBorders>
              <w:top w:val="single" w:sz="8" w:color="CCEEFF"/>
            </w:tcBorders>
            <w:gridSpan w:val="2"/>
          </w:tcPr>
          <w:p>
            <w:pPr>
              <w:spacing w:after="0"/>
              <w:rPr>
                <w:sz w:val="18"/>
                <w:szCs w:val="18"/>
                <w:color w:val="auto"/>
              </w:rPr>
            </w:pPr>
          </w:p>
        </w:tc>
        <w:tc>
          <w:tcPr>
            <w:tcW w:w="1580" w:type="dxa"/>
            <w:vAlign w:val="bottom"/>
            <w:tcBorders>
              <w:top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SP</w:t>
            </w:r>
          </w:p>
        </w:tc>
        <w:tc>
          <w:tcPr>
            <w:tcW w:w="16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Mauldin, SC</w:t>
            </w:r>
          </w:p>
        </w:tc>
        <w:tc>
          <w:tcPr>
            <w:tcW w:w="1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198,000</w:t>
            </w:r>
          </w:p>
        </w:tc>
      </w:tr>
      <w:tr>
        <w:trPr>
          <w:trHeight w:val="216"/>
        </w:trPr>
        <w:tc>
          <w:tcPr>
            <w:tcW w:w="2980" w:type="dxa"/>
            <w:vAlign w:val="bottom"/>
            <w:gridSpan w:val="3"/>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Grayslake</w:t>
            </w:r>
            <w:r>
              <w:rPr>
                <w:rFonts w:ascii="Times New Roman" w:cs="Times New Roman" w:eastAsia="Times New Roman" w:hAnsi="Times New Roman"/>
                <w:sz w:val="25"/>
                <w:szCs w:val="25"/>
                <w:color w:val="auto"/>
                <w:vertAlign w:val="superscript"/>
              </w:rPr>
              <w:t>(1)</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SP/MC</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Grayslake, IL</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w:t>
            </w:r>
          </w:p>
        </w:tc>
      </w:tr>
      <w:tr>
        <w:trPr>
          <w:trHeight w:val="355"/>
        </w:trPr>
        <w:tc>
          <w:tcPr>
            <w:tcW w:w="29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Custom</w:t>
            </w:r>
            <w:r>
              <w:rPr>
                <w:rFonts w:ascii="Times New Roman" w:cs="Times New Roman" w:eastAsia="Times New Roman" w:hAnsi="Times New Roman"/>
                <w:sz w:val="26"/>
                <w:szCs w:val="26"/>
                <w:color w:val="auto"/>
                <w:vertAlign w:val="superscript"/>
              </w:rPr>
              <w:t>(1)</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MC</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Neenah, WI</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r>
    </w:tbl>
    <w:p>
      <w:pPr>
        <w:spacing w:after="0" w:line="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SP – Security Products business segment</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MC – Marine Components business segment</w:t>
      </w:r>
    </w:p>
    <w:p>
      <w:pPr>
        <w:ind w:left="1040" w:hanging="315"/>
        <w:spacing w:after="0" w:line="204" w:lineRule="auto"/>
        <w:tabs>
          <w:tab w:leader="none" w:pos="10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ISO-9001 registered facilities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believe all of our facilities are well maintained and satisfactory for their intended purposes.</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involved, from time to time, in various environmental, contractual, product liability, patent (or intellectual property), employment and other claims and disputes incidental to our business. In addition to the information included below, see Note 11 to our Consolidated Financial Statements.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2024, we were served with four lawsuits by public water companies in South Carolina that seek recovery of future costs to remove perfluoroalkyl and polyfluoroalkyl substances (known as “PFAS”) from their water supplies. The lawsuits have been consolidated with other PFAS cases before a single judge in Spartanburg, South Carolina and were subsequently removed to federal court. The defendants in the lawsuits include the manufacturers of PFAS products, as well as companies that allegedly used PFAS-containing products in their manufacturing operations. The four lawsuits naming CompX allege that CompX was one of many companies that used products containing PFAS in its manufacturing operations, and that such operations have collectively impacted drinking water supplies used by the water companies. The plaintiffs do not allege that CompX has failed to comply with, or has violated, any environmental regulation, permit or statute. The plaintiffs instead assert claims under common law theories of negligence, nuisance, trespass, failure to warn, and unfair trade practices. We intend to deny liability and will defend vigorously against all claims.</w:t>
      </w:r>
    </w:p>
    <w:p>
      <w:pPr>
        <w:spacing w:after="0" w:line="190"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MATTERS AND ISSUER PURCHASES OF EQUITY SECURITIES</w:t>
      </w:r>
    </w:p>
    <w:p>
      <w:pPr>
        <w:spacing w:after="0" w:line="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Common Stock and Dividends. </w:t>
      </w:r>
      <w:r>
        <w:rPr>
          <w:rFonts w:ascii="Times New Roman" w:cs="Times New Roman" w:eastAsia="Times New Roman" w:hAnsi="Times New Roman"/>
          <w:sz w:val="18"/>
          <w:szCs w:val="18"/>
          <w:color w:val="auto"/>
        </w:rPr>
        <w:t>Our Class A common stock is listed and traded on the NYSE American (symbol:</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CIX). As of February 28, 2025, there were approximately 17 holders of record of CompX Class A common stock.</w:t>
      </w:r>
    </w:p>
    <w:p>
      <w:pPr>
        <w:spacing w:after="0" w:line="203"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Performance Graph</w:t>
      </w:r>
      <w:r>
        <w:rPr>
          <w:rFonts w:ascii="Times New Roman" w:cs="Times New Roman" w:eastAsia="Times New Roman" w:hAnsi="Times New Roman"/>
          <w:sz w:val="18"/>
          <w:szCs w:val="18"/>
          <w:color w:val="auto"/>
        </w:rPr>
        <w:t>. Set forth below is a line graph comparing the yearly change in our cumulative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 returns on our Class A common stock against the cumulative total return of the Russell 2000 Index and an index of a self-selected peer group of companies for the period from December 31, 2019 through December 31, 2024. The peer group index is comprised of The Eastern Company and Strattec Security Corporation. The graph shows the value at December 31 of each year assuming an original investment of $100 at December 31, 2019 and assumes the reinvestment of our dividends in shares of our stock.</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09"/>
        </w:trPr>
        <w:tc>
          <w:tcPr>
            <w:tcW w:w="2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c>
          <w:tcPr>
            <w:tcW w:w="8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137160</wp:posOffset>
            </wp:positionV>
            <wp:extent cx="5160645" cy="3463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064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performance graph shall not be deemed “soliciting material” or “filed” with the SEC, or subject to the liabilities of Section 18 of the Securities Exchange Act, except to the extent we specifically request that the material be treated as soliciting material or specifically incorporate this performance graph by reference into a document filed under the Securities Act or the Securities Exchange Act.</w:t>
      </w:r>
    </w:p>
    <w:p>
      <w:pPr>
        <w:spacing w:after="0" w:line="176"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compensation plan information. </w:t>
      </w:r>
      <w:r>
        <w:rPr>
          <w:rFonts w:ascii="Times New Roman" w:cs="Times New Roman" w:eastAsia="Times New Roman" w:hAnsi="Times New Roman"/>
          <w:sz w:val="18"/>
          <w:szCs w:val="18"/>
          <w:color w:val="auto"/>
        </w:rPr>
        <w:t>We have a share based incentive compensation plan, which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by our stockholders, pursuant to which an aggregate of 200,000 shares of our Class A common stock can be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13" w:name="page14"/>
    <w:bookmarkEnd w:id="13"/>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awarded to non-employee members of our board of directors. At December 31, 2024, 119,650 shares are available for future award under this plan. See Note 9 to the Consolidated Financial Statements.</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39" w:lineRule="exact"/>
        <w:rPr>
          <w:sz w:val="20"/>
          <w:szCs w:val="20"/>
          <w:color w:val="auto"/>
        </w:rPr>
      </w:pPr>
    </w:p>
    <w:p>
      <w:pPr>
        <w:ind w:left="1340" w:right="7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healthcare applications and a variety of other industries. We also manufacture wake enhancement systems, stainless steel exhaust systems, gauges, throttle controls, trim tabs and related hardware and accessories for the recreational marine and other industries through our Marine Components segment.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 Overview</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reported operating income of $17.0 million in 2024 and $25.4 million in each of 2023 and 2022. The decrease in operating income in 2024 compared to 2023 is due to lower sales and gross margin at both Security Products and Marine Components. Operating income in 2023 was comparable to 2022 as lower Marine Components sales were offset by higher Security Products sales and higher gross margin percentages across both segments. See results of operations discussion below.</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product offerings consist of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 - 2024 Compared to 2023 and 2023 Compared to 2022</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9"/>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72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2022-23</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2023-24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2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2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u w:val="single" w:color="auto"/>
                <w:color w:val="auto"/>
              </w:rPr>
              <w:t>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u w:val="single" w:color="auto"/>
                <w:color w:val="auto"/>
              </w:rPr>
              <w:t>4</w:t>
            </w:r>
          </w:p>
        </w:tc>
        <w:tc>
          <w:tcPr>
            <w:tcW w:w="20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8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Percent of net sales: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71.7 %</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$15.4 million in 2024 compared to 2023 primarily due to lower Marine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sales to the towboat market and lower Security Products sales to the government security market as a result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4" w:name="page15"/>
    <w:bookmarkEnd w:id="14"/>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sales related to a pilot project that shipped in the third and fourth quarters of 2023 and for which there were no related sales in 2024. See segment results discussion below.</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sales decreased $5.3 million in 2023 compared to 2022 due to lower Marine Components sales primarily to the towboat market, partially offset by higher Security Products sales largely in the fourth quarter of 2023. See segment results discussion below.</w:t>
      </w:r>
    </w:p>
    <w:p>
      <w:pPr>
        <w:spacing w:after="0" w:line="17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Sales and Gross Margin. </w:t>
      </w:r>
      <w:r>
        <w:rPr>
          <w:rFonts w:ascii="Times New Roman" w:cs="Times New Roman" w:eastAsia="Times New Roman" w:hAnsi="Times New Roman"/>
          <w:sz w:val="18"/>
          <w:szCs w:val="18"/>
          <w:color w:val="auto"/>
        </w:rPr>
        <w:t>Cost of sales decreased in 2024 compared to 2023 primarily due to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sales at both Security Products and Marine Components partially offset by higher production costs across both business segments. As a result, cost of sales as a percentage of net sales increased over the same period. Gross margin as a percentage of net sales decreased in 2024 compared to 2023 primarily due to the factors affecting cost of sales and decreased coverage of fixed costs due to lower sales. See segment results discussion below.</w:t>
      </w:r>
    </w:p>
    <w:p>
      <w:pPr>
        <w:spacing w:after="0" w:line="18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Cost of sales decreased in 2023 compared to 2022 primarily due to the effects of lower production costs at both Security Products and Marine Components as well as lower Marine Components sales. Gross margin as a percentage of net sales increased over the same period primarily due to the factors affecting cost of sales. See segment results discussion below.</w:t>
      </w:r>
    </w:p>
    <w:p>
      <w:pPr>
        <w:spacing w:after="0" w:line="17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Operating Costs and Expenses</w:t>
      </w:r>
      <w:r>
        <w:rPr>
          <w:rFonts w:ascii="Times New Roman" w:cs="Times New Roman" w:eastAsia="Times New Roman" w:hAnsi="Times New Roman"/>
          <w:sz w:val="18"/>
          <w:szCs w:val="18"/>
          <w:color w:val="auto"/>
        </w:rPr>
        <w:t>. Operating costs and expenses consist primarily of sales and administrative-related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sales commissions and advertising expenses directly related to product sales and administrative costs relating to business unit and corporate management activities, as well as gains and losses on sales of property and equipment. Operating costs and expenses increased $.5 million in 2024 compared to 2023 predominantly due to higher employee salary and benefit costs at Security Products. As a percentage of net sales, operating costs and expenses increased in 2024 compared to 2023 primarily due to increased operating costs and expenses and decreased coverage of operating cost and expenses due to lower sales. See segment results discussion below.</w:t>
      </w:r>
    </w:p>
    <w:p>
      <w:pPr>
        <w:spacing w:after="0" w:line="18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Operating costs and expenses increased in 2023 compared to 2022 predominantly due to higher salary and benefit costs at Security Products which increased by $.6 million. As a percentage of net sales, operating costs and expenses increased in 2023 compared to 2022 primarily due to the effect of the increased operating costs and expenses on lower sales. See segment results discussion below.</w:t>
      </w:r>
    </w:p>
    <w:p>
      <w:pPr>
        <w:spacing w:after="0" w:line="178"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As a percentage of net sales, operating income decreased in 2024 compared to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in 2023 compared to 2022. Operating income margins were primarily impacted by the factors affecting net sales, cost of sales, gross margin and operating costs discussed above. See segment results discussion below.</w:t>
      </w:r>
    </w:p>
    <w:p>
      <w:pPr>
        <w:spacing w:after="0" w:line="17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profitability primarily depends on our ability to utilize our production capacity effectively,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among other things, the demand for our products and our ability to control our manufacturing costs, primarily comprised of labor costs and materials. The materials used in our products consist of purchased components and raw materials some of which are subject to fluctuations in the commodity markets such as zinc, brass, aluminum and stainless steel. Total material costs represented approximately 46% of our cost of sales in 2024, with commodity-related raw materials representing approximately 13% of our cost of sales. Our raw material prices were generally stable through the first half of 2024, although beginning in the latter half of the third quarter we began to experience moderate increases in certain raw material costs, particularly brass. The zinc market was volatile in 2024, but we were successful in making strategic spot buys to keep our costs consistent with 2023. Prices for aluminum and stainless steel, the primary raw materials used for the manufacture of marine components (including marine exhaust headers and pipes, wake enhancement systems, throttles and trim tabs), were relatively stable in 2024 because we took advantage of volume purchase opportunities during the year. In most cases, commodity raw materials we purchase include processing and conversion costs, such as alloying, extrusion and rolling, which remain elevated due to costs of labor, transportation and energy. Processing and conversion costs are not expected to decrease and may negate the benefit of softening commodity prices on our purchases. Based on current economic conditions, we expect the prices for zinc, brass, aluminum, stainless steel and other manufacturing materials in 2025 to be relatively stable, although governmental actions such as tariffs may impact markets.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5" w:name="page16"/>
    <w:bookmarkEnd w:id="15"/>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occasionally enter into short-term commodity-related raw material supply arrangements to mitigate the impact of future increases in commodity related raw material costs. See Item 1 - “Business- Raw Materials.”</w:t>
      </w:r>
    </w:p>
    <w:p>
      <w:pPr>
        <w:spacing w:after="0" w:line="16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increased in 2024 compared to 2023 and increased in 2023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for both comparative periods is primarily due to higher interest rates and higher average investment balances, somewhat offset by lower average loan balances on our loan to an affiliate. See Notes 3 and 10 to our Consolidated Financial Statements.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A tabular reconciliation of our actual tax provision to the U.S. federal statutory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of 21% is included in Note 8 to the Consolidated Financial Statements. As a member of the group of companies consolidated for U.S. federal income tax purposes with Contran, the parent of our consolidated U.S. federal income tax group, we compute our provision for income taxes on a separate company basis, using the tax elections made by Contran.</w:t>
      </w:r>
    </w:p>
    <w:p>
      <w:pPr>
        <w:spacing w:after="0" w:line="18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24% in each of 2022, 2023 and 2024. See Notes 8 and 11 to our Consolidated Financial Statements. We currently expect our effective income tax rate for 2025 to be comparable to our effective income tax rate for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key performance indicator for our segments is operating income (see discussion below). For additional information regarding our segments refer to Note 2 to our Consolidated Financial Statements.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9"/>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2022-23</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Gross margin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u w:val="single" w:color="auto"/>
                <w:color w:val="auto"/>
              </w:rPr>
              <w:t>7</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u w:val="single" w:color="auto"/>
                <w:color w:val="auto"/>
              </w:rPr>
              <w:t>9</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2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30.1 %</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Security Products. </w:t>
      </w:r>
      <w:r>
        <w:rPr>
          <w:rFonts w:ascii="Times New Roman" w:cs="Times New Roman" w:eastAsia="Times New Roman" w:hAnsi="Times New Roman"/>
          <w:sz w:val="18"/>
          <w:szCs w:val="18"/>
          <w:color w:val="auto"/>
        </w:rPr>
        <w:t>Security Products net sales decreased 5% to $115.2 million in 2024 compared to $121.2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primarily due to lower sales to the government security market as a result of sales related to a pilot project for a government security customer that shipped in the third and fourth quarters of 2023 and for which there were no related sales in 2024. Relative to prior year, sales were $8.3 million lower to the government security market, $2.0 million lower to the transportation market and $.9 million lower to distributors, partially offset by $4.1 million higher sales to the healthcare market and $.7 million higher sales to the tool storage market. Gross margin as a percentage of net sales for 2024 decreased as compared to 2023 primarily due to lower sales, a less favorable customer and product mix, higher employee related costs (primarily increased medical costs), higher materials costs (primarily brass and electronics) in the latter half of the year and decreased coverage of fixed costs due to lower sales. Operating income margin decreased for 2024 compared to 2023 primarily due to the factors impacting gross margin, as well as decreased coverage of operating costs and expenses from lower sales and increased operating costs and expenses, including higher employee salaries and benefit costs of $.5 million, primarily in the first half of the year.</w:t>
      </w:r>
    </w:p>
    <w:p>
      <w:pPr>
        <w:spacing w:after="0" w:line="192" w:lineRule="exact"/>
        <w:rPr>
          <w:sz w:val="20"/>
          <w:szCs w:val="20"/>
          <w:color w:val="auto"/>
        </w:rPr>
      </w:pPr>
    </w:p>
    <w:p>
      <w:pPr>
        <w:jc w:val="both"/>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Security Products net sales increased 6% to $121.2 million in 2023 compared to $114.5 million in 2022 primarily due to higher sales related to a pilot project for a government security customer. Relative to prior year, sales were $8.3 million higher to the government security market and $1.5 million higher to distributors, partially offset by $1.7 million lower sales to the office furniture market and $.7 million lower sales to the gas station security market. Gross margin as a percentage of net sales for 2023 increased as compared to 2022 primarily due to lower production costs (including lower material, overtime and shipping costs) and increased coverage of fixed costs on higher sales, primarily in the fourth quarter.</w:t>
      </w:r>
    </w:p>
    <w:p>
      <w:pPr>
        <w:sectPr>
          <w:pgSz w:w="11900" w:h="16838" w:orient="portrait"/>
          <w:cols w:equalWidth="0" w:num="1">
            <w:col w:w="9019"/>
          </w:cols>
          <w:pgMar w:left="1440" w:top="1269"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6" w:name="page17"/>
    <w:bookmarkEnd w:id="16"/>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Operating income margin increased for 2023 compared to 2022 primarily due to the factors impacting gross margin, as well as increased coverage of operating costs and expenses from higher sales, partially offset by increased operating costs and expenses, including higher employee salaries and benefit costs of $.6 million.</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9"/>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2022-23</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21.6 %</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Marine Components. </w:t>
      </w:r>
      <w:r>
        <w:rPr>
          <w:rFonts w:ascii="Times New Roman" w:cs="Times New Roman" w:eastAsia="Times New Roman" w:hAnsi="Times New Roman"/>
          <w:sz w:val="18"/>
          <w:szCs w:val="18"/>
          <w:color w:val="auto"/>
        </w:rPr>
        <w:t>Marine Components net sales decreased 23% in 2024 as compared to 2023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$8.7 million lower sales to the towboat market through the first three quarters of 2024, partially offset by higher sales in the fourth quarter of 2024, including $1.1 million higher sales to the towboat market and $1.0 million higher sales to the government market. Relative to the full year of 2023, sales were $7.6 million lower to the towboat market (primarily to original equipment boat manufacturers), $1.4 million lower to the industrial market and $.6 million lower to each the engine builder market and distributors, partially offset by $1.4 million higher sales to the government market. Gross margin as a percentage of sales decreased in 2024 compared to 2023 primarily due to higher cost inventory produced during the fourth quarter of 2023 and sold in the first quarter of 2024 and decreased coverage of fixed costs as a result of lower sales, partially offset by a more favorable customer and product mix, lower employee salaries and benefits of approximately $1.8 million primarily related to headcount reductions and decreased labor costs of $1.2 million due to lower production volumes. Operating income as a percentage of net sales decreased in 2024 compared to 2023 due to the factors impacting gross margin, as well as decreased coverage of operating costs and expenses on lower sales, partially offset by reduced operating costs and expenses, including lower employee related expenses of $.2 million.</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Marine Components net sales decreased 23% in 2023 as compared to 2022. Relative to prior year, sales were $12.8 million lower to the towboat market (primarily to original equipment boat manufacturers) and $2.0 million lower to the engine builder market, partially offset by $1.2 million higher industrial sales and $.8 million higher sales to the center console boat market. Gross margin as a percentage of sales increased in 2023 compared to 2022 primarily due to lower raw material costs (primarily stainless steel and aluminum), lower supplies costs driven by lower volume, lower shipping costs and lower labor costs from reduced employee overtime due to lower sales volumes, partially offset by decreased coverage of fixed costs as a result of lower sales. Operating income as a percentage of net sales decreased slightly in 2023 compared to 2022 primarily due to the factors impacting gross margin, as well as decreased coverage of operating costs and expenses from lower sales.</w:t>
      </w:r>
    </w:p>
    <w:p>
      <w:pPr>
        <w:spacing w:after="0" w:line="18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Outlook. </w:t>
      </w:r>
      <w:r>
        <w:rPr>
          <w:rFonts w:ascii="Times New Roman" w:cs="Times New Roman" w:eastAsia="Times New Roman" w:hAnsi="Times New Roman"/>
          <w:sz w:val="18"/>
          <w:szCs w:val="18"/>
          <w:color w:val="auto"/>
        </w:rPr>
        <w:t>As noted above, in the second half of 2023 Security Products had significant sales related to a pilot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for a government security customer. Excluding these sales in 2023, Security Products sales would have increased in 2024 as compared to 2023 due to increased sales across a variety of markets, particularly increased sales of mechanical locks to the government security market. At Marine Components, the decline in sales to the towboat market as a result of the contraction in the recreational marine industry that began in the second quarter of 2023 continued through the third quarter of 2024. Marine Components net sales increased in the fourth quarter of 2024 compared to the fourth quarter of 2023 as a result of stabilizing demand in the towboat market as well as increased sales to the government market. Raw material prices remained relatively stable through the first half of the year; however, beginning in the third quarter of 2024 we experienced price increases in certain commodity raw materials, primarily brass and electronic components at Security Products.</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expect Security Products net sales in 2025 to improve modestly over 2024, and we expect gross margin and operating income percentages in 2025 to be slightly above 2024 due to pricing improvements on the Security Products</w:t>
      </w:r>
    </w:p>
    <w:p>
      <w:pPr>
        <w:sectPr>
          <w:pgSz w:w="11900" w:h="16838" w:orient="portrait"/>
          <w:cols w:equalWidth="0" w:num="1">
            <w:col w:w="9019"/>
          </w:cols>
          <w:pgMar w:left="1440" w:top="1269"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7" w:name="page18"/>
    <w:bookmarkEnd w:id="17"/>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product mix. We expect Marine Components net sales to increase in 2025 due to higher expected sales to the government and industrial markets. We believe the recreational marine market has stabilized, and we expect Marine Components sales to the towboat market in 2025 will be comparable to 2024. Overall we expect Marine Components to have improved gross margins and operating income percentages in 2025 compared to 2024 due to higher expected sales volumes. During 2024 we were aggressive in aligning our production capabilities and inventories to demand levels. In 2025, we will continue to monitor current and anticipated near-term customer demand levels to ensure our production capabilities and inventories are aligned accordingly.</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expectations for our operations and the markets we serve are based on a number of factors outside our control. Currently, our supply chains are stable and transportation and logistical delays are minimal. We have in the past experienced global and domestic supply chain challenges, and any future impacts on our operations will depend on, among other things, any future disruption in our operations or our suppliers’ operations, the effect of tariffs and the impact of economic conditions and geopolitical events on demand for our products or our customers’ and suppliers’ operations, all of which remain uncertain and cannot be predicted.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Our Consolidated Financial Statements have been prepared in conformity with accounting principles generally accepted in the United States of America, or GAAP. The preparation of these financial statements requires us to make estimates and judgments that affect the reported amounts of assets and liabilities and disclosures of contingent assets and liabilities at the date of the financial statements and the reported amount of revenues and expenses during the reporting period. On an ongoing basis we evaluate our estimates, including those related to the recoverability of long-lived assets, the realization of deferred income tax assets, income tax and other contingencies. We base our estimates on historical experience and on various other assumptions which we believe to be reasonable under the circumstances, the results of which form the basis for making judgments about the reported amounts of assets, liabilities, revenues and expenses. Actual results may differ significantly from previously-estimated amounts under different assumptions or conditions.</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believe the most critical accounting policies and estimates involving significant judgment primarily relate to the considerations in the impairment assessments for goodwill and certain long-lived assets. We have discussed the development, selection and disclosure of our critical accounting estimates with the audit committee of our board of directors.</w:t>
      </w:r>
    </w:p>
    <w:p>
      <w:pPr>
        <w:spacing w:after="0" w:line="178" w:lineRule="exact"/>
        <w:rPr>
          <w:sz w:val="20"/>
          <w:szCs w:val="20"/>
          <w:color w:val="auto"/>
        </w:rPr>
      </w:pPr>
    </w:p>
    <w:p>
      <w:pPr>
        <w:jc w:val="both"/>
        <w:ind w:left="720" w:right="79" w:hanging="319"/>
        <w:spacing w:after="0" w:line="253"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Goodwill – </w:t>
      </w:r>
      <w:r>
        <w:rPr>
          <w:rFonts w:ascii="Times New Roman" w:cs="Times New Roman" w:eastAsia="Times New Roman" w:hAnsi="Times New Roman"/>
          <w:sz w:val="18"/>
          <w:szCs w:val="18"/>
          <w:color w:val="auto"/>
        </w:rPr>
        <w:t>Our goodwill totaled $23.7 million at December 31, 2024, all relating to our Security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unit, which corresponds to our Security Products operating segment. Goodwill is required to be tested annually or at other times whenever an event occurs or circumstances change that would more-likely-than-not reduce the fair value of a reporting unit below its carrying value. We perform our annual goodwill impairment test in the third quarter of each year, or at other times whenever an event occurs or circumstances change that would more-likely-than-not reduce the fair value of a reporting unit below its carrying value. Such events or circumstances may include: adverse industry or economic trends, lower projections of profitability, or a sustained decline in our market capitalization. These events or circumstances, among other items, may be indications of potential impairment issues which are triggering events requiring the testing of an asset’s carrying value for recoverability. An entity may first assess qualitative factors to determine whether it is necessary to complete a quantitative impairment test using a more-likely-than-not criteria. If an entity believes it is more-likely-than-not the fair value of a reporting unit is greater than its carrying value, including goodwill, the quantitative impairment test can be bypassed. Alternatively, an entity has an unconditional option to bypass the qualitative assessment and proceed directly to performing the quantitative impairment test.</w:t>
      </w:r>
    </w:p>
    <w:p>
      <w:pPr>
        <w:spacing w:after="0" w:line="187" w:lineRule="exact"/>
        <w:rPr>
          <w:sz w:val="20"/>
          <w:szCs w:val="20"/>
          <w:color w:val="auto"/>
        </w:rPr>
      </w:pPr>
    </w:p>
    <w:p>
      <w:pPr>
        <w:jc w:val="both"/>
        <w:ind w:left="700" w:right="59"/>
        <w:spacing w:after="0" w:line="256" w:lineRule="auto"/>
        <w:rPr>
          <w:sz w:val="20"/>
          <w:szCs w:val="20"/>
          <w:color w:val="auto"/>
        </w:rPr>
      </w:pPr>
      <w:r>
        <w:rPr>
          <w:rFonts w:ascii="Times New Roman" w:cs="Times New Roman" w:eastAsia="Times New Roman" w:hAnsi="Times New Roman"/>
          <w:sz w:val="18"/>
          <w:szCs w:val="18"/>
          <w:color w:val="auto"/>
        </w:rPr>
        <w:t>When performing a qualitative assessment, considerable management judgment is necessary to evaluate the qualitative impact of events and circumstances on the fair value of a reporting unit. Events and circumstances considered in our impairment evaluations, such as historical profits and stability of the markets served, are consistent with factors utilized with our internal projections and operating plan. However, future events and circumstances could result in materially different findings which could result in the recognition of a material goodwill impairment.</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8" w:name="page19"/>
    <w:bookmarkEnd w:id="18"/>
    <w:p>
      <w:pPr>
        <w:jc w:val="both"/>
        <w:ind w:left="700" w:right="59"/>
        <w:spacing w:after="0" w:line="254" w:lineRule="auto"/>
        <w:rPr>
          <w:sz w:val="20"/>
          <w:szCs w:val="20"/>
          <w:color w:val="auto"/>
        </w:rPr>
      </w:pPr>
      <w:r>
        <w:rPr>
          <w:rFonts w:ascii="Times New Roman" w:cs="Times New Roman" w:eastAsia="Times New Roman" w:hAnsi="Times New Roman"/>
          <w:sz w:val="18"/>
          <w:szCs w:val="18"/>
          <w:color w:val="auto"/>
        </w:rPr>
        <w:t>Evaluations of possible impairment utilizing the quantitative impairment test require us to estimate, among other factors: forecasts of future operating results, revenue growth, operating margin, tax rates, capital expenditures, depreciation, working capital, weighted average cost of capital, long-term growth rates, risk premiums, terminal values, and fair values of our reporting units and assets. The goodwill impairment test is subject to uncertainties arising from such events as changes in competitive conditions, the current general economic environment, material changes in growth rate assumptions that could positively or negatively impact anticipated future operating conditions and cash flows, changes in the discount rate, and the impact of strategic decisions. If any of these factors were to materially change, such change may require revaluation of our goodwill. Changes in estimates or the application of alternative assumptions could produce significantly different results.</w:t>
      </w:r>
    </w:p>
    <w:p>
      <w:pPr>
        <w:spacing w:after="0" w:line="188" w:lineRule="exact"/>
        <w:rPr>
          <w:sz w:val="20"/>
          <w:szCs w:val="20"/>
          <w:color w:val="auto"/>
        </w:rPr>
      </w:pPr>
    </w:p>
    <w:p>
      <w:pPr>
        <w:jc w:val="both"/>
        <w:ind w:left="700" w:right="79"/>
        <w:spacing w:after="0" w:line="261" w:lineRule="auto"/>
        <w:rPr>
          <w:sz w:val="20"/>
          <w:szCs w:val="20"/>
          <w:color w:val="auto"/>
        </w:rPr>
      </w:pPr>
      <w:r>
        <w:rPr>
          <w:rFonts w:ascii="Times New Roman" w:cs="Times New Roman" w:eastAsia="Times New Roman" w:hAnsi="Times New Roman"/>
          <w:sz w:val="18"/>
          <w:szCs w:val="18"/>
          <w:color w:val="auto"/>
        </w:rPr>
        <w:t>In 2024, we used the qualitative assessment for our annual impairment test and determined it was not necessary to perform the quantitative goodwill impairment test, as we concluded it is more-likely-than-not the fair value of the Security Products reporting unit exceeded its carrying amount. See Notes 1 and 6 to our Consolidated Financial Statements.</w:t>
      </w:r>
    </w:p>
    <w:p>
      <w:pPr>
        <w:spacing w:after="0" w:line="137" w:lineRule="exact"/>
        <w:rPr>
          <w:sz w:val="20"/>
          <w:szCs w:val="20"/>
          <w:color w:val="auto"/>
        </w:rPr>
      </w:pPr>
    </w:p>
    <w:p>
      <w:pPr>
        <w:jc w:val="both"/>
        <w:ind w:left="720" w:right="7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Long-lived assets – </w:t>
      </w:r>
      <w:r>
        <w:rPr>
          <w:rFonts w:ascii="Times New Roman" w:cs="Times New Roman" w:eastAsia="Times New Roman" w:hAnsi="Times New Roman"/>
          <w:sz w:val="18"/>
          <w:szCs w:val="18"/>
          <w:color w:val="auto"/>
        </w:rPr>
        <w:t>The net book value of our property and equipment totaled $24.0 million at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We assess property and equipment for impairment only when circumstances indicate an impairment may exist. Our determination is based upon, among other things, our estimates of the amount of future net cash flows to be generated by the long-lived asset (Level 3 inputs) and our estimates of the current fair value of the asset.</w:t>
      </w:r>
    </w:p>
    <w:p>
      <w:pPr>
        <w:spacing w:after="0" w:line="182" w:lineRule="exact"/>
        <w:rPr>
          <w:sz w:val="20"/>
          <w:szCs w:val="20"/>
          <w:color w:val="auto"/>
        </w:rPr>
      </w:pPr>
    </w:p>
    <w:p>
      <w:pPr>
        <w:jc w:val="both"/>
        <w:ind w:left="700" w:right="59"/>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estimating such cash flows. Adverse changes in such estimates of future net cash flows or estimates of fair value could result in an inability to recover the carrying value of the long-lived asset, thereby possibly requiring an impairment charge to be recognized in the future. We do not assess our property and equipment for impairment unless certain impairment indicators are present. We did not evaluate any long-lived assets for impairment during 2024 because no such impairment indicators were present.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primary source of liquidity on an on-going basis is our cash flow from operating activities, which is generally used to (i) fund capital expenditures, (ii) repay short-term or long-term indebtedness incurred primarily for capital expenditures, business combinations or buying back shares of our outstanding stock and (iii) provide for the payment of dividends (if declared). From time-to-time, we may incur indebtedness to fund capital expenditures, business combinations or other investment activities. In addition, from time-to-time, we may also sell assets outside the ordinary course of business, the proceeds of which are generally used to repay indebtedness (including indebtedness which may have been collateralized by the assets sold) or to fund capital expenditures or business combinations.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Trends in cash flows from operating activities, excluding changes in assets and liabilities,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last three years have generally been similar to the trends in our earnings. Depreciation and amortization decreased in 2024 compared to 2023 primarily due to reductions in capital spending in 2023 and 2024 as a result of generally reduced demand levels. Depreciation and amortization in 2023 was comparable to 2022. See Note 1 to our Consolidated Financial Statements.</w:t>
      </w:r>
    </w:p>
    <w:p>
      <w:pPr>
        <w:spacing w:after="0" w:line="14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Changes in assets and liabilities result primarily from the timing of production, sales and purchases. Such changes in assets and liabilities generally tend to even out over time. However, year-to-year relative changes in assets and liabilities can significantly affect the comparability of cash flows from operating activities. Cash provided by operating activities was $22.9 million in 2024 compared to $25.8 million in 2023. The $2.9 million decrease in cash provided by operating activities was primarily the net result of:</w:t>
      </w:r>
    </w:p>
    <w:p>
      <w:pPr>
        <w:spacing w:after="0" w:line="156"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$8.4 million decrease in operating income in 2024,</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higher amount of net cash provided by relative changes in inventories, receivables, payables and non-tax accruals in 2024 of $3.0 million,</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9" w:name="page20"/>
    <w:bookmarkEnd w:id="19"/>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increase in interest received in 2024 due to higher interest rates and increased investment balances, partially offset by lower average loan balances on our loan to an affiliate,</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million decrease in cash paid for taxes in 2024 due to decreased earnings and the relative timing of payments,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 million decrease in depreciation and amortization.</w:t>
      </w:r>
    </w:p>
    <w:p>
      <w:pPr>
        <w:spacing w:after="0" w:line="117"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was $25.8 million in 2023 compared to $16.9 million in 2022. The $8.9 million increase in cash provided by operating activities was primarily the result of:</w:t>
      </w:r>
    </w:p>
    <w:p>
      <w:pPr>
        <w:spacing w:after="0" w:line="162" w:lineRule="exact"/>
        <w:rPr>
          <w:sz w:val="20"/>
          <w:szCs w:val="20"/>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higher amount of net cash provided by relative changes in inventories, receivables, payables and non-tax accruals in 2023 of $7.8 million,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 million decrease in cash paid for taxes in 2023 due to the relative timing of tax payments, and</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 million increase in interest received in 2023 due to higher interest rates and increased investment balances, partially offset by lower average loan balances on our loan to an affiliate.</w:t>
      </w:r>
    </w:p>
    <w:p>
      <w:pPr>
        <w:spacing w:after="0" w:line="5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Relative changes in working capital can have a significant effect on cash flows from operating activities. As shown below, the total average days sales outstanding decreased from December 31, 2023 to December 31, 2024 and is primarily impacted by the timing of sales and collections in the last month of the year. For comparative purposes, we have provided 2022 numbers below.</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Days Sales Outstanding:</w:t>
            </w: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Days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Days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36 Days</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 Days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 Days</w:t>
            </w: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23 Days</w:t>
            </w: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 Days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 Days</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33 Days</w:t>
            </w: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shown below, our average number of days in inventory at December 31, 2024 was comparable to December 31, 2023 as the increase at Security Products was offset by the decline at Marine Components. Security Products days in inventory at December 31, 2024 increased from December 31, 2023 due to the fulfillment and shipping of a significant order during the fourth quarter of 2023. The average number of days in inventory for Marine Components declined from December 31, 2023 to December 31, 2024 due to elevated inventory balances at December 31, 2023 as a result of prior orders of certain raw materials with longer lead times delivered in the fourth quarter of 2023. For comparative purposes, we have provided 2022 numbers below.</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9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Days in Inventory:</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Days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Days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Days</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 Days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 Days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Days</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 Days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 Days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Days</w:t>
            </w:r>
          </w:p>
        </w:tc>
      </w:tr>
    </w:tbl>
    <w:p>
      <w:pPr>
        <w:spacing w:after="0" w:line="19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Capital expenditures have primarily emphasized improving our manufacturing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in manufacturing equipment, utilizing new technologies and increased automation of the manufacturing process, to provide for increased productivity and efficiency in order to meet expected customer demand and properly maintain our facilities and technology infrastructure. Capital expenditures were $3.7 million in 2022, $1.1 million in 2023 and $1.4 million in 2024. Our 2022 capital expenditures were higher as we accelerated the timeline for certain projects designed to increase capacity and improve our capabilities in response to strong customer demand. Beginning in the latter half of 2022 and continuing through 2024, we limited investments primarily to those expenditures required to meet our existing customer demand and to properly maintain our facilities and technology infrastructure. See Note 2 to our Consolidated Financial Statements.</w:t>
      </w:r>
    </w:p>
    <w:p>
      <w:pPr>
        <w:spacing w:after="0" w:line="19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expect our capital expenditures for 2025 will be approximately $3.2 million primarily to meet our expected customer demand and those required to properly maintain our facilities and technology infrastructure. Capital spending for 2025 is expected to be funded through cash on hand and cash generated from operations.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0" w:name="page21"/>
    <w:bookmarkEnd w:id="20"/>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an unsecured revolving demand promissory note with Valhi under which, as amended, we have agreed to loan Valhi up to $25 million. Our loan to Valhi, as amended, bears interest at prime rate plus 1.00%, payable quarterly, with all principal due on demand, but in any event no earlier than December 31, 2026. Loans made to Valhi at any time under the agreement are at our discretion. Under the promissory note, Valhi repaid a net $5.5 million in 2022 ($24.3 million of gross borrowings and $29.8 million of gross repayments), repaid a net $2.6 million in 2023 ($27.9 million of gross borrowings and $30.5 million of gross repayments) and repaid a net $1.3 million in 2024 ($25.0 million of gross borrowings and $26.3 million of gross repayments). See Note 10 to our Consolidated Financial Statements.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2022, we had gross purchases of U.S. treasury marketable securities aggregating $33.0 million. During 2023, we had gross purchases of U.S. treasury marketable securities aggregating $36.3 million and received gross proceeds totaling $36.0 million related to U.S. treasury bill maturities. During 2024, we received gross proceeds totaling $36.0 million related to U.S. treasury bill maturities. See Note 3 to our Consolidated Financial Statements.</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Regular quarterly dividends paid totaled $12.4 million and $12.3 million ($1.00 per share,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per share per quarter) in 2022 and 2023, respectively, and $14.8 million ($1.20 per share, or $.30 per share per quarter) in 2024. In addition, our board of directors declared special dividends on our Class A common stock which totaled $21.5 million ($1.75 per share) paid in August 2022 and $24.6 million ($2.00 per share) paid in August 2024. On March 5, 2025 our board of directors declared a first quarter 2025 dividend of $.30 per share, to be paid on March 25, 2025 to CompX stockholders of record as of March 17, 2025.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8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During 2022, we acquired 78,900 shares of our Class A common stock (8,900 shares from affiliates and 70,000 shares in a single market transaction) for an aggregate purchase price of $1.7 million. See Note 9 to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Cash Requirements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believe cash generated from operations together with cash on hand will be sufficient to meet our liquidity needs for working capital, capital expenditures, debt service and dividends (if declared) for the next twelve months and our long term obligations for the next five years. To the extent that actual operating results or other developments differ materially from our expectations, our liquidity could be adversely affected.</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 of our $60.8 million aggregate cash and cash equivalents at December 31, 2024 were held in the U.S.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periodically evaluate our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repurchase shares of our common stock,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more fully described in the Notes to the Consolidated Financial Statements, we are a party to various agreements that contractually and unconditionally commit us to pay certain amounts in the future. See Note 11 to our Consolidated Financial Statements. Additionally, we have purchase obligations of $19.8 million ($19.3 million payable in 2025 and $.5 million payable in 2026/2027) which consists of open purchase orders and contractual obligations, primarily commitments to purchase raw materials and for capital projects in process at December 31, 2024. The timing and amount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1" w:name="page22"/>
    <w:bookmarkEnd w:id="21"/>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purchase obligations are based on the contractual payment amount and the contractual payment date for those commitments.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11 to our Consolidated Financial Statements for legal proceedings and other commitments.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13 to our Consolidated Financial Statements.</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We are exposed to market risk from changes in interest rates and raw materials prices.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Interest rates</w:t>
      </w:r>
      <w:r>
        <w:rPr>
          <w:rFonts w:ascii="Times New Roman" w:cs="Times New Roman" w:eastAsia="Times New Roman" w:hAnsi="Times New Roman"/>
          <w:sz w:val="18"/>
          <w:szCs w:val="18"/>
          <w:color w:val="auto"/>
        </w:rPr>
        <w:t>. We are exposed to market risk from changes in interest rates, primarily related to our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from affiliate and or investment in marketable debt securities. The outstanding principal amount of the note receivable from affiliate of $9.3 million at December 31, 2024 bears interest at prime plus 1.0% (8.5% at December 31, 2024). We received interest income of $1.0 million from the note during 2024.</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Raw materials. </w:t>
      </w:r>
      <w:r>
        <w:rPr>
          <w:rFonts w:ascii="Times New Roman" w:cs="Times New Roman" w:eastAsia="Times New Roman" w:hAnsi="Times New Roman"/>
          <w:sz w:val="18"/>
          <w:szCs w:val="18"/>
          <w:color w:val="auto"/>
        </w:rPr>
        <w:t>We will occasionally enter into short term commodity-related raw material supply arrangements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the impact of future increases in commodity-related raw material costs. We do not have long-term supply agreements for our raw material requirements because either we believe the risk of unavailability of those raw materials is low and we believe the downside risk of price volatility to be too great or because long-term supply agreements for those materials are generally not available. We do not engage in commodity raw material hedging programs.</w:t>
      </w:r>
    </w:p>
    <w:p>
      <w:pPr>
        <w:spacing w:after="0" w:line="18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contained in a separate section of this Annual Report. See “Index of Financial Statements” (page F-1).</w:t>
      </w:r>
    </w:p>
    <w:p>
      <w:pPr>
        <w:spacing w:after="0" w:line="158" w:lineRule="exact"/>
        <w:rPr>
          <w:sz w:val="20"/>
          <w:szCs w:val="20"/>
          <w:color w:val="auto"/>
        </w:rPr>
      </w:pPr>
    </w:p>
    <w:p>
      <w:pPr>
        <w:ind w:left="1340" w:right="45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which,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December 31, 2024. Based upon their evaluation, these executive officers have concluded that our disclosure controls and procedures are effective as of the date of such evaluation.</w:t>
      </w:r>
    </w:p>
    <w:p>
      <w:pPr>
        <w:spacing w:after="0" w:line="190"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2" w:name="page23"/>
    <w:bookmarkEnd w:id="22"/>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176" w:lineRule="exact"/>
        <w:rPr>
          <w:sz w:val="20"/>
          <w:szCs w:val="20"/>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evaluation of the effectiveness of our internal control over financial reporting is based upon the framework established in Internal Control – Integrated Framework issued by the Committee of Sponsoring Organizations of the Treadway Commission in 2013 (commonly referred to as the “2013 COSO” framework). Based on our evaluation under that framework, our management has concluded that our internal control over financial reporting was effective as of December 31, 2024.</w:t>
      </w:r>
    </w:p>
    <w:p>
      <w:pPr>
        <w:spacing w:after="0" w:line="18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spacing w:after="0" w:line="17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r>
        <w:rPr>
          <w:rFonts w:ascii="Times New Roman" w:cs="Times New Roman" w:eastAsia="Times New Roman" w:hAnsi="Times New Roman"/>
          <w:sz w:val="18"/>
          <w:szCs w:val="18"/>
          <w:color w:val="auto"/>
        </w:rPr>
        <w:t>. There have been no changes in our internal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financial reporting during the quarter ended December 31, 2024 that have materially affected, or are reasonably likely to materially affect, our internal control over financial reporting.</w:t>
      </w:r>
    </w:p>
    <w:p>
      <w:pPr>
        <w:spacing w:after="0" w:line="171"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Certifications. </w:t>
      </w:r>
      <w:r>
        <w:rPr>
          <w:rFonts w:ascii="Times New Roman" w:cs="Times New Roman" w:eastAsia="Times New Roman" w:hAnsi="Times New Roman"/>
          <w:sz w:val="18"/>
          <w:szCs w:val="18"/>
          <w:color w:val="auto"/>
        </w:rPr>
        <w:t>Our chief executive officer and chief financial officer are required to, among other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quarterly file a certification with the SEC regarding the quality of our public disclosures, as required by Section 302 of the Sarbanes-Oxley Act of 2002. We have filed the certifications for the quarter ended December 31, 2024 as exhibits 31.1 and 31.2 to this Annual Report on Form 10-K.</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with the Securities and Exchange Commission pursuant to Regulation 14A within 120 days after the end of the fiscal year covered by this report (“Proxy Statement”).</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3" w:name="page24"/>
    <w:bookmarkEnd w:id="23"/>
    <w:p>
      <w:pPr>
        <w:ind w:left="1340" w:right="1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21" w:lineRule="exact"/>
        <w:rPr>
          <w:sz w:val="20"/>
          <w:szCs w:val="20"/>
          <w:color w:val="auto"/>
        </w:rPr>
      </w:pPr>
    </w:p>
    <w:p>
      <w:pPr>
        <w:ind w:left="1340" w:right="109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5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See also Note 10 to the Consolidated Financial Statements.</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and (c) Financial Statements</w:t>
      </w:r>
    </w:p>
    <w:p>
      <w:pPr>
        <w:spacing w:after="0" w:line="225" w:lineRule="exact"/>
        <w:rPr>
          <w:sz w:val="20"/>
          <w:szCs w:val="20"/>
          <w:color w:val="auto"/>
        </w:rPr>
      </w:pPr>
    </w:p>
    <w:p>
      <w:pPr>
        <w:jc w:val="both"/>
        <w:ind w:left="500" w:right="5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listed on the accompanying Index of Financial Statements (see page F-1) are filed as part of this Annual Report.</w:t>
      </w:r>
    </w:p>
    <w:p>
      <w:pPr>
        <w:spacing w:after="0" w:line="162" w:lineRule="exact"/>
        <w:rPr>
          <w:sz w:val="20"/>
          <w:szCs w:val="20"/>
          <w:color w:val="auto"/>
        </w:rPr>
      </w:pPr>
    </w:p>
    <w:p>
      <w:pPr>
        <w:jc w:val="both"/>
        <w:ind w:left="500" w:right="5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jc w:val="both"/>
        <w:ind w:left="500" w:right="59"/>
        <w:spacing w:after="0" w:line="258" w:lineRule="auto"/>
        <w:rPr>
          <w:sz w:val="20"/>
          <w:szCs w:val="20"/>
          <w:color w:val="auto"/>
        </w:rPr>
      </w:pPr>
      <w:r>
        <w:rPr>
          <w:rFonts w:ascii="Times New Roman" w:cs="Times New Roman" w:eastAsia="Times New Roman" w:hAnsi="Times New Roman"/>
          <w:sz w:val="18"/>
          <w:szCs w:val="18"/>
          <w:color w:val="auto"/>
        </w:rPr>
        <w:t>Included as exhibits are the items listed in the Exhibit Index. We will furnish a copy of any of the exhibits listed below upon payment of $4.00 per exhibit to cover our costs of furnishing the exhibits. Instruments defining the rights of holders of long-term debt issues which do not exceed 10% of consolidated total assets will be furnished to the Commission upon request. Such requests should be directed to the attention of our Corporate Secretary at our corporate offices located at 5430 LBJ Freeway, Suite 1700, Dallas, Texas 75240.</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6"/>
              </w:rPr>
              <w:t>Item No.</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Exhibit Item</w:t>
            </w:r>
          </w:p>
        </w:tc>
      </w:tr>
      <w:tr>
        <w:trPr>
          <w:trHeight w:val="20"/>
        </w:trPr>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320" w:type="dxa"/>
            <w:vAlign w:val="bottom"/>
          </w:tcPr>
          <w:p>
            <w:pPr>
              <w:spacing w:after="0"/>
              <w:rPr>
                <w:sz w:val="24"/>
                <w:szCs w:val="24"/>
                <w:color w:val="auto"/>
              </w:rPr>
            </w:pPr>
          </w:p>
        </w:tc>
        <w:tc>
          <w:tcPr>
            <w:tcW w:w="7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Second Amended and Restated Certificate of Incorporation of Registrant – incorporated by reference to</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11"/>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Exhibit 3.1 of the Registrant’s Quarterly Report on Form 10-Q for quarter ended June 30, 2018.</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320" w:type="dxa"/>
            <w:vAlign w:val="bottom"/>
          </w:tcPr>
          <w:p>
            <w:pPr>
              <w:spacing w:after="0"/>
              <w:rPr>
                <w:sz w:val="24"/>
                <w:szCs w:val="24"/>
                <w:color w:val="auto"/>
              </w:rPr>
            </w:pPr>
          </w:p>
        </w:tc>
        <w:tc>
          <w:tcPr>
            <w:tcW w:w="7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Retirement – incorporated by reference to Exhibit 3.1 of the Registrant’s Current Report on</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11"/>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8-K filed November 5, 2018.</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320" w:type="dxa"/>
            <w:vAlign w:val="bottom"/>
          </w:tcPr>
          <w:p>
            <w:pPr>
              <w:spacing w:after="0"/>
              <w:rPr>
                <w:sz w:val="24"/>
                <w:szCs w:val="24"/>
                <w:color w:val="auto"/>
              </w:rPr>
            </w:pPr>
          </w:p>
        </w:tc>
        <w:tc>
          <w:tcPr>
            <w:tcW w:w="7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Amended and Restated Bylaws of Registrant, adopted by the Board of Directors November 1, 2023 –</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incorporated by reference to Exhibit 3.1 of the Registrant’s current Report on Form 8-K filed on November</w:t>
              </w:r>
            </w:hyperlink>
          </w:p>
        </w:tc>
      </w:tr>
      <w:tr>
        <w:trPr>
          <w:trHeight w:val="196"/>
        </w:trPr>
        <w:tc>
          <w:tcPr>
            <w:tcW w:w="640" w:type="dxa"/>
            <w:vAlign w:val="bottom"/>
          </w:tcPr>
          <w:p>
            <w:pPr>
              <w:spacing w:after="0"/>
              <w:rPr>
                <w:sz w:val="17"/>
                <w:szCs w:val="17"/>
                <w:color w:val="auto"/>
              </w:rPr>
            </w:pPr>
          </w:p>
        </w:tc>
        <w:tc>
          <w:tcPr>
            <w:tcW w:w="900" w:type="dxa"/>
            <w:vAlign w:val="bottom"/>
            <w:gridSpan w:val="2"/>
          </w:tcPr>
          <w:p>
            <w:pPr>
              <w:ind w:left="320"/>
              <w:spacing w:after="0" w:line="196" w:lineRule="exact"/>
              <w:rPr>
                <w:rFonts w:ascii="Times New Roman" w:cs="Times New Roman" w:eastAsia="Times New Roman" w:hAnsi="Times New Roman"/>
                <w:sz w:val="18"/>
                <w:szCs w:val="18"/>
                <w:color w:val="0000EE"/>
                <w:w w:val="95"/>
              </w:rPr>
            </w:pPr>
            <w:hyperlink r:id="rId43">
              <w:r>
                <w:rPr>
                  <w:rFonts w:ascii="Times New Roman" w:cs="Times New Roman" w:eastAsia="Times New Roman" w:hAnsi="Times New Roman"/>
                  <w:sz w:val="18"/>
                  <w:szCs w:val="18"/>
                  <w:color w:val="0000EE"/>
                  <w:w w:val="95"/>
                </w:rPr>
                <w:t>1, 2023.</w:t>
              </w:r>
            </w:hyperlink>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320" w:type="dxa"/>
            <w:vAlign w:val="bottom"/>
          </w:tcPr>
          <w:p>
            <w:pPr>
              <w:spacing w:after="0"/>
              <w:rPr>
                <w:sz w:val="24"/>
                <w:szCs w:val="24"/>
                <w:color w:val="auto"/>
              </w:rPr>
            </w:pPr>
          </w:p>
        </w:tc>
        <w:tc>
          <w:tcPr>
            <w:tcW w:w="7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Description of Capital Stock – incorporated by reference to Exhibit 4.1 of the Registrant’s Annual Report on</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11"/>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10-K for the year ended December 31, 2019 filed on February 26, 2020.</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320" w:type="dxa"/>
            <w:vAlign w:val="bottom"/>
          </w:tcPr>
          <w:p>
            <w:pPr>
              <w:spacing w:after="0"/>
              <w:rPr>
                <w:sz w:val="24"/>
                <w:szCs w:val="24"/>
                <w:color w:val="auto"/>
              </w:rPr>
            </w:pPr>
          </w:p>
        </w:tc>
        <w:tc>
          <w:tcPr>
            <w:tcW w:w="7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Intercorporate Services Agreement between the Registrant and Contran Corporation effective as of January</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 2004 – incorporated by reference to Exhibit 10.2 of the Registrant’s Annual Report on Form 10-K for the</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11"/>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year ended December 31, 2003 filed on March 4, 2004.</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7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CompX International Inc. 2012 Director Stock Plan – incorporated by reference to Exhibit 10.2 of the</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Registrant’s Annual Report on Form 10-K for the year ended December 31, 2012 filed on March 6, 2013.</w:t>
              </w:r>
            </w:hyperlink>
          </w:p>
        </w:tc>
        <w:tc>
          <w:tcPr>
            <w:tcW w:w="220" w:type="dxa"/>
            <w:vAlign w:val="bottom"/>
          </w:tcPr>
          <w:p>
            <w:pPr>
              <w:spacing w:after="0"/>
              <w:rPr>
                <w:sz w:val="17"/>
                <w:szCs w:val="17"/>
                <w:color w:val="auto"/>
              </w:rPr>
            </w:pPr>
          </w:p>
        </w:tc>
      </w:tr>
      <w:tr>
        <w:trPr>
          <w:trHeight w:val="41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320" w:type="dxa"/>
            <w:vAlign w:val="bottom"/>
          </w:tcPr>
          <w:p>
            <w:pPr>
              <w:spacing w:after="0"/>
              <w:rPr>
                <w:sz w:val="24"/>
                <w:szCs w:val="24"/>
                <w:color w:val="auto"/>
              </w:rPr>
            </w:pPr>
          </w:p>
        </w:tc>
        <w:tc>
          <w:tcPr>
            <w:tcW w:w="7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Tax Sharing Agreement between the Registrant, NL Industries, Inc. and Contran Corporation dated as of</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January 1, 2020 – incorporated by reference to Exhibit 10.3 of the Registrant’s Annual Report on Form 10-</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11"/>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K for the year ended December 31, 2019 filed on February 26, 2020.</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320" w:type="dxa"/>
            <w:vAlign w:val="bottom"/>
          </w:tcPr>
          <w:p>
            <w:pPr>
              <w:spacing w:after="0"/>
              <w:rPr>
                <w:sz w:val="24"/>
                <w:szCs w:val="24"/>
                <w:color w:val="auto"/>
              </w:rPr>
            </w:pPr>
          </w:p>
        </w:tc>
        <w:tc>
          <w:tcPr>
            <w:tcW w:w="7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Second Amended and Restated Agreement Regarding Shared Insurance among the Registrant, Contran</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Corporation, Kronos Worldwide, Inc., NL Industries, Inc., and Valhi, Inc. dated January 25, 2019 –</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incorporated by reference to Exhibit 10.4 of the Registrant’s Annual Report on Form 10-K for the year</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ended December 31, 2018 filed on February 27, 2019.</w:t>
              </w:r>
            </w:hyperlink>
          </w:p>
        </w:tc>
        <w:tc>
          <w:tcPr>
            <w:tcW w:w="3920" w:type="dxa"/>
            <w:vAlign w:val="bottom"/>
            <w:gridSpan w:val="7"/>
          </w:tcPr>
          <w:p>
            <w:pPr>
              <w:spacing w:after="0"/>
              <w:rPr>
                <w:sz w:val="17"/>
                <w:szCs w:val="17"/>
                <w:color w:val="auto"/>
              </w:rPr>
            </w:pPr>
          </w:p>
        </w:tc>
      </w:tr>
      <w:tr>
        <w:trPr>
          <w:trHeight w:val="41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4"/>
                <w:szCs w:val="24"/>
                <w:color w:val="auto"/>
              </w:rPr>
            </w:pPr>
          </w:p>
        </w:tc>
        <w:tc>
          <w:tcPr>
            <w:tcW w:w="78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Unsecured Revolving Demand Promissory Note dated December 31, 2024 in the original principal amount</w:t>
            </w: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of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25 million executed by Valhi, Inc. and payable to the Registrant.</w:t>
            </w:r>
          </w:p>
        </w:tc>
        <w:tc>
          <w:tcPr>
            <w:tcW w:w="2880" w:type="dxa"/>
            <w:vAlign w:val="bottom"/>
            <w:gridSpan w:val="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Item No.</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Item</w:t>
            </w:r>
          </w:p>
        </w:tc>
      </w:tr>
      <w:tr>
        <w:trPr>
          <w:trHeight w:val="20"/>
        </w:trPr>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4"/>
                <w:szCs w:val="24"/>
                <w:color w:val="auto"/>
              </w:rPr>
            </w:pPr>
          </w:p>
        </w:tc>
        <w:tc>
          <w:tcPr>
            <w:tcW w:w="78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Indemnification Agreement – incorporated by reference to Exhibit 10.1 of the Registrant’s Current</w:t>
              </w:r>
            </w:hyperlink>
          </w:p>
        </w:tc>
      </w:tr>
      <w:tr>
        <w:trPr>
          <w:trHeight w:val="196"/>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9"/>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Report on Form 8-K filed May 26, 2016.</w:t>
              </w:r>
            </w:hyperlink>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24"/>
                <w:szCs w:val="24"/>
                <w:color w:val="auto"/>
              </w:rPr>
            </w:pP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CompX International Inc. Insider Trading Policy</w:t>
            </w:r>
            <w:r>
              <w:rPr>
                <w:rFonts w:ascii="Times New Roman" w:cs="Times New Roman" w:eastAsia="Times New Roman" w:hAnsi="Times New Roman"/>
                <w:sz w:val="18"/>
                <w:szCs w:val="18"/>
                <w:color w:val="000000"/>
              </w:rPr>
              <w:t>.</w:t>
            </w:r>
          </w:p>
        </w:tc>
      </w:tr>
      <w:tr>
        <w:trPr>
          <w:trHeight w:val="412"/>
        </w:trPr>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spacing w:after="0"/>
              <w:rPr>
                <w:sz w:val="24"/>
                <w:szCs w:val="24"/>
                <w:color w:val="auto"/>
              </w:rPr>
            </w:pPr>
          </w:p>
        </w:tc>
        <w:tc>
          <w:tcPr>
            <w:tcW w:w="35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Subsidiaries of the Registrant.</w:t>
            </w:r>
          </w:p>
        </w:tc>
        <w:tc>
          <w:tcPr>
            <w:tcW w:w="4320" w:type="dxa"/>
            <w:vAlign w:val="bottom"/>
            <w:gridSpan w:val="4"/>
          </w:tcPr>
          <w:p>
            <w:pPr>
              <w:spacing w:after="0"/>
              <w:rPr>
                <w:sz w:val="24"/>
                <w:szCs w:val="24"/>
                <w:color w:val="auto"/>
              </w:rPr>
            </w:pPr>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24"/>
                <w:szCs w:val="24"/>
                <w:color w:val="auto"/>
              </w:rPr>
            </w:pP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412"/>
        </w:trPr>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30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w:t>
            </w:r>
          </w:p>
        </w:tc>
        <w:tc>
          <w:tcPr>
            <w:tcW w:w="4820" w:type="dxa"/>
            <w:vAlign w:val="bottom"/>
            <w:gridSpan w:val="5"/>
          </w:tcPr>
          <w:p>
            <w:pPr>
              <w:spacing w:after="0"/>
              <w:rPr>
                <w:sz w:val="24"/>
                <w:szCs w:val="24"/>
                <w:color w:val="auto"/>
              </w:rPr>
            </w:pPr>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w:t>
            </w:r>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4"/>
                <w:szCs w:val="24"/>
                <w:color w:val="auto"/>
              </w:rPr>
            </w:pP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w:t>
            </w:r>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97*</w:t>
            </w:r>
          </w:p>
        </w:tc>
        <w:tc>
          <w:tcPr>
            <w:tcW w:w="320" w:type="dxa"/>
            <w:vAlign w:val="bottom"/>
          </w:tcPr>
          <w:p>
            <w:pPr>
              <w:spacing w:after="0"/>
              <w:rPr>
                <w:sz w:val="24"/>
                <w:szCs w:val="24"/>
                <w:color w:val="auto"/>
              </w:rPr>
            </w:pPr>
          </w:p>
        </w:tc>
        <w:tc>
          <w:tcPr>
            <w:tcW w:w="7820" w:type="dxa"/>
            <w:vAlign w:val="bottom"/>
            <w:gridSpan w:val="9"/>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Policy for the Recovery of Erroneously Awarded Compensation – incorporated by reference to the</w:t>
              </w:r>
            </w:hyperlink>
          </w:p>
        </w:tc>
      </w:tr>
      <w:tr>
        <w:trPr>
          <w:trHeight w:val="196"/>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Registrant’s Annual Report on Form 10-K for the year ended December 31, 2023.</w:t>
              </w:r>
            </w:hyperlink>
          </w:p>
        </w:tc>
        <w:tc>
          <w:tcPr>
            <w:tcW w:w="118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r>
      <w:tr>
        <w:trPr>
          <w:trHeight w:val="434"/>
        </w:trPr>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101.INS**</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w:t>
            </w:r>
          </w:p>
        </w:tc>
      </w:tr>
      <w:tr>
        <w:trPr>
          <w:trHeight w:val="234"/>
        </w:trPr>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432"/>
        </w:trPr>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101.SCH**</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101.CAL**</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101.DEF**</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101.LAB**</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101.PRE**</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198" w:lineRule="exact"/>
        <w:rPr>
          <w:sz w:val="20"/>
          <w:szCs w:val="20"/>
          <w:color w:val="auto"/>
        </w:rPr>
      </w:pPr>
    </w:p>
    <w:p>
      <w:pPr>
        <w:ind w:left="60" w:right="1379" w:firstLine="294"/>
        <w:spacing w:after="0" w:line="386" w:lineRule="auto"/>
        <w:tabs>
          <w:tab w:leader="none" w:pos="11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compensatory plan or agreement.</w:t>
      </w: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4400" w:hanging="96"/>
        <w:spacing w:after="0"/>
        <w:tabs>
          <w:tab w:leader="none" w:pos="44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2025</w:t>
            </w: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By:/s/ Scott C. James</w:t>
            </w:r>
          </w:p>
        </w:tc>
      </w:tr>
      <w:tr>
        <w:trPr>
          <w:trHeight w:val="191"/>
        </w:trPr>
        <w:tc>
          <w:tcPr>
            <w:tcW w:w="2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C. James</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and on the dates indicated.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8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420" w:type="dxa"/>
            <w:vAlign w:val="bottom"/>
            <w:gridSpan w:val="3"/>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6"/>
        </w:trPr>
        <w:tc>
          <w:tcPr>
            <w:tcW w:w="2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Loretta J. Feehan</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Chair of the Board</w:t>
            </w:r>
          </w:p>
        </w:tc>
        <w:tc>
          <w:tcPr>
            <w:tcW w:w="142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Loretta J. Feehan</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4"/>
        </w:trPr>
        <w:tc>
          <w:tcPr>
            <w:tcW w:w="2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Michael S. Simmons</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Vice Chairman of the Board</w:t>
            </w:r>
          </w:p>
        </w:tc>
        <w:tc>
          <w:tcPr>
            <w:tcW w:w="142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S. Simmons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4"/>
        </w:trPr>
        <w:tc>
          <w:tcPr>
            <w:tcW w:w="2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Scott C. James</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42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Scott C. James</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4"/>
        </w:trPr>
        <w:tc>
          <w:tcPr>
            <w:tcW w:w="2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Amy A. Samford</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c>
          <w:tcPr>
            <w:tcW w:w="142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Amy A. Samford</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4"/>
        </w:trPr>
        <w:tc>
          <w:tcPr>
            <w:tcW w:w="2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Amy E. Ruf</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Vice President, Controller</w:t>
            </w:r>
          </w:p>
        </w:tc>
        <w:tc>
          <w:tcPr>
            <w:tcW w:w="142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Amy E. Ruf</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4"/>
        </w:trPr>
        <w:tc>
          <w:tcPr>
            <w:tcW w:w="2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Thomas E. Barry</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2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Thomas E. Barry</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4"/>
        </w:trPr>
        <w:tc>
          <w:tcPr>
            <w:tcW w:w="2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Terri L. Herrington</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2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Terri L. Herrington</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4"/>
        </w:trPr>
        <w:tc>
          <w:tcPr>
            <w:tcW w:w="2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Ann Manix</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2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Ann Manix</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4"/>
        </w:trPr>
        <w:tc>
          <w:tcPr>
            <w:tcW w:w="2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Gina A. Norris</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2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Gina A. Norris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4"/>
        </w:trPr>
        <w:tc>
          <w:tcPr>
            <w:tcW w:w="2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Mary A. Tidlund</w:t>
            </w: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2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Mary A. Tidlund</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7" w:name="page28"/>
    <w:bookmarkEnd w:id="27"/>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Items 8 and 15(a)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of Financial Statements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Borders>
              <w:bottom w:val="single" w:sz="8" w:color="auto"/>
            </w:tcBorders>
          </w:tcPr>
          <w:p>
            <w:pPr>
              <w:spacing w:after="0"/>
              <w:rPr>
                <w:sz w:val="15"/>
                <w:szCs w:val="15"/>
                <w:color w:val="auto"/>
              </w:rPr>
            </w:pPr>
          </w:p>
        </w:tc>
        <w:tc>
          <w:tcPr>
            <w:tcW w:w="79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80" w:type="dxa"/>
            <w:vAlign w:val="bottom"/>
          </w:tcPr>
          <w:p>
            <w:pPr>
              <w:spacing w:after="0"/>
              <w:rPr>
                <w:sz w:val="15"/>
                <w:szCs w:val="15"/>
                <w:color w:val="auto"/>
              </w:rPr>
            </w:pP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8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F-2</w:t>
            </w: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Balance Sheets — December 31, 2023 and 2024</w:t>
            </w:r>
          </w:p>
        </w:tc>
        <w:tc>
          <w:tcPr>
            <w:tcW w:w="3660" w:type="dxa"/>
            <w:vAlign w:val="bottom"/>
            <w:gridSpan w:val="5"/>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F-4</w:t>
            </w:r>
          </w:p>
        </w:tc>
      </w:tr>
      <w:tr>
        <w:trPr>
          <w:trHeight w:val="412"/>
        </w:trPr>
        <w:tc>
          <w:tcPr>
            <w:tcW w:w="20" w:type="dxa"/>
            <w:vAlign w:val="bottom"/>
          </w:tcPr>
          <w:p>
            <w:pPr>
              <w:spacing w:after="0"/>
              <w:rPr>
                <w:sz w:val="24"/>
                <w:szCs w:val="24"/>
                <w:color w:val="auto"/>
              </w:rPr>
            </w:pPr>
          </w:p>
        </w:tc>
        <w:tc>
          <w:tcPr>
            <w:tcW w:w="58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and Comprehensive Income — Years ended</w:t>
            </w:r>
          </w:p>
        </w:tc>
        <w:tc>
          <w:tcPr>
            <w:tcW w:w="234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60" w:type="dxa"/>
            <w:vAlign w:val="bottom"/>
            <w:tcBorders>
              <w:bottom w:val="single" w:sz="8" w:color="0000EE"/>
            </w:tcBorders>
          </w:tcPr>
          <w:p>
            <w:pPr>
              <w:ind w:left="80"/>
              <w:spacing w:after="0" w:line="196" w:lineRule="exact"/>
              <w:rPr>
                <w:sz w:val="20"/>
                <w:szCs w:val="20"/>
                <w:color w:val="auto"/>
              </w:rPr>
            </w:pPr>
            <w:r>
              <w:rPr>
                <w:rFonts w:ascii="Times New Roman" w:cs="Times New Roman" w:eastAsia="Times New Roman" w:hAnsi="Times New Roman"/>
                <w:sz w:val="18"/>
                <w:szCs w:val="18"/>
                <w:color w:val="0000EE"/>
                <w:w w:val="99"/>
              </w:rPr>
              <w:t>December 31, 2022, 2023 and 2024</w:t>
            </w:r>
          </w:p>
        </w:tc>
        <w:tc>
          <w:tcPr>
            <w:tcW w:w="5480" w:type="dxa"/>
            <w:vAlign w:val="bottom"/>
            <w:gridSpan w:val="8"/>
          </w:tcPr>
          <w:p>
            <w:pPr>
              <w:spacing w:after="0"/>
              <w:rPr>
                <w:sz w:val="17"/>
                <w:szCs w:val="17"/>
                <w:color w:val="auto"/>
              </w:rPr>
            </w:pPr>
          </w:p>
        </w:tc>
        <w:tc>
          <w:tcPr>
            <w:tcW w:w="74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412"/>
        </w:trPr>
        <w:tc>
          <w:tcPr>
            <w:tcW w:w="20" w:type="dxa"/>
            <w:vAlign w:val="bottom"/>
          </w:tcPr>
          <w:p>
            <w:pPr>
              <w:spacing w:after="0"/>
              <w:rPr>
                <w:sz w:val="24"/>
                <w:szCs w:val="24"/>
                <w:color w:val="auto"/>
              </w:rPr>
            </w:pPr>
          </w:p>
        </w:tc>
        <w:tc>
          <w:tcPr>
            <w:tcW w:w="8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 Years ended December 31, 2022, 2023 and 2024</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F-6</w:t>
            </w:r>
          </w:p>
        </w:tc>
      </w:tr>
      <w:tr>
        <w:trPr>
          <w:trHeight w:val="412"/>
        </w:trPr>
        <w:tc>
          <w:tcPr>
            <w:tcW w:w="20" w:type="dxa"/>
            <w:vAlign w:val="bottom"/>
          </w:tcPr>
          <w:p>
            <w:pPr>
              <w:spacing w:after="0"/>
              <w:rPr>
                <w:sz w:val="24"/>
                <w:szCs w:val="24"/>
                <w:color w:val="auto"/>
              </w:rPr>
            </w:pPr>
          </w:p>
        </w:tc>
        <w:tc>
          <w:tcPr>
            <w:tcW w:w="73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 Years ended December 31, 2022, 2023 and 2024</w:t>
            </w:r>
          </w:p>
        </w:tc>
        <w:tc>
          <w:tcPr>
            <w:tcW w:w="840" w:type="dxa"/>
            <w:vAlign w:val="bottom"/>
            <w:gridSpan w:val="2"/>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F-7</w:t>
            </w:r>
          </w:p>
        </w:tc>
      </w:tr>
      <w:tr>
        <w:trPr>
          <w:trHeight w:val="412"/>
        </w:trPr>
        <w:tc>
          <w:tcPr>
            <w:tcW w:w="2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480" w:type="dxa"/>
            <w:vAlign w:val="bottom"/>
            <w:tcBorders>
              <w:top w:val="single" w:sz="8" w:color="0000EE"/>
            </w:tcBorders>
            <w:gridSpan w:val="4"/>
          </w:tcPr>
          <w:p>
            <w:pPr>
              <w:spacing w:after="0"/>
              <w:rPr>
                <w:sz w:val="24"/>
                <w:szCs w:val="24"/>
                <w:color w:val="auto"/>
              </w:rPr>
            </w:pPr>
          </w:p>
        </w:tc>
        <w:tc>
          <w:tcPr>
            <w:tcW w:w="1520" w:type="dxa"/>
            <w:vAlign w:val="bottom"/>
            <w:gridSpan w:val="3"/>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F-8</w:t>
            </w:r>
          </w:p>
        </w:tc>
      </w:tr>
    </w:tbl>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jc w:val="center"/>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335"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To the Board of Directors and Stockholders of CompX International Inc.</w:t>
      </w:r>
    </w:p>
    <w:p>
      <w:pPr>
        <w:spacing w:after="0" w:line="173"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Opinion on the Financial Statements</w:t>
      </w:r>
    </w:p>
    <w:p>
      <w:pPr>
        <w:spacing w:after="0" w:line="188" w:lineRule="exact"/>
        <w:rPr>
          <w:sz w:val="20"/>
          <w:szCs w:val="20"/>
          <w:color w:val="auto"/>
        </w:rPr>
      </w:pPr>
    </w:p>
    <w:p>
      <w:pPr>
        <w:ind w:left="60" w:right="79"/>
        <w:spacing w:after="0" w:line="237" w:lineRule="auto"/>
        <w:rPr>
          <w:sz w:val="20"/>
          <w:szCs w:val="20"/>
          <w:color w:val="auto"/>
        </w:rPr>
      </w:pPr>
      <w:r>
        <w:rPr>
          <w:rFonts w:ascii="Georgia" w:cs="Georgia" w:eastAsia="Georgia" w:hAnsi="Georgia"/>
          <w:sz w:val="18"/>
          <w:szCs w:val="18"/>
          <w:color w:val="auto"/>
        </w:rPr>
        <w:t>We have audited the accompanying consolidated balance sheets of CompX International Inc. and its subsidiaries (the "Company") as of December 29, 2024 and December 31, 2023, and the related consolidated statements of income and comprehensive income, of stockholders’ equity and of cash flows for each of the three years in the period ended December 29, 2024, including the related notes (collectively referred to as the "consolidated financial statements"). In our opinion, the consolidated financial statements present fairly, in all material respects, the financial position of the Company as of December 29, 2024 and December 31, 2023, and the results of its operations and its cash flows for each of the three years in the period ended December 29, 2024 in conformity with accounting principles generally accepted in the United States of America.</w:t>
      </w:r>
    </w:p>
    <w:p>
      <w:pPr>
        <w:spacing w:after="0" w:line="178"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175" w:lineRule="exact"/>
        <w:rPr>
          <w:sz w:val="20"/>
          <w:szCs w:val="20"/>
          <w:color w:val="auto"/>
        </w:rPr>
      </w:pPr>
    </w:p>
    <w:p>
      <w:pPr>
        <w:ind w:left="60" w:right="159"/>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left="60" w:right="179"/>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ind w:left="60" w:right="359"/>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7"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88" w:lineRule="exact"/>
        <w:rPr>
          <w:sz w:val="20"/>
          <w:szCs w:val="20"/>
          <w:color w:val="auto"/>
        </w:rPr>
      </w:pPr>
    </w:p>
    <w:p>
      <w:pPr>
        <w:ind w:left="60" w:right="139"/>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29" w:name="page30"/>
    <w:bookmarkEnd w:id="29"/>
    <w:p>
      <w:pPr>
        <w:ind w:left="60"/>
        <w:spacing w:after="0"/>
        <w:rPr>
          <w:sz w:val="20"/>
          <w:szCs w:val="20"/>
          <w:color w:val="auto"/>
        </w:rPr>
      </w:pPr>
      <w:r>
        <w:rPr>
          <w:rFonts w:ascii="Georgia" w:cs="Georgia" w:eastAsia="Georgia" w:hAnsi="Georgia"/>
          <w:sz w:val="18"/>
          <w:szCs w:val="18"/>
          <w:i w:val="1"/>
          <w:iCs w:val="1"/>
          <w:color w:val="auto"/>
        </w:rPr>
        <w:t>Revenue Recognition</w:t>
      </w:r>
    </w:p>
    <w:p>
      <w:pPr>
        <w:spacing w:after="0" w:line="202" w:lineRule="exact"/>
        <w:rPr>
          <w:sz w:val="20"/>
          <w:szCs w:val="20"/>
          <w:color w:val="auto"/>
        </w:rPr>
      </w:pPr>
    </w:p>
    <w:p>
      <w:pPr>
        <w:ind w:left="60" w:right="119"/>
        <w:spacing w:after="0" w:line="237" w:lineRule="auto"/>
        <w:rPr>
          <w:sz w:val="20"/>
          <w:szCs w:val="20"/>
          <w:color w:val="auto"/>
        </w:rPr>
      </w:pPr>
      <w:r>
        <w:rPr>
          <w:rFonts w:ascii="Georgia" w:cs="Georgia" w:eastAsia="Georgia" w:hAnsi="Georgia"/>
          <w:sz w:val="18"/>
          <w:szCs w:val="18"/>
          <w:color w:val="auto"/>
        </w:rPr>
        <w:t>As described in Note 1 to the consolidated financial statements, the Company’s net sales were $145.9 million for the year ended December 29, 2024. The Company’s sales involve single performance obligations to ship products pursuant to customer purchase orders. The Company records revenue when performance obligations are satisfied by transferring control of products to its customers, which generally occurs at point of shipment or upon delivery. Revenue is recorded in an amount that reflects the net consideration the Company expects to receive in exchange for the products.</w:t>
      </w:r>
    </w:p>
    <w:p>
      <w:pPr>
        <w:spacing w:after="0" w:line="206" w:lineRule="exact"/>
        <w:rPr>
          <w:sz w:val="20"/>
          <w:szCs w:val="20"/>
          <w:color w:val="auto"/>
        </w:rPr>
      </w:pPr>
    </w:p>
    <w:p>
      <w:pPr>
        <w:ind w:left="60" w:right="99"/>
        <w:spacing w:after="0" w:line="237" w:lineRule="auto"/>
        <w:rPr>
          <w:sz w:val="20"/>
          <w:szCs w:val="20"/>
          <w:color w:val="auto"/>
        </w:rPr>
      </w:pPr>
      <w:r>
        <w:rPr>
          <w:rFonts w:ascii="Georgia" w:cs="Georgia" w:eastAsia="Georgia" w:hAnsi="Georgia"/>
          <w:sz w:val="18"/>
          <w:szCs w:val="18"/>
          <w:color w:val="auto"/>
        </w:rPr>
        <w:t>The principal consideration for our determination that performing procedures relating to revenue recognition is a critical audit matter is a high degree of auditor effort in performing procedures related to the Company’s revenue recognition.</w:t>
      </w:r>
    </w:p>
    <w:p>
      <w:pPr>
        <w:spacing w:after="0" w:line="204" w:lineRule="exact"/>
        <w:rPr>
          <w:sz w:val="20"/>
          <w:szCs w:val="20"/>
          <w:color w:val="auto"/>
        </w:rPr>
      </w:pPr>
    </w:p>
    <w:p>
      <w:pPr>
        <w:ind w:left="60" w:right="419"/>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testing revenue recognized for a sample of revenue transactions by obtaining and inspecting source documents, such as purchase orders, invoices, proof of shipment, and cash receipts.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Dallas, Texas</w:t>
      </w:r>
    </w:p>
    <w:p>
      <w:pPr>
        <w:ind w:left="60"/>
        <w:spacing w:after="0" w:line="238" w:lineRule="auto"/>
        <w:rPr>
          <w:sz w:val="20"/>
          <w:szCs w:val="20"/>
          <w:color w:val="auto"/>
        </w:rPr>
      </w:pPr>
      <w:r>
        <w:rPr>
          <w:rFonts w:ascii="Georgia" w:cs="Georgia" w:eastAsia="Georgia" w:hAnsi="Georgia"/>
          <w:sz w:val="18"/>
          <w:szCs w:val="18"/>
          <w:color w:val="auto"/>
        </w:rPr>
        <w:t>March 5, 2025</w:t>
      </w:r>
    </w:p>
    <w:p>
      <w:pPr>
        <w:spacing w:after="0" w:line="174"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82"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20" w:type="dxa"/>
            <w:vAlign w:val="bottom"/>
            <w:vMerge w:val="restart"/>
          </w:tcPr>
          <w:p>
            <w:pPr>
              <w:ind w:left="2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6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126,630</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105,296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other assets</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35,111</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Buildings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77,757</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187,604</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68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taxes payable to affiliate</w:t>
            </w:r>
          </w:p>
        </w:tc>
        <w:tc>
          <w:tcPr>
            <w:tcW w:w="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 shares authorized, none issued</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A common stock, $.01 par value; 20,000,000 shares authorized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12,313,757 and 12,318,557 shares issued and outstanding</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92,626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loss -</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4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168,849</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187,604</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Commitments and Contingencies (Note 11)</w:t>
      </w:r>
    </w:p>
    <w:p>
      <w:pPr>
        <w:spacing w:after="0" w:line="9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31" w:name="page32"/>
    <w:bookmarkEnd w:id="31"/>
    <w:p>
      <w:pPr>
        <w:jc w:val="center"/>
        <w:ind w:left="60" w:right="79"/>
        <w:spacing w:after="0" w:line="393" w:lineRule="auto"/>
        <w:rPr>
          <w:sz w:val="20"/>
          <w:szCs w:val="20"/>
          <w:color w:val="auto"/>
        </w:rPr>
      </w:pPr>
      <w:r>
        <w:rPr>
          <w:rFonts w:ascii="Times New Roman" w:cs="Times New Roman" w:eastAsia="Times New Roman" w:hAnsi="Times New Roman"/>
          <w:sz w:val="18"/>
          <w:szCs w:val="18"/>
          <w:b w:val="1"/>
          <w:bCs w:val="1"/>
          <w:color w:val="auto"/>
        </w:rPr>
        <w:t>COMPX INTERNATIONAL INC. AND SUBSIDIARIES CONSOLIDATED STATEMENTS OF INCOME AND COMPREHENSIVE INCOME (In thousands, except per share data)</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166,562</w:t>
            </w:r>
          </w:p>
        </w:tc>
        <w:tc>
          <w:tcPr>
            <w:tcW w:w="4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161,287</w:t>
            </w:r>
          </w:p>
        </w:tc>
        <w:tc>
          <w:tcPr>
            <w:tcW w:w="5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117,763</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112,068</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23,363</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marketable securities adjustment: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Unrealized net income (loss) arising during year</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2" w:name="page33"/>
    <w:bookmarkEnd w:id="32"/>
    <w:p>
      <w:pPr>
        <w:jc w:val="center"/>
        <w:spacing w:after="0" w:line="393" w:lineRule="auto"/>
        <w:rPr>
          <w:sz w:val="20"/>
          <w:szCs w:val="20"/>
          <w:color w:val="auto"/>
        </w:rPr>
      </w:pPr>
      <w:r>
        <w:rPr>
          <w:rFonts w:ascii="Times New Roman" w:cs="Times New Roman" w:eastAsia="Times New Roman" w:hAnsi="Times New Roman"/>
          <w:sz w:val="18"/>
          <w:szCs w:val="18"/>
          <w:b w:val="1"/>
          <w:bCs w:val="1"/>
          <w:color w:val="auto"/>
        </w:rPr>
        <w:t>COMPX INTERNATIONAL INC. AND SUBSIDIARIES CONSOLIDATED STATEMENTS OF STOCKHOLDERS’ EQUITY Years ended December 31, 2022, 2023 and 2024 (In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common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Retained</w:t>
            </w:r>
          </w:p>
        </w:tc>
        <w:tc>
          <w:tcPr>
            <w:tcW w:w="2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2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($2.75 per share)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Acquired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Retired</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($1.00 per share)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($3.20 per share)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92,626</w:t>
            </w:r>
          </w:p>
        </w:tc>
        <w:tc>
          <w:tcPr>
            <w:tcW w:w="4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COMPX INTERNATIONAL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22,593</w:t>
            </w:r>
          </w:p>
        </w:tc>
        <w:tc>
          <w:tcPr>
            <w:tcW w:w="5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interest income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Inventories, 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with affiliates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Prepaids and other, net</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25,811</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fixed assets, 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Proceeds from maturities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Collections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Advances</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Treasury stock acquired</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(39,418)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net change from:</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investing and financing activities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26,748</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41,393</w:t>
            </w:r>
          </w:p>
        </w:tc>
        <w:tc>
          <w:tcPr>
            <w:tcW w:w="0" w:type="dxa"/>
            <w:vAlign w:val="bottom"/>
          </w:tcPr>
          <w:p>
            <w:pPr>
              <w:spacing w:after="0"/>
              <w:rPr>
                <w:sz w:val="1"/>
                <w:szCs w:val="1"/>
                <w:color w:val="auto"/>
              </w:rPr>
            </w:pPr>
          </w:p>
        </w:tc>
      </w:tr>
      <w:tr>
        <w:trPr>
          <w:trHeight w:val="25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8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26,748</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60,782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5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investing activities -</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 in accruals for capital expenditures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4" w:name="page35"/>
    <w:bookmarkEnd w:id="34"/>
    <w:p>
      <w:pPr>
        <w:jc w:val="center"/>
        <w:ind w:left="60" w:right="79"/>
        <w:spacing w:after="0" w:line="393" w:lineRule="auto"/>
        <w:rPr>
          <w:sz w:val="20"/>
          <w:szCs w:val="20"/>
          <w:color w:val="auto"/>
        </w:rPr>
      </w:pPr>
      <w:r>
        <w:rPr>
          <w:rFonts w:ascii="Times New Roman" w:cs="Times New Roman" w:eastAsia="Times New Roman" w:hAnsi="Times New Roman"/>
          <w:sz w:val="18"/>
          <w:szCs w:val="18"/>
          <w:b w:val="1"/>
          <w:bCs w:val="1"/>
          <w:color w:val="auto"/>
        </w:rPr>
        <w:t>COMPX INTERNATIONAL INC. AND SUBSIDIARIES NOTES TO CONSOLIDATED FINANCIAL STATEMENTS December 31, 2024</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Organization. </w:t>
      </w:r>
      <w:r>
        <w:rPr>
          <w:rFonts w:ascii="Times New Roman" w:cs="Times New Roman" w:eastAsia="Times New Roman" w:hAnsi="Times New Roman"/>
          <w:sz w:val="17"/>
          <w:szCs w:val="17"/>
          <w:color w:val="auto"/>
        </w:rPr>
        <w:t>We (NYSE American: CIX) are approximately 87% owned by NL Industries, Inc. (NYSE: NL)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2024. We manufacture and sell component products (security products and recreational marine components). At December 31, 2024, Valhi, Inc. (NYSE: VHI) owns approximately 83% of NL’s outstanding common stock and a wholly-owned subsidiary of Contran Corporation owns approximately 91% of Valhi’s outstanding common stock.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2024 Ms. Simmons and the Family Trust may be deemed to control Contran, and therefore may be deemed to indirectly control the wholly-owned subsidiary of Contran, Valhi, NL and us.</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“us,” or “our” refer to CompX International Inc. and its subsidiaries, taken as a whole.</w:t>
      </w:r>
    </w:p>
    <w:p>
      <w:pPr>
        <w:spacing w:after="0" w:line="158"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 estimates. </w:t>
      </w:r>
      <w:r>
        <w:rPr>
          <w:rFonts w:ascii="Times New Roman" w:cs="Times New Roman" w:eastAsia="Times New Roman" w:hAnsi="Times New Roman"/>
          <w:sz w:val="18"/>
          <w:szCs w:val="18"/>
          <w:color w:val="auto"/>
        </w:rPr>
        <w:t>In preparing our financial statements in conformity with accounting principles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accepted in the United States of America (“GAAP”) we are required to make estimates and assumptions that affect the reported amounts of assets and liabilities and disclosure of contingent assets and liabilities at each balance sheet date and the reported amounts of our revenues and expenses during each reporting period. Actual results may differ significantly from previously estimated amounts under different assumptions or conditions.</w:t>
      </w:r>
    </w:p>
    <w:p>
      <w:pPr>
        <w:spacing w:after="0" w:line="179"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Consolidated Financial Statements include the accounts of CompX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Inc. and our wholly-owned subsidiaries. We eliminate all material intercompany accounts and balances.</w:t>
      </w:r>
    </w:p>
    <w:p>
      <w:pPr>
        <w:spacing w:after="0" w:line="155"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year. </w:t>
      </w:r>
      <w:r>
        <w:rPr>
          <w:rFonts w:ascii="Times New Roman" w:cs="Times New Roman" w:eastAsia="Times New Roman" w:hAnsi="Times New Roman"/>
          <w:sz w:val="18"/>
          <w:szCs w:val="18"/>
          <w:color w:val="auto"/>
        </w:rPr>
        <w:t>Our fiscal year end is always the Sunday closest to December 31, and our operations are reported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52 or 53-week fiscal year. For presentation purposes, annual information in the Consolidated Financial Statements and accompanying notes is presented as ended on December 31. The actual date of our fiscal years ended December 31, 2022, 2023 and 2024 are January 1, 2023, December 31, 2023 and December 29, 2024, respectively. Each of the years ending December 31, 2022, 2023 and 2024 consisted of 52 weeks.</w:t>
      </w:r>
    </w:p>
    <w:p>
      <w:pPr>
        <w:spacing w:after="0" w:line="179"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classify bank time deposits and highly liquid investments, including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commercial notes and bills, with original maturities of three months or less as cash equivalents.</w:t>
      </w:r>
    </w:p>
    <w:p>
      <w:pPr>
        <w:spacing w:after="0" w:line="155"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and securities transactions. </w:t>
      </w:r>
      <w:r>
        <w:rPr>
          <w:rFonts w:ascii="Times New Roman" w:cs="Times New Roman" w:eastAsia="Times New Roman" w:hAnsi="Times New Roman"/>
          <w:sz w:val="18"/>
          <w:szCs w:val="18"/>
          <w:color w:val="auto"/>
        </w:rPr>
        <w:t>We carry marketable debt securities at fair value.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Standards Codification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consistent framework for measuring fair value and (with certain exceptions) this framework is generally applied to all financial statement items required to be measured at fair value. The standard requires fair value measurements to be classified and disclosed in one of the following three categories:</w:t>
      </w:r>
    </w:p>
    <w:p>
      <w:pPr>
        <w:spacing w:after="0" w:line="181" w:lineRule="exact"/>
        <w:rPr>
          <w:sz w:val="20"/>
          <w:szCs w:val="20"/>
          <w:color w:val="auto"/>
        </w:rPr>
      </w:pPr>
    </w:p>
    <w:p>
      <w:pPr>
        <w:ind w:left="1040" w:right="79" w:hanging="315"/>
        <w:spacing w:after="0" w:line="284"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that are accessible at the measurement date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unrestricted assets or liabilities;</w:t>
      </w:r>
    </w:p>
    <w:p>
      <w:pPr>
        <w:spacing w:after="0" w:line="50" w:lineRule="exact"/>
        <w:rPr>
          <w:rFonts w:ascii="Times New Roman" w:cs="Times New Roman" w:eastAsia="Times New Roman" w:hAnsi="Times New Roman"/>
          <w:sz w:val="18"/>
          <w:szCs w:val="18"/>
          <w:color w:val="auto"/>
        </w:rPr>
      </w:pPr>
    </w:p>
    <w:p>
      <w:pPr>
        <w:ind w:left="1040" w:right="79" w:hanging="315"/>
        <w:spacing w:after="0" w:line="284"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in markets that are not active, or inputs which are observable,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for substantially the full term of the assets or liability; and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5" w:name="page36"/>
    <w:bookmarkEnd w:id="35"/>
    <w:p>
      <w:pPr>
        <w:ind w:left="1040" w:right="79" w:hanging="315"/>
        <w:spacing w:after="0" w:line="284"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 techniques that require inputs that are both significant to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and unobservable.</w:t>
      </w:r>
    </w:p>
    <w:p>
      <w:pPr>
        <w:spacing w:after="0" w:line="16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classify our marketable debt securities as available-for-sale. We accumulate unrealized gains and losses on marketable debt securities as part of accumulated other comprehensive income (loss), net of related deferred income taxes. See Notes 3 and 12. We base realized gains and losses upon the specific identification of the securities sold.</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We provide an allowance for doubtful accounts for known and estimated potential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arising from our sales to customers based on a periodic review of these accounts.</w:t>
      </w:r>
    </w:p>
    <w:p>
      <w:pPr>
        <w:spacing w:after="0" w:line="15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Inventories and cost of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state inventories at the lower of cost or net realizable value. We record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 for obsolete and slow-moving inventories. We generally base inventory costs for all inventory categories on average cost that approximates the first-in, first-out method. Inventories include the costs for raw materials, the cost to manufacture the raw materials into finished goods and overhead. Depending on the inventory’s stage of completion, our manufacturing costs can include the costs of packing and finishing, utilities, maintenance and depreciation, shipping and handling, and salaries and benefits associated with our manufacturing process. We allocate fixed manufacturing overhead costs based on normal production capacity. Unallocated overhead costs resulting from periods with abnormally low production levels are charged to expense as incurred. As inventory is sold to third parties, we recognize the cost of sales in the same period that the sale occurs. We periodically review our inventory for estimated obsolescence or instances when inventory is no longer marketable for its intended use, and we record any write-down, equal to the difference between the cost of inventory and its estimated net realizable value, based on assumptions about alternative uses, market conditions and other factors.</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sales involve single performance obligations to ship our products pursuant to customer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orders. In some cases, the purchase order is supported by an underlying master sales agreement, but our purchase order verification notice generally evidences the contract with our customer by specifying the key terms of product and quantity ordered, price and delivery and payment terms. In accordance with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we record revenue when we satisfy our performance obligations to our customers by transferring control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it is probable we will receive payment. In certain arrangements we provide shipping and handling activities after the transfer of control to our customer (e.g. when control transfers prior to delivery). In such arrangements shipping and handling are considered fulfillment activities, and accordingly, such costs are accrued when the related revenue is recognized.</w:t>
      </w:r>
    </w:p>
    <w:p>
      <w:pPr>
        <w:spacing w:after="0" w:line="18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not material and is recognized as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occasionally receive partial or full consideration from our customers prior to the completion of our performance obligation (shipment of product). We record estimated deferred revenue on the amount to which we are most-likely to be entitled and deferred revenue is recognized into revenue as our performance obligation has been satisfied. Deferred revenue has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36" w:name="page37"/>
    <w:bookmarkEnd w:id="36"/>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determined that our disclosure of sales by segment meets the requirements to disclose a disaggregation of our sales into categories that depict how the nature, amount, timing and uncertainty of revenue and cash flows are affected by economic factors. See Note 2.</w:t>
      </w:r>
    </w:p>
    <w:p>
      <w:pPr>
        <w:spacing w:after="0" w:line="172"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advertising costs. </w:t>
      </w: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costs related to marketing, sales, distribution, research and development and administrative functions such as accounting, treasury and finance, and include costs for salaries and benefits, travel and entertainment, promotional materials and professional fees, as well as any gains and losses on property and equipment. We expense advertising and research and development costs as incurred. Advertising costs were approximately $.4 million in 2022 and $.5 million in each of 2023 and 2024. Research and development costs were not significant in 2022, 2023 or 2024.</w:t>
      </w:r>
    </w:p>
    <w:p>
      <w:pPr>
        <w:spacing w:after="0" w:line="18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Goodwill represents the excess of cost over fair value of individual net assets acquired in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Goodwill is not subject to periodic amortization. We evaluate goodwill for impairment annually or when circumstances indicate the carrying value may not be recoverable. See Note 6.</w:t>
      </w:r>
    </w:p>
    <w:p>
      <w:pPr>
        <w:spacing w:after="0" w:line="17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Property and equipment; depreciation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state property and equipment, including purchased computer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for internal use, at cost. We compute depreciation of property and equipment for financial reporting purposes principally by the straight-line method over the estimated useful lives of 15 to 40 years for buildings and 3 to 20 years for equipment and software. We use the Alternative Depreciation System (“ADS”) for income tax purposes. Upon sale or retirement of an asset, the related cost and accumulated depreciation are removed from the accounts and any gain or loss is recognized in income currently. Expenditures for maintenance, repairs and minor renewals are expensed; expenditures for major improvements are capitalized.</w:t>
      </w:r>
    </w:p>
    <w:p>
      <w:pPr>
        <w:spacing w:after="0" w:line="18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perform impairment tests when events or changes in circumstances indicate the carrying value may not be recoverable. We consider all relevant factors. We perform the impairment test by comparing the estimated future undiscounted cash flows associated with the asset to the asset’s net carrying value to determine if impairment exists.</w:t>
      </w:r>
    </w:p>
    <w:p>
      <w:pPr>
        <w:spacing w:after="0" w:line="172"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We enter into various arrangements (or leases) that convey the rights to use and control identified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underlying assets for a period of time in exchange for consideration. We lease various facilities and equipment. From time to time, we may also enter into an arrangement in which the right to use and control an identified underlying asset is embedded in another type of contract. We determine if an arrangement is a lease (including leases embedded in another type of contract) at inception. All of our leases are classified as operating leases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Operating leases were not material in any year presented.</w:t>
      </w:r>
    </w:p>
    <w:p>
      <w:pPr>
        <w:spacing w:after="0" w:line="182"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benefit plans. </w:t>
      </w:r>
      <w:r>
        <w:rPr>
          <w:rFonts w:ascii="Times New Roman" w:cs="Times New Roman" w:eastAsia="Times New Roman" w:hAnsi="Times New Roman"/>
          <w:sz w:val="18"/>
          <w:szCs w:val="18"/>
          <w:color w:val="auto"/>
        </w:rPr>
        <w:t>We maintain various defined contribution plans in which we make contributions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matching or other formulas. Defined contribution plan expense approximated $3.9 million in each of 2022 and 2023 and $3.5 million in 2024.</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Self-insurance. </w:t>
      </w:r>
      <w:r>
        <w:rPr>
          <w:rFonts w:ascii="Times New Roman" w:cs="Times New Roman" w:eastAsia="Times New Roman" w:hAnsi="Times New Roman"/>
          <w:sz w:val="18"/>
          <w:szCs w:val="18"/>
          <w:color w:val="auto"/>
        </w:rPr>
        <w:t>We are partially self-insured for workers’ compensation and certain employee health benefits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self-insured for most environmental issues. We purchase coverage in order to limit our exposure to significant workers’ compensation or employee health benefit claims. We accrue self-insured losses based upon estimates of the aggregate liability for uninsured claims incurred using certain actuarial assumptions followed in the insurance industry and our own historical claims experience.</w:t>
      </w:r>
    </w:p>
    <w:p>
      <w:pPr>
        <w:spacing w:after="0" w:line="179"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and our parent NL, are members of the Contran Tax Group. We have been and currently are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 of the consolidated tax returns filed by Contran for U.S. federal purposes as well as for certain U.S. state jurisdictions. As a member of the Contran Tax Group, we are jointly and severally liable for the federal income tax liability of Contran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7" w:name="page38"/>
    <w:bookmarkEnd w:id="37"/>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and the other companies included in the Contran Tax Group for all periods in which we are included in the Contran Tax Group. See Note 11.</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a member of the Contran Tax Group, we are a party to a tax sharing agreement which provides that we compute our provision for U.S. income taxes on a separate-company basis. Pursuant to the tax sharing agreement, we make payments to or receive payments from NL in amounts we would have paid to or received from the U.S. Internal Revenue Service or the applicable state tax authority had we not been a member of the Contran Tax Group. The separate company provisions and payments are computed using the tax elections made by Contran. We made net cash payments for income taxes to NL of $7.8 million in 2022, $7.3 million in 2023 and $6.2 million in 2024.</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Deferred income tax assets and liabilities are recognized for the expected future tax consequences of temporary differences between the income tax and financial reporting carrying amounts of assets and liabilities. Deferred income tax assets and liabilities for each tax-paying jurisdiction in which we operate are netted and presented as either a noncurrent deferred income tax asset or liability, as applicable. We periodically evaluate our deferred tax assets in the various taxing jurisdictions in which we operate and adjust any related valuation allowance based on the estimate of the amount of deferred tax assets which we believe do not meet the more-likely-than-not recognition criteria. See Notes 8 and 11.</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record a reserve for uncertain tax positions for tax positions where we believe it is more-likely-than-not our position will not prevail with the applicable tax authorities. We did not have a reserve for uncertain tax positions in 2022, 2023 or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Business and geographic segments: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organized into two operating segments based on the nature of the products offered. Our chief operating decision maker (“CODM”) is our Vice Chairman of the Board. Our CODM is responsible for determining how to allocate resources and assessing performance. The CODM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 The CODM considers current-period segment operating income compared to plan and prior-period on a monthly and/or quarterly basis for evaluating performance of each segment and making decisions about allocating capital and other resources. The accounting policies of the reportable operating segments are the same as those described in Note 1. Capital expenditures include additions to property and equipment. Our two reportable operating segments are Security Products and Marine Components.</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Security Products segment, with a facility in South Carolina and a facility shared with Marine Components in Illinois, manufactures locking mechanisms and other security products for sale to the postal, transportation, office and institutional furniture, cabinetry, tool storage, healthcare and other industries.</w:t>
      </w:r>
    </w:p>
    <w:p>
      <w:pPr>
        <w:spacing w:after="0" w:line="1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Marine Components segment, with a facility in Wisconsin and a facility shared with Security Products in Illinois, manufactures and distributes wake enhancement systems, stainless steel exhaust systems, gauges, throttle controls, trim tabs and related hardware and accessories primarily for ski/wakeboard boats and performance boats.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Segment assets are comprised of all assets attributable to the reportable segments. Corporate assets are not attributable to the operating segments and consist primarily of cash, cash equivalents, marketable securities and note receivable from affiliate. For geographic information, the point of origin (place of manufacture) for all net sales is the U.S., the point of destination for net sales is based on the location of the customer, and property and equipment are attributable to their physical location. Intersegment sales are not material.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8" w:name="page39"/>
    <w:bookmarkEnd w:id="38"/>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10"/>
          </w:tcPr>
          <w:p>
            <w:pPr>
              <w:ind w:left="6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22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114,519</w:t>
            </w:r>
          </w:p>
        </w:tc>
        <w:tc>
          <w:tcPr>
            <w:tcW w:w="20" w:type="dxa"/>
            <w:vAlign w:val="bottom"/>
          </w:tcPr>
          <w:p>
            <w:pPr>
              <w:spacing w:after="0"/>
              <w:rPr>
                <w:sz w:val="18"/>
                <w:szCs w:val="18"/>
                <w:color w:val="auto"/>
              </w:rPr>
            </w:pPr>
          </w:p>
        </w:tc>
        <w:tc>
          <w:tcPr>
            <w:tcW w:w="4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121,182</w:t>
            </w:r>
          </w:p>
        </w:tc>
        <w:tc>
          <w:tcPr>
            <w:tcW w:w="20" w:type="dxa"/>
            <w:vAlign w:val="bottom"/>
          </w:tcPr>
          <w:p>
            <w:pPr>
              <w:spacing w:after="0"/>
              <w:rPr>
                <w:sz w:val="18"/>
                <w:szCs w:val="18"/>
                <w:color w:val="auto"/>
              </w:rPr>
            </w:pP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40,105</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30,698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166,562</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161,287</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145,941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2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79,068</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82,781</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9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38,695</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29,287</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112,068</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22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35,451</w:t>
            </w:r>
          </w:p>
        </w:tc>
        <w:tc>
          <w:tcPr>
            <w:tcW w:w="20" w:type="dxa"/>
            <w:vAlign w:val="bottom"/>
          </w:tcPr>
          <w:p>
            <w:pPr>
              <w:spacing w:after="0"/>
              <w:rPr>
                <w:sz w:val="18"/>
                <w:szCs w:val="18"/>
                <w:color w:val="auto"/>
              </w:rPr>
            </w:pPr>
          </w:p>
        </w:tc>
        <w:tc>
          <w:tcPr>
            <w:tcW w:w="4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38,401</w:t>
            </w:r>
          </w:p>
        </w:tc>
        <w:tc>
          <w:tcPr>
            <w:tcW w:w="20" w:type="dxa"/>
            <w:vAlign w:val="bottom"/>
          </w:tcPr>
          <w:p>
            <w:pPr>
              <w:spacing w:after="0"/>
              <w:rPr>
                <w:sz w:val="18"/>
                <w:szCs w:val="18"/>
                <w:color w:val="auto"/>
              </w:rPr>
            </w:pP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48,799</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49,219</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41,363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Segment selling, general and administrative expense:</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2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9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22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22,744</w:t>
            </w:r>
          </w:p>
        </w:tc>
        <w:tc>
          <w:tcPr>
            <w:tcW w:w="20" w:type="dxa"/>
            <w:vAlign w:val="bottom"/>
          </w:tcPr>
          <w:p>
            <w:pPr>
              <w:spacing w:after="0"/>
              <w:rPr>
                <w:sz w:val="18"/>
                <w:szCs w:val="18"/>
                <w:color w:val="auto"/>
              </w:rPr>
            </w:pPr>
          </w:p>
        </w:tc>
        <w:tc>
          <w:tcPr>
            <w:tcW w:w="4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20" w:type="dxa"/>
            <w:vAlign w:val="bottom"/>
          </w:tcPr>
          <w:p>
            <w:pPr>
              <w:spacing w:after="0"/>
              <w:rPr>
                <w:sz w:val="18"/>
                <w:szCs w:val="18"/>
                <w:color w:val="auto"/>
              </w:rPr>
            </w:pP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21,737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2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3,691</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4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 w:type="dxa"/>
            <w:vAlign w:val="bottom"/>
          </w:tcPr>
          <w:p>
            <w:pPr>
              <w:spacing w:after="0"/>
              <w:rPr>
                <w:sz w:val="18"/>
                <w:szCs w:val="18"/>
                <w:color w:val="auto"/>
              </w:rPr>
            </w:pPr>
          </w:p>
        </w:tc>
        <w:tc>
          <w:tcPr>
            <w:tcW w:w="5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9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point of destination:</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153,982</w:t>
            </w:r>
          </w:p>
        </w:tc>
        <w:tc>
          <w:tcPr>
            <w:tcW w:w="20" w:type="dxa"/>
            <w:vAlign w:val="bottom"/>
          </w:tcPr>
          <w:p>
            <w:pPr>
              <w:spacing w:after="0"/>
              <w:rPr>
                <w:sz w:val="18"/>
                <w:szCs w:val="18"/>
                <w:color w:val="auto"/>
              </w:rPr>
            </w:pPr>
          </w:p>
        </w:tc>
        <w:tc>
          <w:tcPr>
            <w:tcW w:w="4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155,092</w:t>
            </w:r>
          </w:p>
        </w:tc>
        <w:tc>
          <w:tcPr>
            <w:tcW w:w="20" w:type="dxa"/>
            <w:vAlign w:val="bottom"/>
          </w:tcPr>
          <w:p>
            <w:pPr>
              <w:spacing w:after="0"/>
              <w:rPr>
                <w:sz w:val="18"/>
                <w:szCs w:val="18"/>
                <w:color w:val="auto"/>
              </w:rPr>
            </w:pPr>
          </w:p>
        </w:tc>
        <w:tc>
          <w:tcPr>
            <w:tcW w:w="5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Mexico</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20" w:type="dxa"/>
            <w:vAlign w:val="bottom"/>
            <w:gridSpan w:val="3"/>
          </w:tcPr>
          <w:p>
            <w:pPr>
              <w:jc w:val="right"/>
              <w:ind w:right="556"/>
              <w:spacing w:after="0"/>
              <w:rPr>
                <w:sz w:val="20"/>
                <w:szCs w:val="20"/>
                <w:color w:val="auto"/>
              </w:rPr>
            </w:pPr>
            <w:r>
              <w:rPr>
                <w:rFonts w:ascii="Times New Roman" w:cs="Times New Roman" w:eastAsia="Times New Roman" w:hAnsi="Times New Roman"/>
                <w:sz w:val="18"/>
                <w:szCs w:val="18"/>
                <w:color w:val="auto"/>
              </w:rPr>
              <w:t>F-12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78" w:right="1440" w:bottom="1440" w:gutter="0" w:footer="0" w:header="0"/>
        </w:sectPr>
      </w:pPr>
    </w:p>
    <w:bookmarkStart w:id="39" w:name="page40"/>
    <w:bookmarkEnd w:id="39"/>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6"/>
        </w:trPr>
        <w:tc>
          <w:tcPr>
            <w:tcW w:w="3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9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80,671</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78,519</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74,999</w:t>
            </w: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22,591</w:t>
            </w:r>
          </w:p>
        </w:tc>
      </w:tr>
      <w:tr>
        <w:trPr>
          <w:trHeight w:val="216"/>
        </w:trPr>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1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65,454</w:t>
            </w:r>
          </w:p>
        </w:tc>
      </w:tr>
      <w:tr>
        <w:trPr>
          <w:trHeight w:val="209"/>
        </w:trPr>
        <w:tc>
          <w:tcPr>
            <w:tcW w:w="33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187,604</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163,044</w:t>
            </w:r>
          </w:p>
        </w:tc>
      </w:tr>
      <w:tr>
        <w:trPr>
          <w:trHeight w:val="20"/>
        </w:trPr>
        <w:tc>
          <w:tcPr>
            <w:tcW w:w="3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property and equipment for 2022, 2023 and 2024 is entirely located within the United States.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Marketable securities: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3"/>
        </w:trPr>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5040" w:type="dxa"/>
            <w:vAlign w:val="bottom"/>
          </w:tcPr>
          <w:p>
            <w:pPr>
              <w:spacing w:after="0"/>
              <w:rPr>
                <w:sz w:val="20"/>
                <w:szCs w:val="20"/>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 basis</w:t>
            </w:r>
          </w:p>
        </w:tc>
        <w:tc>
          <w:tcPr>
            <w:tcW w:w="1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loss, net</w:t>
            </w:r>
          </w:p>
        </w:tc>
      </w:tr>
      <w:tr>
        <w:trPr>
          <w:trHeight w:val="196"/>
        </w:trPr>
        <w:tc>
          <w:tcPr>
            <w:tcW w:w="50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6"/>
        </w:trPr>
        <w:tc>
          <w:tcPr>
            <w:tcW w:w="5040" w:type="dxa"/>
            <w:vAlign w:val="bottom"/>
            <w:shd w:val="clear" w:color="auto" w:fill="CCEEFF"/>
          </w:tcPr>
          <w:p>
            <w:pPr>
              <w:jc w:val="center"/>
              <w:ind w:right="3450"/>
              <w:spacing w:after="0"/>
              <w:rPr>
                <w:sz w:val="20"/>
                <w:szCs w:val="20"/>
                <w:color w:val="auto"/>
              </w:rPr>
            </w:pPr>
            <w:r>
              <w:rPr>
                <w:rFonts w:ascii="Times New Roman" w:cs="Times New Roman" w:eastAsia="Times New Roman" w:hAnsi="Times New Roman"/>
                <w:sz w:val="18"/>
                <w:szCs w:val="18"/>
                <w:color w:val="auto"/>
                <w:w w:val="99"/>
              </w:rPr>
              <w:t>December 31, 2023: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56"/>
        </w:trPr>
        <w:tc>
          <w:tcPr>
            <w:tcW w:w="5040" w:type="dxa"/>
            <w:vAlign w:val="bottom"/>
            <w:tcBorders>
              <w:bottom w:val="single" w:sz="8" w:color="CCEEFF"/>
            </w:tcBorders>
          </w:tcPr>
          <w:p>
            <w:pPr>
              <w:jc w:val="center"/>
              <w:ind w:right="349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35,359</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197"/>
        </w:trPr>
        <w:tc>
          <w:tcPr>
            <w:tcW w:w="5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040" w:type="dxa"/>
            <w:vAlign w:val="bottom"/>
          </w:tcPr>
          <w:p>
            <w:pPr>
              <w:jc w:val="center"/>
              <w:ind w:right="3450"/>
              <w:spacing w:after="0"/>
              <w:rPr>
                <w:sz w:val="20"/>
                <w:szCs w:val="20"/>
                <w:color w:val="auto"/>
              </w:rPr>
            </w:pPr>
            <w:r>
              <w:rPr>
                <w:rFonts w:ascii="Times New Roman" w:cs="Times New Roman" w:eastAsia="Times New Roman" w:hAnsi="Times New Roman"/>
                <w:sz w:val="18"/>
                <w:szCs w:val="18"/>
                <w:color w:val="auto"/>
                <w:w w:val="99"/>
              </w:rPr>
              <w:t>December 31, 2024:</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040" w:type="dxa"/>
            <w:vAlign w:val="bottom"/>
            <w:shd w:val="clear" w:color="auto" w:fill="CCEEFF"/>
          </w:tcPr>
          <w:p>
            <w:pPr>
              <w:jc w:val="center"/>
              <w:ind w:right="349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marketable securities we held at December 31, 2023 consisted of investments in debt securities. The fair value of our marketable securities is generally determined using Level 2 inputs because although these securities are traded, in many cases the market is not active and the year-end valuation is generally based on the last trade of the year, which may be several days prior to year-end.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receivable, net:</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3"/>
        </w:trPr>
        <w:tc>
          <w:tcPr>
            <w:tcW w:w="34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196"/>
        </w:trPr>
        <w:tc>
          <w:tcPr>
            <w:tcW w:w="34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4"/>
          </w:tcPr>
          <w:p>
            <w:pPr>
              <w:jc w:val="right"/>
              <w:ind w:right="83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7"/>
                <w:szCs w:val="17"/>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12,149</w:t>
            </w:r>
          </w:p>
        </w:tc>
        <w:tc>
          <w:tcPr>
            <w:tcW w:w="20" w:type="dxa"/>
            <w:vAlign w:val="bottom"/>
          </w:tcPr>
          <w:p>
            <w:pPr>
              <w:spacing w:after="0"/>
              <w:rPr>
                <w:sz w:val="18"/>
                <w:szCs w:val="18"/>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2,034</w:t>
            </w:r>
          </w:p>
        </w:tc>
        <w:tc>
          <w:tcPr>
            <w:tcW w:w="20" w:type="dxa"/>
            <w:vAlign w:val="bottom"/>
          </w:tcPr>
          <w:p>
            <w:pPr>
              <w:spacing w:after="0"/>
              <w:rPr>
                <w:sz w:val="18"/>
                <w:szCs w:val="18"/>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0" w:type="dxa"/>
            <w:vAlign w:val="bottom"/>
          </w:tcPr>
          <w:p>
            <w:pPr>
              <w:spacing w:after="0"/>
              <w:rPr>
                <w:sz w:val="18"/>
                <w:szCs w:val="18"/>
                <w:color w:val="auto"/>
              </w:rPr>
            </w:pPr>
          </w:p>
        </w:tc>
      </w:tr>
      <w:tr>
        <w:trPr>
          <w:trHeight w:val="210"/>
        </w:trPr>
        <w:tc>
          <w:tcPr>
            <w:tcW w:w="34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14,113</w:t>
            </w:r>
          </w:p>
        </w:tc>
        <w:tc>
          <w:tcPr>
            <w:tcW w:w="2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3440" w:type="dxa"/>
            <w:vAlign w:val="bottom"/>
          </w:tcPr>
          <w:p>
            <w:pPr>
              <w:spacing w:after="0"/>
              <w:rPr>
                <w:sz w:val="24"/>
                <w:szCs w:val="24"/>
                <w:color w:val="auto"/>
              </w:rPr>
            </w:pPr>
          </w:p>
        </w:tc>
        <w:tc>
          <w:tcPr>
            <w:tcW w:w="2600" w:type="dxa"/>
            <w:vAlign w:val="bottom"/>
            <w:gridSpan w:val="2"/>
          </w:tcPr>
          <w:p>
            <w:pPr>
              <w:jc w:val="right"/>
              <w:ind w:right="1316"/>
              <w:spacing w:after="0"/>
              <w:rPr>
                <w:sz w:val="20"/>
                <w:szCs w:val="20"/>
                <w:color w:val="auto"/>
              </w:rPr>
            </w:pPr>
            <w:r>
              <w:rPr>
                <w:rFonts w:ascii="Times New Roman" w:cs="Times New Roman" w:eastAsia="Times New Roman" w:hAnsi="Times New Roman"/>
                <w:sz w:val="18"/>
                <w:szCs w:val="18"/>
                <w:color w:val="auto"/>
              </w:rPr>
              <w:t>F-13</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4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8" w:right="1440" w:bottom="1440" w:gutter="0" w:footer="0" w:header="0"/>
        </w:sectPr>
      </w:pPr>
    </w:p>
    <w:bookmarkStart w:id="40" w:name="page41"/>
    <w:bookmarkEnd w:id="40"/>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Inventories, net:</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3"/>
        </w:trPr>
        <w:tc>
          <w:tcPr>
            <w:tcW w:w="3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6"/>
        </w:trPr>
        <w:tc>
          <w:tcPr>
            <w:tcW w:w="3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4"/>
          </w:tcPr>
          <w:p>
            <w:pPr>
              <w:jc w:val="right"/>
              <w:ind w:right="85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4,063</w:t>
            </w: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1,589</w:t>
            </w:r>
          </w:p>
        </w:tc>
      </w:tr>
      <w:tr>
        <w:trPr>
          <w:trHeight w:val="209"/>
        </w:trPr>
        <w:tc>
          <w:tcPr>
            <w:tcW w:w="39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raw materials</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5,652</w:t>
            </w: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13,241</w:t>
            </w: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4,397</w:t>
            </w:r>
          </w:p>
        </w:tc>
      </w:tr>
      <w:tr>
        <w:trPr>
          <w:trHeight w:val="209"/>
        </w:trPr>
        <w:tc>
          <w:tcPr>
            <w:tcW w:w="39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work-in-process</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17,638</w:t>
            </w: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2,895</w:t>
            </w: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w:t>
            </w:r>
          </w:p>
        </w:tc>
      </w:tr>
      <w:tr>
        <w:trPr>
          <w:trHeight w:val="210"/>
        </w:trPr>
        <w:tc>
          <w:tcPr>
            <w:tcW w:w="39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finished goods</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5,076</w:t>
            </w:r>
          </w:p>
        </w:tc>
      </w:tr>
      <w:tr>
        <w:trPr>
          <w:trHeight w:val="209"/>
        </w:trPr>
        <w:tc>
          <w:tcPr>
            <w:tcW w:w="3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28,366</w:t>
            </w:r>
          </w:p>
        </w:tc>
      </w:tr>
      <w:tr>
        <w:trPr>
          <w:trHeight w:val="20"/>
        </w:trPr>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Goodwill:</w:t>
      </w:r>
    </w:p>
    <w:p>
      <w:pPr>
        <w:spacing w:after="0" w:line="227"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We assign goodwill based on </w:t>
      </w:r>
      <w:r>
        <w:rPr>
          <w:rFonts w:ascii="Times New Roman" w:cs="Times New Roman" w:eastAsia="Times New Roman" w:hAnsi="Times New Roman"/>
          <w:sz w:val="18"/>
          <w:szCs w:val="18"/>
          <w:i w:val="1"/>
          <w:iCs w:val="1"/>
          <w:color w:val="auto"/>
        </w:rPr>
        <w:t>reporting unit</w:t>
      </w:r>
      <w:r>
        <w:rPr>
          <w:rFonts w:ascii="Times New Roman" w:cs="Times New Roman" w:eastAsia="Times New Roman" w:hAnsi="Times New Roman"/>
          <w:sz w:val="18"/>
          <w:szCs w:val="18"/>
          <w:color w:val="auto"/>
        </w:rPr>
        <w:t xml:space="preserve"> (as that term is defined in ASC Topic 350-20-20,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which corresponds to our operating segments. All of our net goodwill relates to our Security Products segment and was generated from acquisitions relating to our Security Products segment prior to 2001. We test for goodwill impairment at the reporting unit level. In accordance with the requirements of ASC Topic 350-20-20, we review goodwill for each of our reporting units for impairment during the third quarter of each year or when circumstances arise that indicate an impairment might be present.</w:t>
      </w:r>
    </w:p>
    <w:p>
      <w:pPr>
        <w:spacing w:after="0" w:line="18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2022, 2023 and 2024, our goodwill was reviewed for impairment only in the third quarter of each year in connection with our annual testing date. No impairment was indicated as part of such annual reviews of goodwill. As permitted by GAAP, during each of 2022, 2023 and 2024 we used the qualitative assessment of ASC 350-20-35 for our annual impairment test and determined it was not necessary to perform the quantitative goodwill impairment test.</w:t>
      </w:r>
    </w:p>
    <w:p>
      <w:pPr>
        <w:spacing w:after="0" w:line="18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gross goodwill at December 31, 2024 is $33.6 million. Prior to 2022, we recorded a $9.9 million goodwill impairment in our Marine Components segment resulting in a net consolidated carrying amount of $23.7 million. There have been no changes in the carrying amount of our goodwill during the past three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payable and accrued liabilities: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3"/>
        </w:trPr>
        <w:tc>
          <w:tcPr>
            <w:tcW w:w="4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6"/>
        </w:trPr>
        <w:tc>
          <w:tcPr>
            <w:tcW w:w="4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4"/>
          </w:tcPr>
          <w:p>
            <w:pPr>
              <w:jc w:val="right"/>
              <w:ind w:right="81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3,016</w:t>
            </w: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9,794</w:t>
            </w: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tooling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Advances from customers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r>
      <w:tr>
        <w:trPr>
          <w:trHeight w:val="216"/>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r>
      <w:tr>
        <w:trPr>
          <w:trHeight w:val="209"/>
        </w:trPr>
        <w:tc>
          <w:tcPr>
            <w:tcW w:w="4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14,971</w:t>
            </w:r>
          </w:p>
        </w:tc>
      </w:tr>
      <w:tr>
        <w:trPr>
          <w:trHeight w:val="20"/>
        </w:trPr>
        <w:tc>
          <w:tcPr>
            <w:tcW w:w="4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and the difference between such provision for income taxes and the amount that would be expected using the U.S. federal statutory income tax rate of 21% are presented below. All of our pre-tax income relates to operations in the United States.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1"/>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Currently payable</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40" w:type="dxa"/>
            <w:vAlign w:val="bottom"/>
          </w:tcPr>
          <w:p>
            <w:pPr>
              <w:spacing w:after="0"/>
              <w:rPr>
                <w:sz w:val="18"/>
                <w:szCs w:val="18"/>
                <w:color w:val="auto"/>
              </w:rPr>
            </w:pP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8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Expected tax expense, at the U.S. federal statutory</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8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income tax rate of 21%</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40" w:type="dxa"/>
            <w:vAlign w:val="bottom"/>
          </w:tcPr>
          <w:p>
            <w:pPr>
              <w:spacing w:after="0"/>
              <w:rPr>
                <w:sz w:val="21"/>
                <w:szCs w:val="21"/>
                <w:color w:val="auto"/>
              </w:rPr>
            </w:pP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jc w:val="right"/>
              <w:ind w:right="267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Income taxes allocable to other comprehensive income (loss) related to marketable securities was insignificant in 2022, 2023 and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2" w:name="page43"/>
    <w:bookmarkEnd w:id="42"/>
    <w:p>
      <w:pPr>
        <w:ind w:left="700"/>
        <w:spacing w:after="0"/>
        <w:rPr>
          <w:sz w:val="20"/>
          <w:szCs w:val="20"/>
          <w:color w:val="auto"/>
        </w:rPr>
      </w:pPr>
      <w:r>
        <w:rPr>
          <w:rFonts w:ascii="Times New Roman" w:cs="Times New Roman" w:eastAsia="Times New Roman" w:hAnsi="Times New Roman"/>
          <w:sz w:val="18"/>
          <w:szCs w:val="18"/>
          <w:color w:val="auto"/>
        </w:rPr>
        <w:t>The components of the net deferred tax liability are summarized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09"/>
        </w:trPr>
        <w:tc>
          <w:tcPr>
            <w:tcW w:w="4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6"/>
        </w:trPr>
        <w:tc>
          <w:tcPr>
            <w:tcW w:w="4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7"/>
                <w:szCs w:val="17"/>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temporary differences related to:</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tcPr>
          <w:p>
            <w:pPr>
              <w:spacing w:after="0"/>
              <w:rPr>
                <w:sz w:val="18"/>
                <w:szCs w:val="18"/>
                <w:color w:val="auto"/>
              </w:rPr>
            </w:pPr>
          </w:p>
        </w:tc>
        <w:tc>
          <w:tcPr>
            <w:tcW w:w="4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w:t>
            </w: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 and other deductible differences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1,225</w:t>
            </w: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(1,693)</w:t>
            </w: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taxable differences</w:t>
            </w:r>
          </w:p>
        </w:tc>
        <w:tc>
          <w:tcPr>
            <w:tcW w:w="10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09"/>
        </w:trPr>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noncurrent deferred tax liability</w:t>
            </w:r>
          </w:p>
        </w:tc>
        <w:tc>
          <w:tcPr>
            <w:tcW w:w="10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w:t>
            </w:r>
          </w:p>
        </w:tc>
      </w:tr>
      <w:tr>
        <w:trPr>
          <w:trHeight w:val="20"/>
        </w:trPr>
        <w:tc>
          <w:tcPr>
            <w:tcW w:w="4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and Contran file income tax returns in U.S. federal and various state and local jurisdictions. Our income tax returns prior to 2021 are generally considered closed to examination by applicable tax authorities.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 equity:</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tcBorders>
              <w:bottom w:val="single" w:sz="8" w:color="auto"/>
            </w:tcBorders>
            <w:gridSpan w:val="5"/>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12,380,657</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Acquired</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Retired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78,900</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12,307,157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12,313,757</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12,318,557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12,318,557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 repurchases and cancellations. </w:t>
      </w:r>
      <w:r>
        <w:rPr>
          <w:rFonts w:ascii="Times New Roman" w:cs="Times New Roman" w:eastAsia="Times New Roman" w:hAnsi="Times New Roman"/>
          <w:sz w:val="18"/>
          <w:szCs w:val="18"/>
          <w:color w:val="auto"/>
        </w:rPr>
        <w:t>Prior to 2022, our board of directors authorized various repurchases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generally use cash on hand to acquire the shares. Repurchased shares will be added to our treasury and cancelled. During 2022, we acquired 78,900 shares of our Class A common stock for an aggregate amount of approximately $1.7 million under prior repurchase authorizations. Of these shares, 70,000 shares were purchased in a market transaction, and 8,900 shares were purchased from two of our affiliates in two separate private transactions that were also approved in advance by our independent directors. We cancelled these treasury shares and allocated their costs to common stock at par value and additional paid-in-capital. We made no treasury purchases during 2023 or 2024. At December 31, 2024, 523,647 shares were available for purchase under these authorizations.</w:t>
      </w:r>
    </w:p>
    <w:p>
      <w:pPr>
        <w:spacing w:after="0" w:line="19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Incentive compensation plan. </w:t>
      </w:r>
      <w:r>
        <w:rPr>
          <w:rFonts w:ascii="Times New Roman" w:cs="Times New Roman" w:eastAsia="Times New Roman" w:hAnsi="Times New Roman"/>
          <w:sz w:val="18"/>
          <w:szCs w:val="18"/>
          <w:color w:val="auto"/>
        </w:rPr>
        <w:t>We have a share-based incentive compensation plan pursuant to which an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up to 200,000 shares of our Class A common stock can be awarded to non-employee members of our board of directors. All of the Class A common shares we issued in 2022, 2023 and 2024 were issued under this plan. At December 31, 2024, 119,650 shares were available for award under this plan.</w:t>
      </w:r>
    </w:p>
    <w:p>
      <w:pPr>
        <w:spacing w:after="0" w:line="180"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We paid regular quarterly dividends of $.25 per share during 2022 and 2023 and $.30 per share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Additionally, cash dividends also include a $1.75 per share special dividend in 2022 and a $2.00 per share special dividend in 2024. Declaration and payment of future dividends and the amount thereof, if any, is discretionary and</w:t>
      </w:r>
    </w:p>
    <w:p>
      <w:pPr>
        <w:sectPr>
          <w:pgSz w:w="11900" w:h="16838" w:orient="portrait"/>
          <w:cols w:equalWidth="0" w:num="1">
            <w:col w:w="9019"/>
          </w:cols>
          <w:pgMar w:left="1440" w:top="1269"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3" w:name="page44"/>
    <w:bookmarkEnd w:id="43"/>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dependent upon our results of operations, financial condition, cash requirements for our businesses, contractual requirements and restrictions and other factors deemed relevant by our board of directors.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be deemed to be controlled by Ms. Lisa Simmons and the Family Trust. See Note 1. Corporations that may be deemed to be controlled by or affiliated with these individuals sometimes engage in (a) intercorporate transactions such as guarantees, management and expense sharing arrangements, shared fee arrangements, joint ventures, partnerships, loans, options, advances of funds on open account, and sales, leases and exchanges of assets, including securities issued by both related and unrelated parties and (b) 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 publicly-held minority equity interest in another related party. We continuously consider, review and evaluate, and understand that Contran and related entities consider, review and evaluate such transactions. Depending upon the business, tax and other objectives then relevant, it is possible that we might be a party to one or more such transactions in the future.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While certain of these loans may be of a lesser credit quality than cash equivalent instruments otherwise available to us, we believe we have evaluated the credit risks in the terms of the applicable loans. In this regard, prior to 2022, we entered into an unsecured revolving demand promissory note with Valhi under which, as amended, we have agreed to loan Valhi up to $25 million. Our loan to Valhi, as amended, bears interest at prime plus 1.00%, payable quarterly, with all principal due on demand, but in any event no earlier than December 31, 2026. Loans made to Valhi at any time under the agreement are at our discretion. At the end of our fiscal year in 2023 and 2024, the outstanding principal balance receivable from Valhi under the promissory note was $10.6 million and $9.3 million, respectively. Interest income (including unused commitment fees) on our loan to Valhi was $1.0 million in 2022, $1.2 million in 2023 and $1.0 million in 2024.</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an Intercorporate Service Agreement (“ISA”) with Contran, employees of Contran perform certain management, tax planning, financial, legal and administrative services for us on a fee basis. Such fees are based upon the compensation of individual Contran employees providing services for us and/or estimates of time devoted to our affairs by such persons. Because of the number of companies affiliated with Contran, we believe we benefit from cost savings and economies of scale gained by not having certain management, financial and administrative staffs duplicated at each entity, thus allowing certain individuals to provide services to multiple companies but only be compensated by one entity. We negotiate ISA fees annually and agreements renew quarterly. Fees pursuant to these agreements aggregated $3.4 million 2022, $3.1 million in 2023 and $3.2 in 2024.</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Contran and certain of its subsidiaries and affiliates, including us, purchase certain of their insurance policies and risk management services as a group, with the costs of the jointly-owned policies and services being apportioned among the participating companies. Tall Pines Insurance Company (“Tall Pines”), a subsidiary of Valhi, underwrites certain insurance policies for Contran and certain of its subsidiaries and affiliates, including us. Tall Pines purchases reinsurance from highly rated (as determined by A.M. Best or other internationally recognized ratings agency) third-party insurance carriers for substantially all of the risks it underwrites. Consistent with insurance industry practices, Tall Pines receives commissions from the reinsurance underwriters and/or assesses fees for certain of the policies that it underwrites. We paid $3.3 million in 2022 and $3.4 million in each of 2023 and 2024 under the group insurance program, which amounts principally represent insurance premiums, including $1.0 million in 2022 and $1.1 million in each of 2023 and 2024, respectively, for policies written by Tall Pines. Amounts paid under the group insurance program also include payments to insurers or reinsurers for the reimbursement of claims within our applicable deductible or retention ranges that such insurers and reinsurers paid to third parties on our behalf, as well as amounts for claims and risk management services and various other third-party fees and expenses incurred by the program. We expect these relationships will continue in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4" w:name="page45"/>
    <w:bookmarkEnd w:id="44"/>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With respect to certain of such jointly-owned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justifies the risk associated with the potential for any uninsured loss.</w:t>
      </w:r>
    </w:p>
    <w:p>
      <w:pPr>
        <w:spacing w:after="0" w:line="17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party to a tax sharing agreement with Contran and NL providing for the allocation of tax liabilities and tax payments as described in Note 1. Under applicable law, we, as well as every other member of the Contran Tax Group, are each jointly and severally liable for the aggregate federal income tax liability of Contran and the other companies included in the Contran Tax Group for all periods in which we are included in the Contran Tax Group. NL has agreed, however, to indemnify us for any liability for income taxes of the Contran Tax Group in excess of our tax liability in accordance with the tax sharing agreement.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We are involved, from time to time, in various environmental, contractual, product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(or intellectual property), employment and other claims and disputes incidental to our business. At least quarterly our management discusses and evaluates the status of any pending litigation to which we are a party. The factors considered in such evaluation include, among other things, the nature of such pending cases, the status of such pending cases, the advice of legal counsel and our experience in similar cases (if any). Based on such evaluations, we make a determination as to whether we believe (i) it is probable a loss has been incurred, and if so if the amount of such loss (or range of loss) is reasonably estimable, or (ii) it is reasonably possible but not probable a loss has been incurred, and if so if the amount of such loss (or range of loss) is reasonably estimable, or (iii) the probability a loss has been incurred is remote. We have not accrued any amounts for litigation matters because it is not reasonably possible we have incurred a loss that would be material to our consolidated financial position, results of operations or liquidity.</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Environmental matters and litigation</w:t>
      </w:r>
      <w:r>
        <w:rPr>
          <w:rFonts w:ascii="Times New Roman" w:cs="Times New Roman" w:eastAsia="Times New Roman" w:hAnsi="Times New Roman"/>
          <w:sz w:val="18"/>
          <w:szCs w:val="18"/>
          <w:color w:val="auto"/>
        </w:rPr>
        <w:t>. Our operations are governed by various federal,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laws and regulations. Our policy is to comply with environmental laws and regulations at all of our facilities and to continually strive to improve environmental performance in association with applicable industry initiatives. From time to time, we may be subject to environmental regulatory enforcement under various statutes, resolution of which typically involves the establishment of compliance programs. We believe our operations are in substantial compliance with applicable requirements of environmental laws.</w:t>
      </w:r>
    </w:p>
    <w:p>
      <w:pPr>
        <w:spacing w:after="0" w:line="18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From time to time, we undergo examinations of our income tax returns, and tax authorities have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propose tax deficiencies. We believe we have adequately provided accruals for additional income taxes and related interest expense which may ultimately result from such examinations and we believe that the ultimate disposition of all such examinations should not have a material adverse effect on our consolidated financial position, results of operations or liquidity.</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Concentration of credit risk</w:t>
      </w:r>
      <w:r>
        <w:rPr>
          <w:rFonts w:ascii="Times New Roman" w:cs="Times New Roman" w:eastAsia="Times New Roman" w:hAnsi="Times New Roman"/>
          <w:sz w:val="18"/>
          <w:szCs w:val="18"/>
          <w:color w:val="auto"/>
        </w:rPr>
        <w:t>. Our products are sold primarily in North America to original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Our ten largest customers accounted for approximately 52% of consolidated sales in 2022 and 2023 and 47% in 2024. One customer of the Security Products segment accounted for 14% of consolidated sales in 2022, 24% in 2023 (of which 11% related to a non-recurring pilot project) and 21% in 2024. One customer of the Marine Components segment accounted for 12% of consolidated sales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w:t>
      </w: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3 for information on how we determine the fair value of our marketable securities.</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instruments that are not carried at fair value but which require fair value disclosure:</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3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6"/>
        </w:trPr>
        <w:tc>
          <w:tcPr>
            <w:tcW w:w="3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45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60,782</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60,782</w:t>
            </w: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Due to their near-term maturities, the carrying amounts of accounts receivable and accounts payable are considered equivalent to fair value. See Notes 4 and 7.</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Recent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ASU requires public companies to disclose significant segment expenses and other segment items on an annual and interim basis. The ASU also mandates public companies to provide all segment disclosures currently required annually in interim periods. Public companies are also required to disclose the title and position of the CODM and explain how the CODM uses the reported measure of segment profit or loss in assessing segment performance and allocation resources. We adopted the ASU during the year ended December 31, 2024. See Note 2.</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Pending Adoption</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ASU requires additional annual disclosure and disaggregation for the rate reconciliation,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and income tax expense by federal, state and non-U.S. tax jurisdictions. In addition, the standard increases the disclosure requirements for items included in the rate reconciliation that meet a quantitative threshold. The ASU is effective for us beginning with our 2025 Annual Report. The ASU may be applied prospectively; however, entities have the option to apply it retrospectively. We are in the process of evaluating the additional disclosure requirements.</w:t>
      </w:r>
    </w:p>
    <w:p>
      <w:pPr>
        <w:spacing w:after="0" w:line="18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The ASU requires additional information about specific expense categories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6" w:name="page47"/>
    <w:bookmarkEnd w:id="46"/>
    <w:p>
      <w:pPr>
        <w:ind w:left="7800"/>
        <w:spacing w:after="0"/>
        <w:rPr>
          <w:sz w:val="20"/>
          <w:szCs w:val="20"/>
          <w:color w:val="auto"/>
        </w:rPr>
      </w:pPr>
      <w:r>
        <w:rPr>
          <w:rFonts w:ascii="Times New Roman" w:cs="Times New Roman" w:eastAsia="Times New Roman" w:hAnsi="Times New Roman"/>
          <w:sz w:val="18"/>
          <w:szCs w:val="18"/>
          <w:color w:val="auto"/>
          <w:highlight w:val="white"/>
        </w:rPr>
        <w:drawing>
          <wp:anchor simplePos="0" relativeHeight="251657728" behindDoc="1" locked="0" layoutInCell="0" allowOverlap="1">
            <wp:simplePos x="0" y="0"/>
            <wp:positionH relativeFrom="page">
              <wp:posOffset>587375</wp:posOffset>
            </wp:positionH>
            <wp:positionV relativeFrom="page">
              <wp:posOffset>116840</wp:posOffset>
            </wp:positionV>
            <wp:extent cx="6373495" cy="9176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6373495" cy="9176385"/>
                    </a:xfrm>
                    <a:prstGeom prst="rect">
                      <a:avLst/>
                    </a:prstGeom>
                    <a:noFill/>
                  </pic:spPr>
                </pic:pic>
              </a:graphicData>
            </a:graphic>
          </wp:anchor>
        </w:drawing>
        <w:t>Exhibit 10.5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UNSECURED REVOLVING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DEMAND PROMISSORY NOTE</w:t>
      </w:r>
    </w:p>
    <w:p>
      <w:pPr>
        <w:spacing w:after="0" w:line="9" w:lineRule="exact"/>
        <w:rPr>
          <w:sz w:val="20"/>
          <w:szCs w:val="20"/>
          <w:color w:val="auto"/>
        </w:rPr>
      </w:pPr>
    </w:p>
    <w:p>
      <w:pPr>
        <w:ind w:left="32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highlight w:val="white"/>
        </w:rPr>
        <w:t>$25,000,000.00</w:t>
      </w:r>
      <w:r>
        <w:rPr>
          <w:sz w:val="20"/>
          <w:szCs w:val="20"/>
          <w:color w:val="auto"/>
        </w:rPr>
        <w:tab/>
      </w:r>
      <w:r>
        <w:rPr>
          <w:rFonts w:ascii="Times New Roman" w:cs="Times New Roman" w:eastAsia="Times New Roman" w:hAnsi="Times New Roman"/>
          <w:sz w:val="17"/>
          <w:szCs w:val="17"/>
          <w:b w:val="1"/>
          <w:bCs w:val="1"/>
          <w:color w:val="auto"/>
          <w:highlight w:val="white"/>
        </w:rPr>
        <w:t>December 31, 2024</w:t>
      </w:r>
    </w:p>
    <w:p>
      <w:pPr>
        <w:spacing w:after="0" w:line="200" w:lineRule="exact"/>
        <w:rPr>
          <w:sz w:val="20"/>
          <w:szCs w:val="20"/>
          <w:color w:val="auto"/>
        </w:rPr>
      </w:pPr>
    </w:p>
    <w:p>
      <w:pPr>
        <w:spacing w:after="0" w:line="246" w:lineRule="exact"/>
        <w:rPr>
          <w:sz w:val="20"/>
          <w:szCs w:val="20"/>
          <w:color w:val="auto"/>
        </w:rPr>
      </w:pPr>
    </w:p>
    <w:p>
      <w:pPr>
        <w:jc w:val="both"/>
        <w:ind w:left="320" w:right="3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i w:val="1"/>
          <w:iCs w:val="1"/>
          <w:color w:val="auto"/>
        </w:rPr>
        <w:t>Promise to Pay</w:t>
      </w:r>
      <w:r>
        <w:rPr>
          <w:rFonts w:ascii="Times New Roman" w:cs="Times New Roman" w:eastAsia="Times New Roman" w:hAnsi="Times New Roman"/>
          <w:sz w:val="18"/>
          <w:szCs w:val="18"/>
          <w:color w:val="auto"/>
        </w:rPr>
        <w:t>. For and in consideration of value received, the undersigned, V</w:t>
      </w:r>
      <w:r>
        <w:rPr>
          <w:rFonts w:ascii="Times New Roman" w:cs="Times New Roman" w:eastAsia="Times New Roman" w:hAnsi="Times New Roman"/>
          <w:sz w:val="12"/>
          <w:szCs w:val="12"/>
          <w:color w:val="auto"/>
        </w:rPr>
        <w:t>alhi</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duly organized under the laws of the state of Delaware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promises to pay, in lawful money of the United States of America, to the order of COMPX INTERNATIONAL INC., a corporation duly organized under the laws of the state of Delaware (“</w:t>
      </w:r>
      <w:r>
        <w:rPr>
          <w:rFonts w:ascii="Times New Roman" w:cs="Times New Roman" w:eastAsia="Times New Roman" w:hAnsi="Times New Roman"/>
          <w:sz w:val="18"/>
          <w:szCs w:val="18"/>
          <w:i w:val="1"/>
          <w:iCs w:val="1"/>
          <w:color w:val="auto"/>
        </w:rPr>
        <w:t>CompX</w:t>
      </w:r>
      <w:r>
        <w:rPr>
          <w:rFonts w:ascii="Times New Roman" w:cs="Times New Roman" w:eastAsia="Times New Roman" w:hAnsi="Times New Roman"/>
          <w:sz w:val="18"/>
          <w:szCs w:val="18"/>
          <w:color w:val="auto"/>
        </w:rPr>
        <w:t>”), or the holder hereof (as applicable, CompX or such holder shall be referred to as the “</w:t>
      </w:r>
      <w:r>
        <w:rPr>
          <w:rFonts w:ascii="Times New Roman" w:cs="Times New Roman" w:eastAsia="Times New Roman" w:hAnsi="Times New Roman"/>
          <w:sz w:val="18"/>
          <w:szCs w:val="18"/>
          <w:i w:val="1"/>
          <w:iCs w:val="1"/>
          <w:color w:val="auto"/>
        </w:rPr>
        <w:t>Noteholder</w:t>
      </w:r>
      <w:r>
        <w:rPr>
          <w:rFonts w:ascii="Times New Roman" w:cs="Times New Roman" w:eastAsia="Times New Roman" w:hAnsi="Times New Roman"/>
          <w:sz w:val="18"/>
          <w:szCs w:val="18"/>
          <w:color w:val="auto"/>
        </w:rPr>
        <w:t>”), the principal sum of TWENTY-FIVE MILLION and NO/100ths United States Dollars ($25,000,000.00) or such lesser amount as shall equal the unpaid principal amount of the loan made by the Noteholder to Borrower together with accrued and unpaid interest on the unpaid principal balance from time to time pursuant to the terms of this Unsecured Revolving Demand Promissory Note, as it may be amended from time to time (this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This Note shall be unsecured and will bear interest on the terms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below. Capitalized terms not otherwise defined shall have the meanings given to such terms in </w:t>
      </w:r>
      <w:r>
        <w:rPr>
          <w:rFonts w:ascii="Times New Roman" w:cs="Times New Roman" w:eastAsia="Times New Roman" w:hAnsi="Times New Roman"/>
          <w:sz w:val="18"/>
          <w:szCs w:val="18"/>
          <w:b w:val="1"/>
          <w:bCs w:val="1"/>
          <w:color w:val="auto"/>
        </w:rPr>
        <w:t>Section 19</w:t>
      </w:r>
      <w:r>
        <w:rPr>
          <w:rFonts w:ascii="Times New Roman" w:cs="Times New Roman" w:eastAsia="Times New Roman" w:hAnsi="Times New Roman"/>
          <w:sz w:val="18"/>
          <w:szCs w:val="18"/>
          <w:color w:val="auto"/>
        </w:rPr>
        <w:t xml:space="preserve"> of this Note.</w:t>
      </w:r>
    </w:p>
    <w:p>
      <w:pPr>
        <w:spacing w:after="0" w:line="176" w:lineRule="exact"/>
        <w:rPr>
          <w:sz w:val="20"/>
          <w:szCs w:val="20"/>
          <w:color w:val="auto"/>
        </w:rPr>
      </w:pPr>
    </w:p>
    <w:p>
      <w:pPr>
        <w:jc w:val="both"/>
        <w:ind w:left="320" w:right="319" w:firstLine="64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Section </w:t>
      </w:r>
      <w:r>
        <w:rPr>
          <w:rFonts w:ascii="Times New Roman" w:cs="Times New Roman" w:eastAsia="Times New Roman" w:hAnsi="Times New Roman"/>
          <w:sz w:val="21"/>
          <w:szCs w:val="21"/>
          <w:b w:val="1"/>
          <w:bCs w:val="1"/>
          <w:color w:val="auto"/>
        </w:rPr>
        <w:t>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Amendment and Restatement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renews, replaces, amends and restates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the Unsecured Revolving Demand Promissory Note dated December 31, 2023 in the original principal amount of $25,000,000.00 payable to the order of the Noteholder and executed by the Borrower (the “</w:t>
      </w:r>
      <w:r>
        <w:rPr>
          <w:rFonts w:ascii="Times New Roman" w:cs="Times New Roman" w:eastAsia="Times New Roman" w:hAnsi="Times New Roman"/>
          <w:sz w:val="18"/>
          <w:szCs w:val="18"/>
          <w:i w:val="1"/>
          <w:iCs w:val="1"/>
          <w:color w:val="auto"/>
        </w:rPr>
        <w:t>Prior Note”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320" w:right="319" w:firstLine="186"/>
        <w:spacing w:after="0" w:line="252" w:lineRule="auto"/>
        <w:rPr>
          <w:sz w:val="20"/>
          <w:szCs w:val="20"/>
          <w:color w:val="auto"/>
        </w:rPr>
      </w:pPr>
      <w:r>
        <w:rPr>
          <w:rFonts w:ascii="Times New Roman" w:cs="Times New Roman" w:eastAsia="Times New Roman" w:hAnsi="Times New Roman"/>
          <w:sz w:val="18"/>
          <w:szCs w:val="18"/>
          <w:color w:val="auto"/>
        </w:rPr>
        <w:t>As of the close of business on December 31, 2024, the unpaid principal balance of the Prior Note was $9,300,000.00, the accrued and unpaid interest thereon was nil and the accrued and unpaid commitment fee thereon was nil, which is the unpaid principal, accrued and unpaid interest and accrued and unpaid commitment fee owed under this Note as of the close of business on the date of this Note. This Note contains the entire understanding between the Noteholder and the Borrower with respect to the transactions contemplated hereby and supersedes all other instruments, agreements and understandings between the Noteholder and the Borrower with respect to the subject matter of this Note</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left="320" w:right="339" w:firstLine="648"/>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Section </w:t>
      </w:r>
      <w:r>
        <w:rPr>
          <w:rFonts w:ascii="Times New Roman" w:cs="Times New Roman" w:eastAsia="Times New Roman" w:hAnsi="Times New Roman"/>
          <w:sz w:val="21"/>
          <w:szCs w:val="21"/>
          <w:b w:val="1"/>
          <w:bCs w:val="1"/>
          <w:color w:val="auto"/>
        </w:rPr>
        <w:t>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Place of Payment</w:t>
      </w:r>
      <w:r>
        <w:rPr>
          <w:rFonts w:ascii="Times New Roman" w:cs="Times New Roman" w:eastAsia="Times New Roman" w:hAnsi="Times New Roman"/>
          <w:sz w:val="18"/>
          <w:szCs w:val="18"/>
          <w:color w:val="auto"/>
        </w:rPr>
        <w:t>. All payments will be made at Noteholder’s address at Three Lincoln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Centre, 5430 LBJ Freeway, Suite 1700, Dallas, Texas 75240-2620, Attention: Treasurer, or such other place as the Noteholder may from time to time appoint in writing.</w:t>
      </w:r>
    </w:p>
    <w:p>
      <w:pPr>
        <w:spacing w:after="0" w:line="171" w:lineRule="exact"/>
        <w:rPr>
          <w:sz w:val="20"/>
          <w:szCs w:val="20"/>
          <w:color w:val="auto"/>
        </w:rPr>
      </w:pPr>
    </w:p>
    <w:p>
      <w:pPr>
        <w:jc w:val="both"/>
        <w:ind w:left="320" w:right="3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i w:val="1"/>
          <w:iCs w:val="1"/>
          <w:color w:val="auto"/>
        </w:rPr>
        <w:t>Payments</w:t>
      </w:r>
      <w:r>
        <w:rPr>
          <w:rFonts w:ascii="Times New Roman" w:cs="Times New Roman" w:eastAsia="Times New Roman" w:hAnsi="Times New Roman"/>
          <w:sz w:val="18"/>
          <w:szCs w:val="18"/>
          <w:color w:val="auto"/>
        </w:rPr>
        <w:t>. The unpaid principal balance of this Note and any accrued and unpaid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thereon shall be due and payable on the Final Payment Date. Prior to the Final Payment Date, any accrued and unpaid interest on an unpaid principal balance shall be paid in arrears quarterly on the last day of each March, June, September and December, commencing March 31, 2025. All payments on this Note shall be applied first to accrued and unpaid interest, next to accrued interest not yet payable and then to principal. If any payment of principal or interest on this Note shall become due on a day that is not a Business Day, such payment shall be made on the next succeeding Business Day and the payment shall be the amount owed on the original payment date.</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i w:val="1"/>
          <w:iCs w:val="1"/>
          <w:color w:val="auto"/>
        </w:rPr>
        <w:t>Prepayments</w:t>
      </w:r>
      <w:r>
        <w:rPr>
          <w:rFonts w:ascii="Times New Roman" w:cs="Times New Roman" w:eastAsia="Times New Roman" w:hAnsi="Times New Roman"/>
          <w:sz w:val="18"/>
          <w:szCs w:val="18"/>
          <w:color w:val="auto"/>
        </w:rPr>
        <w:t>. This Note may be prepaid in part or in full at any time without penalty.</w:t>
      </w:r>
    </w:p>
    <w:p>
      <w:pPr>
        <w:spacing w:after="0" w:line="225" w:lineRule="exact"/>
        <w:rPr>
          <w:sz w:val="20"/>
          <w:szCs w:val="20"/>
          <w:color w:val="auto"/>
        </w:rPr>
      </w:pPr>
    </w:p>
    <w:p>
      <w:pPr>
        <w:jc w:val="both"/>
        <w:ind w:left="320" w:right="3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i w:val="1"/>
          <w:iCs w:val="1"/>
          <w:color w:val="auto"/>
        </w:rPr>
        <w:t>Borrowings</w:t>
      </w:r>
      <w:r>
        <w:rPr>
          <w:rFonts w:ascii="Times New Roman" w:cs="Times New Roman" w:eastAsia="Times New Roman" w:hAnsi="Times New Roman"/>
          <w:sz w:val="18"/>
          <w:szCs w:val="18"/>
          <w:color w:val="auto"/>
        </w:rPr>
        <w:t>. Prior to the Final Payment Date, Noteholder expressly authorizes Borrower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 repay and re-borrow principal under this Note in increments of $100,000 on a daily basis so long as:</w:t>
      </w:r>
    </w:p>
    <w:p>
      <w:pPr>
        <w:spacing w:after="0" w:line="154" w:lineRule="exact"/>
        <w:rPr>
          <w:sz w:val="20"/>
          <w:szCs w:val="20"/>
          <w:color w:val="auto"/>
        </w:rPr>
      </w:pPr>
    </w:p>
    <w:p>
      <w:pPr>
        <w:ind w:left="1620" w:hanging="655"/>
        <w:spacing w:after="0"/>
        <w:tabs>
          <w:tab w:leader="none" w:pos="16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aggregate outstanding principal balance does not exceed $25,000,000.00; and</w:t>
      </w:r>
    </w:p>
    <w:p>
      <w:pPr>
        <w:spacing w:after="0" w:line="25" w:lineRule="exact"/>
        <w:rPr>
          <w:rFonts w:ascii="Times New Roman" w:cs="Times New Roman" w:eastAsia="Times New Roman" w:hAnsi="Times New Roman"/>
          <w:sz w:val="22"/>
          <w:szCs w:val="22"/>
          <w:color w:val="auto"/>
        </w:rPr>
      </w:pPr>
    </w:p>
    <w:p>
      <w:pPr>
        <w:ind w:left="1620" w:hanging="655"/>
        <w:spacing w:after="0" w:line="206" w:lineRule="auto"/>
        <w:tabs>
          <w:tab w:leader="none" w:pos="16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Event of Default has occurred and is continuing.</w:t>
      </w:r>
    </w:p>
    <w:p>
      <w:pPr>
        <w:spacing w:after="0" w:line="210" w:lineRule="exact"/>
        <w:rPr>
          <w:sz w:val="20"/>
          <w:szCs w:val="20"/>
          <w:color w:val="auto"/>
        </w:rPr>
      </w:pPr>
    </w:p>
    <w:p>
      <w:pPr>
        <w:jc w:val="both"/>
        <w:ind w:left="320" w:right="319"/>
        <w:spacing w:after="0" w:line="284" w:lineRule="auto"/>
        <w:rPr>
          <w:sz w:val="20"/>
          <w:szCs w:val="20"/>
          <w:color w:val="auto"/>
        </w:rPr>
      </w:pPr>
      <w:r>
        <w:rPr>
          <w:rFonts w:ascii="Times New Roman" w:cs="Times New Roman" w:eastAsia="Times New Roman" w:hAnsi="Times New Roman"/>
          <w:sz w:val="18"/>
          <w:szCs w:val="18"/>
          <w:i w:val="1"/>
          <w:iCs w:val="1"/>
          <w:color w:val="auto"/>
        </w:rPr>
        <w:t>Notwithstanding anything else in this Note, in no event will Noteholder be required to lend money to Borrower under this Note and loans under this Note shall be at the sole and absolute discretion of Noteholder.</w:t>
      </w:r>
    </w:p>
    <w:p>
      <w:pPr>
        <w:spacing w:after="0" w:line="156" w:lineRule="exact"/>
        <w:rPr>
          <w:sz w:val="20"/>
          <w:szCs w:val="20"/>
          <w:color w:val="auto"/>
        </w:rPr>
      </w:pPr>
    </w:p>
    <w:p>
      <w:pPr>
        <w:jc w:val="both"/>
        <w:ind w:left="320" w:right="3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The unpaid principal balance of this Note shall bear interest at the rate per annum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Prime Rate plus one percent (1.00%). In the event that an Event of Default occurs and is continuing, the unpaid principal amount shall bear interest from the Event of Default at the rate per annum of the Prime Rate plus four percent (4.00%) until such time as the Event of Default is cured. Accrued interest on the unpaid principal of this Note shall be computed on the basis of a 365- or 366-day year for actual days (including the first, but excluding the last day) elapsed, but in no event shall such computation result in an amount of accrued interest that would exceed accrued interest on the unpaid principal balance during the same period at the Maximum Rate. Notwithstanding anything to the contrary, this Note is expressly limited so that in no contingency or event whatsoever shall the amount paid or agreed to be paid to the Noteholder exceed the Maximum Rate. If, from any circumstances whatsoever, the Noteholder shall ever receive as interest an amount that would exceed the Maximum Rate, such amount that would be excessive</w:t>
      </w:r>
    </w:p>
    <w:p>
      <w:pPr>
        <w:spacing w:after="0" w:line="92" w:lineRule="exact"/>
        <w:rPr>
          <w:sz w:val="20"/>
          <w:szCs w:val="20"/>
          <w:color w:val="auto"/>
        </w:rPr>
      </w:pPr>
    </w:p>
    <w:p>
      <w:pPr>
        <w:ind w:left="320"/>
        <w:spacing w:after="0"/>
        <w:tabs>
          <w:tab w:leader="none" w:pos="7820" w:val="left"/>
        </w:tabs>
        <w:rPr>
          <w:sz w:val="20"/>
          <w:szCs w:val="20"/>
          <w:color w:val="auto"/>
        </w:rPr>
      </w:pPr>
      <w:r>
        <w:rPr>
          <w:rFonts w:ascii="Times New Roman" w:cs="Times New Roman" w:eastAsia="Times New Roman" w:hAnsi="Times New Roman"/>
          <w:sz w:val="14"/>
          <w:szCs w:val="14"/>
          <w:color w:val="auto"/>
          <w:highlight w:val="white"/>
        </w:rPr>
        <w:t>c:\users\mdowning\appdata\roaming\rivet\crossfire\metadatacache_crossfireword10380\cix_ex10_5</w:t>
      </w:r>
      <w:r>
        <w:rPr>
          <w:sz w:val="20"/>
          <w:szCs w:val="20"/>
          <w:color w:val="auto"/>
        </w:rPr>
        <w:tab/>
      </w:r>
      <w:r>
        <w:rPr>
          <w:rFonts w:ascii="Times New Roman" w:cs="Times New Roman" w:eastAsia="Times New Roman" w:hAnsi="Times New Roman"/>
          <w:sz w:val="17"/>
          <w:szCs w:val="17"/>
          <w:color w:val="auto"/>
          <w:highlight w:val="white"/>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504825</wp:posOffset>
            </wp:positionV>
            <wp:extent cx="65665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47" w:name="page48"/>
    <w:bookmarkEnd w:id="47"/>
    <w:p>
      <w:pPr>
        <w:jc w:val="both"/>
        <w:ind w:left="320" w:right="319"/>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8799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6373495" cy="8799195"/>
                    </a:xfrm>
                    <a:prstGeom prst="rect">
                      <a:avLst/>
                    </a:prstGeom>
                    <a:noFill/>
                  </pic:spPr>
                </pic:pic>
              </a:graphicData>
            </a:graphic>
          </wp:anchor>
        </w:drawing>
        <w:t>interest shall be applied to the reduction of the unpaid principal balance and not to the payment of interest, and if the principal amount of this Note is paid in full, any remaining excess shall be paid to Borrower, and in such event, the Noteholder shall not be subject to any penalties provided by any laws for contracting for, charging, taking, reserving or receiving interest in excess of the highest lawful rate permissible under applicable law. All sums paid or agreed to be paid to Noteholder for the use, forbearance or detention of the indebtedness of the Borrower to Noteholder shall, to the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Maximum Rate. If at any time the Contract Rate is limited to the Maximum Rate, any subsequent reductions in the Contract Rate shall not reduce the rate of interest on this Note below the Maximum Rate until the total amount of interest accrued equals the amount of interest that would have accrued if the Contract Rate had not been limited by the Maximum Rate. In the event that, upon the Final Payment Date, the total amount of interest paid or accrued on this Note is less than the amount of interest that would have accrued if the Contract Rate had not been limited by the Maximum Rate, then at such time, to the extent permitted by law, in addition to the principal and any other amounts Borrower owes to the Noteholder, the Borrower shall pay to the Noteholder an amount equal to the difference between: (i) the lesser of the amount of interest that would have accrued if the Contract Rate had not been limited by the Maximum Rate or the amount of interest that would have accrued if the Maximum Rate had at all times been in effect; and (ii) the amount of interest actually paid on this Note.</w:t>
      </w:r>
    </w:p>
    <w:p>
      <w:pPr>
        <w:spacing w:after="0" w:line="188" w:lineRule="exact"/>
        <w:rPr>
          <w:sz w:val="20"/>
          <w:szCs w:val="20"/>
          <w:color w:val="auto"/>
        </w:rPr>
      </w:pPr>
    </w:p>
    <w:p>
      <w:pPr>
        <w:jc w:val="both"/>
        <w:ind w:left="320" w:right="3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8. Fees and Expenses</w:t>
      </w:r>
      <w:r>
        <w:rPr>
          <w:rFonts w:ascii="Times New Roman" w:cs="Times New Roman" w:eastAsia="Times New Roman" w:hAnsi="Times New Roman"/>
          <w:sz w:val="18"/>
          <w:szCs w:val="18"/>
          <w:color w:val="auto"/>
        </w:rPr>
        <w:t>. On the last day of each March, June, September and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commencing March 31, 2023, and on the Final Payment Date, Borrower shall pay to Noteholder the Unused Commitment Fee for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Borrower will not owe any Unused Commitment Fee for any part of such period (prorated as applicable) that the Noteholder is a net borrower of money from the Borrower. In addition, Borrower and any guarantor jointly and severally agree to pay on the Final Payment Date to Noteholder any other cost or expense reasonably incurred by Noteholder in connection with Noteholder’s commitment to Borrower pursuant to the terms of this Note, including without limitation any other cost reasonably incurred by Noteholder pursuant to the terms of any credit facility of Noteholder.</w:t>
      </w:r>
    </w:p>
    <w:p>
      <w:pPr>
        <w:spacing w:after="0" w:line="185" w:lineRule="exact"/>
        <w:rPr>
          <w:sz w:val="20"/>
          <w:szCs w:val="20"/>
          <w:color w:val="auto"/>
        </w:rPr>
      </w:pPr>
    </w:p>
    <w:p>
      <w:pPr>
        <w:jc w:val="both"/>
        <w:ind w:left="320" w:right="3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i w:val="1"/>
          <w:iCs w:val="1"/>
          <w:color w:val="auto"/>
        </w:rPr>
        <w:t>Remedy</w:t>
      </w:r>
      <w:r>
        <w:rPr>
          <w:rFonts w:ascii="Times New Roman" w:cs="Times New Roman" w:eastAsia="Times New Roman" w:hAnsi="Times New Roman"/>
          <w:sz w:val="18"/>
          <w:szCs w:val="18"/>
          <w:color w:val="auto"/>
        </w:rPr>
        <w:t>. Upon the occurrence and during the continuation of an Event of Default,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Noteholder shall have all of the rights and remedies provided in the applicable Uniform Commercial Code, this Note or any other agreement among Borrower and in favor of the Noteholder, as well as those rights and remedies provided by any other applicable law, rule or regulation. In conjunction with and in addition to the foregoing rights and remedies of the Noteholder, the Noteholder may declare all indebtedness due under this Note, although otherwise unmatured, to be due and payable immediately without notice or demand whatsoever. All rights and remedies of the Noteholder are cumulative and may be exercised singly or concurrently. The failure to exercise any right or remedy will not be a waiver of such right or remedy.</w:t>
      </w:r>
    </w:p>
    <w:p>
      <w:pPr>
        <w:spacing w:after="0" w:line="185" w:lineRule="exact"/>
        <w:rPr>
          <w:sz w:val="20"/>
          <w:szCs w:val="20"/>
          <w:color w:val="auto"/>
        </w:rPr>
      </w:pPr>
    </w:p>
    <w:p>
      <w:pPr>
        <w:jc w:val="both"/>
        <w:ind w:left="320" w:right="3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i w:val="1"/>
          <w:iCs w:val="1"/>
          <w:color w:val="auto"/>
        </w:rPr>
        <w:t>Right of Offset</w:t>
      </w:r>
      <w:r>
        <w:rPr>
          <w:rFonts w:ascii="Times New Roman" w:cs="Times New Roman" w:eastAsia="Times New Roman" w:hAnsi="Times New Roman"/>
          <w:sz w:val="18"/>
          <w:szCs w:val="18"/>
          <w:color w:val="auto"/>
        </w:rPr>
        <w:t>. The Noteholder shall have the right of offset against amounts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by the Noteholder now or in the future to Borrower against amounts due under this Note.</w:t>
      </w:r>
    </w:p>
    <w:p>
      <w:pPr>
        <w:spacing w:after="0" w:line="155" w:lineRule="exact"/>
        <w:rPr>
          <w:sz w:val="20"/>
          <w:szCs w:val="20"/>
          <w:color w:val="auto"/>
        </w:rPr>
      </w:pPr>
    </w:p>
    <w:p>
      <w:pPr>
        <w:jc w:val="both"/>
        <w:ind w:left="320" w:right="3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i w:val="1"/>
          <w:iCs w:val="1"/>
          <w:color w:val="auto"/>
        </w:rPr>
        <w:t>Record of Outstanding Indebtedness</w:t>
      </w:r>
      <w:r>
        <w:rPr>
          <w:rFonts w:ascii="Times New Roman" w:cs="Times New Roman" w:eastAsia="Times New Roman" w:hAnsi="Times New Roman"/>
          <w:sz w:val="18"/>
          <w:szCs w:val="18"/>
          <w:color w:val="auto"/>
        </w:rPr>
        <w:t>. The date and amount of each repayment of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outstanding under this Note or interest thereon shall be recorded by Noteholder in its records. The principal balance outstanding and all accrued or accruing interest owed under this Note as recorded by Noteholder in its records shall be the best evidence of the principal balance outstanding and all accrued or accruing interest owed under this Note;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failure of Noteholder to so record or any error in so recording or computing any such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owed shall not limit or otherwise affect the obligations of the Borrower under this Note to repay the principal balance outstanding and all accrued or accruing interest.</w:t>
      </w:r>
    </w:p>
    <w:p>
      <w:pPr>
        <w:spacing w:after="0" w:line="183" w:lineRule="exact"/>
        <w:rPr>
          <w:sz w:val="20"/>
          <w:szCs w:val="20"/>
          <w:color w:val="auto"/>
        </w:rPr>
      </w:pPr>
    </w:p>
    <w:p>
      <w:pPr>
        <w:jc w:val="both"/>
        <w:ind w:left="320" w:right="33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Borrower and each surety, endorser, guarantor, and other party now or subsequently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liable for payment of this Note, severally waive demand, presentment for payment, notice of nonpayment, notice of dishonor, protest, notice of protest, notice of the intention to accelerate, notice of acceleration, diligence in collecting or bringing suit against any party liable on this Note, and further agree to any and all extensions, renewals, modifications, partial payments, substitutions of evidence of indebtedness, and the taking or release of any collateral with or without notice before or after demand by the Noteholder for payment under this Note.</w:t>
      </w:r>
    </w:p>
    <w:p>
      <w:pPr>
        <w:spacing w:after="0" w:line="182" w:lineRule="exact"/>
        <w:rPr>
          <w:sz w:val="20"/>
          <w:szCs w:val="20"/>
          <w:color w:val="auto"/>
        </w:rPr>
      </w:pPr>
    </w:p>
    <w:p>
      <w:pPr>
        <w:jc w:val="both"/>
        <w:ind w:left="320" w:right="33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i w:val="1"/>
          <w:iCs w:val="1"/>
          <w:color w:val="auto"/>
        </w:rPr>
        <w:t>Costs and Attorneys’ Fees</w:t>
      </w:r>
      <w:r>
        <w:rPr>
          <w:rFonts w:ascii="Times New Roman" w:cs="Times New Roman" w:eastAsia="Times New Roman" w:hAnsi="Times New Roman"/>
          <w:sz w:val="18"/>
          <w:szCs w:val="18"/>
          <w:color w:val="auto"/>
        </w:rPr>
        <w:t>. In addition to any other amounts payable to Noteholder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terms of this Note, in the event the Noteholder incurs costs in collecting on this Note, this Note is placed in the hands of any attorney for collection, suit is filed on this Note or if proceedings are had in bankruptcy, receivership,</w:t>
      </w:r>
    </w:p>
    <w:p>
      <w:pPr>
        <w:spacing w:after="0" w:line="86" w:lineRule="exact"/>
        <w:rPr>
          <w:sz w:val="20"/>
          <w:szCs w:val="20"/>
          <w:color w:val="auto"/>
        </w:rPr>
      </w:pPr>
    </w:p>
    <w:p>
      <w:pPr>
        <w:ind w:left="320"/>
        <w:spacing w:after="0"/>
        <w:tabs>
          <w:tab w:leader="none" w:pos="7820" w:val="left"/>
        </w:tabs>
        <w:rPr>
          <w:sz w:val="20"/>
          <w:szCs w:val="20"/>
          <w:color w:val="auto"/>
        </w:rPr>
      </w:pPr>
      <w:r>
        <w:rPr>
          <w:rFonts w:ascii="Times New Roman" w:cs="Times New Roman" w:eastAsia="Times New Roman" w:hAnsi="Times New Roman"/>
          <w:sz w:val="14"/>
          <w:szCs w:val="14"/>
          <w:color w:val="auto"/>
          <w:highlight w:val="white"/>
        </w:rPr>
        <w:t>c:\users\mdowning\appdata\roaming\rivet\crossfire\metadatacache_crossfireword10380\cix_ex10_5</w:t>
      </w:r>
      <w:r>
        <w:rPr>
          <w:sz w:val="20"/>
          <w:szCs w:val="20"/>
          <w:color w:val="auto"/>
        </w:rPr>
        <w:tab/>
      </w:r>
      <w:r>
        <w:rPr>
          <w:rFonts w:ascii="Times New Roman" w:cs="Times New Roman" w:eastAsia="Times New Roman" w:hAnsi="Times New Roman"/>
          <w:sz w:val="17"/>
          <w:szCs w:val="17"/>
          <w:color w:val="auto"/>
          <w:highlight w:val="white"/>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504825</wp:posOffset>
            </wp:positionV>
            <wp:extent cx="65665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019"/>
          </w:cols>
          <w:pgMar w:left="1440" w:top="1309" w:right="1440" w:bottom="1440" w:gutter="0" w:footer="0" w:header="0"/>
        </w:sectPr>
      </w:pPr>
    </w:p>
    <w:bookmarkStart w:id="48" w:name="page49"/>
    <w:bookmarkEnd w:id="48"/>
    <w:p>
      <w:pPr>
        <w:jc w:val="both"/>
        <w:ind w:left="320" w:right="33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8936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6373495" cy="8936355"/>
                    </a:xfrm>
                    <a:prstGeom prst="rect">
                      <a:avLst/>
                    </a:prstGeom>
                    <a:noFill/>
                  </pic:spPr>
                </pic:pic>
              </a:graphicData>
            </a:graphic>
          </wp:anchor>
        </w:drawing>
        <w:t>reorganization, or other legal or judicial proceedings for the collection of this Note, Borrower and any guarantor jointly and severally agree to pay on demand to the Noteholder all expenses and costs of collection, including, but not limited to, reasonable attorneys’ fees incurred in connection with any such collection, suit, or proceeding, in addition to the principal and interest then due.</w:t>
      </w:r>
    </w:p>
    <w:p>
      <w:pPr>
        <w:spacing w:after="0" w:line="176" w:lineRule="exact"/>
        <w:rPr>
          <w:sz w:val="20"/>
          <w:szCs w:val="20"/>
          <w:color w:val="auto"/>
        </w:rPr>
      </w:pPr>
    </w:p>
    <w:p>
      <w:pPr>
        <w:jc w:val="both"/>
        <w:ind w:left="320" w:right="3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i w:val="1"/>
          <w:iCs w:val="1"/>
          <w:color w:val="auto"/>
        </w:rPr>
        <w:t>Time of Essence</w:t>
      </w:r>
      <w:r>
        <w:rPr>
          <w:rFonts w:ascii="Times New Roman" w:cs="Times New Roman" w:eastAsia="Times New Roman" w:hAnsi="Times New Roman"/>
          <w:sz w:val="18"/>
          <w:szCs w:val="18"/>
          <w:color w:val="auto"/>
        </w:rPr>
        <w:t>. Time is of the essence with respect to all of Borrower’s obligations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under this Note.</w:t>
      </w:r>
    </w:p>
    <w:p>
      <w:pPr>
        <w:spacing w:after="0" w:line="155" w:lineRule="exact"/>
        <w:rPr>
          <w:sz w:val="20"/>
          <w:szCs w:val="20"/>
          <w:color w:val="auto"/>
        </w:rPr>
      </w:pPr>
    </w:p>
    <w:p>
      <w:pPr>
        <w:jc w:val="both"/>
        <w:ind w:left="320" w:right="33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i w:val="1"/>
          <w:iCs w:val="1"/>
          <w:color w:val="auto"/>
        </w:rPr>
        <w:t>Jurisdiction and Venue</w:t>
      </w:r>
      <w:r>
        <w:rPr>
          <w:rFonts w:ascii="Times New Roman" w:cs="Times New Roman" w:eastAsia="Times New Roman" w:hAnsi="Times New Roman"/>
          <w:sz w:val="18"/>
          <w:szCs w:val="18"/>
          <w:color w:val="auto"/>
        </w:rPr>
        <w:t>. THIS NOTE SHALL BE GOVERNED BY AND CONSTRUED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DOMESTIC LAWS OF THE STATE OF TEXAS, WITHOUT GIVING EFFECT TO ANY CHOICE OF LAW OR CONFLICT OF LAW PROVISION OR RULE (WHETHER OF THE STATE OF TEXAS OR ANY OTHER JURISDICTION) THAT WOULD CAUSE THE APPLICATION OF THE LAWS OF ANY JURISDICTION OTHER THAN THE STATE OF TEXAS. BORROWER CONSENTS TO JURISDICTION IN THE COURTS LOCATED IN DALLAS, TEXAS.</w:t>
      </w:r>
    </w:p>
    <w:p>
      <w:pPr>
        <w:spacing w:after="0" w:line="182" w:lineRule="exact"/>
        <w:rPr>
          <w:sz w:val="20"/>
          <w:szCs w:val="20"/>
          <w:color w:val="auto"/>
        </w:rPr>
      </w:pPr>
    </w:p>
    <w:p>
      <w:pPr>
        <w:jc w:val="both"/>
        <w:ind w:left="320" w:right="3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Any notice or demand required by this Note shall be deemed to have been given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received on the earlier of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when the notice or demand is actually received by the recipient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72 hours after the notice is deposited in the United States mail, certified or registered, with postage prepaid, and addressed to the recipient. The address for giving notice or demand under this Note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to the Noteholder shall be the place of payment specified in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or such other place as the Noteholder may specify in writing to the Borrower and</w:t>
      </w:r>
    </w:p>
    <w:p>
      <w:pPr>
        <w:spacing w:after="0" w:line="3" w:lineRule="exact"/>
        <w:rPr>
          <w:sz w:val="20"/>
          <w:szCs w:val="20"/>
          <w:color w:val="auto"/>
        </w:rPr>
      </w:pPr>
    </w:p>
    <w:p>
      <w:pPr>
        <w:ind w:left="320" w:right="319" w:hanging="3"/>
        <w:spacing w:after="0" w:line="260" w:lineRule="auto"/>
        <w:tabs>
          <w:tab w:leader="none" w:pos="61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Borrower shall be the address below the Borrower’s signature or such other place as the Borrower may specify in writing to the Noteholder.</w:t>
      </w:r>
    </w:p>
    <w:p>
      <w:pPr>
        <w:spacing w:after="0" w:line="177" w:lineRule="exact"/>
        <w:rPr>
          <w:sz w:val="20"/>
          <w:szCs w:val="20"/>
          <w:color w:val="auto"/>
        </w:rPr>
      </w:pPr>
    </w:p>
    <w:p>
      <w:pPr>
        <w:jc w:val="both"/>
        <w:ind w:left="320" w:right="3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i w:val="1"/>
          <w:iCs w:val="1"/>
          <w:color w:val="auto"/>
        </w:rPr>
        <w:t>Amendment or Waiver of Provisions of this Note</w:t>
      </w:r>
      <w:r>
        <w:rPr>
          <w:rFonts w:ascii="Times New Roman" w:cs="Times New Roman" w:eastAsia="Times New Roman" w:hAnsi="Times New Roman"/>
          <w:sz w:val="18"/>
          <w:szCs w:val="18"/>
          <w:color w:val="auto"/>
        </w:rPr>
        <w:t>. No amendment or waiver of any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Note shall in any event be effective unless the same shall be in a writing referring to this Note and signed by the Borrower and the Noteholder. Such amendment or waiver shall be effective only in the specific instance and for the specific purpose for which given. No waiver of any of the provisions of this Note shall be deemed or shall constitute a waiver of any other provisions, whether or not similar, nor shall any waiver constitute a continuing waiver.</w:t>
      </w:r>
    </w:p>
    <w:p>
      <w:pPr>
        <w:spacing w:after="0" w:line="182" w:lineRule="exact"/>
        <w:rPr>
          <w:sz w:val="20"/>
          <w:szCs w:val="20"/>
          <w:color w:val="auto"/>
        </w:rPr>
      </w:pPr>
    </w:p>
    <w:p>
      <w:pPr>
        <w:jc w:val="both"/>
        <w:ind w:left="320" w:right="3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color w:val="auto"/>
        </w:rPr>
        <w:t>. All of the covenants, obligations, promises and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Note made by Borrower shall be binding upon its successors and permitted assigns, as applicable. Notwithstanding the foregoing, Borrower shall not assign this Note or its performance under this Note without the prior written consent of the Noteholder. Noteholder at any time may assign this Note without the consent of Borrower.</w:t>
      </w:r>
    </w:p>
    <w:p>
      <w:pPr>
        <w:spacing w:after="0" w:line="179" w:lineRule="exact"/>
        <w:rPr>
          <w:sz w:val="20"/>
          <w:szCs w:val="20"/>
          <w:color w:val="auto"/>
        </w:rPr>
      </w:pPr>
    </w:p>
    <w:p>
      <w:pPr>
        <w:jc w:val="both"/>
        <w:ind w:left="320" w:right="339"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Note, the following terms shall have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w:t>
      </w:r>
    </w:p>
    <w:p>
      <w:pPr>
        <w:spacing w:after="0" w:line="200" w:lineRule="exact"/>
        <w:rPr>
          <w:sz w:val="20"/>
          <w:szCs w:val="20"/>
          <w:color w:val="auto"/>
        </w:rPr>
      </w:pPr>
    </w:p>
    <w:p>
      <w:pPr>
        <w:spacing w:after="0" w:line="221" w:lineRule="exact"/>
        <w:rPr>
          <w:sz w:val="20"/>
          <w:szCs w:val="20"/>
          <w:color w:val="auto"/>
        </w:rPr>
      </w:pPr>
    </w:p>
    <w:p>
      <w:pPr>
        <w:ind w:left="2260" w:hanging="647"/>
        <w:spacing w:after="0"/>
        <w:tabs>
          <w:tab w:leader="none" w:pos="22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Basis Point</w:t>
      </w:r>
      <w:r>
        <w:rPr>
          <w:rFonts w:ascii="Times New Roman" w:cs="Times New Roman" w:eastAsia="Times New Roman" w:hAnsi="Times New Roman"/>
          <w:sz w:val="18"/>
          <w:szCs w:val="18"/>
          <w:color w:val="auto"/>
        </w:rPr>
        <w:t>” shall mean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1 percent.</w:t>
      </w:r>
    </w:p>
    <w:p>
      <w:pPr>
        <w:spacing w:after="0" w:line="133" w:lineRule="exact"/>
        <w:rPr>
          <w:rFonts w:ascii="Times New Roman" w:cs="Times New Roman" w:eastAsia="Times New Roman" w:hAnsi="Times New Roman"/>
          <w:sz w:val="18"/>
          <w:szCs w:val="18"/>
          <w:b w:val="1"/>
          <w:bCs w:val="1"/>
          <w:color w:val="auto"/>
        </w:rPr>
      </w:pPr>
    </w:p>
    <w:p>
      <w:pPr>
        <w:ind w:left="2260" w:hanging="647"/>
        <w:spacing w:after="0"/>
        <w:tabs>
          <w:tab w:leader="none" w:pos="22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banks are open in the state of Texas.</w:t>
      </w:r>
    </w:p>
    <w:p>
      <w:pPr>
        <w:spacing w:after="0" w:line="225" w:lineRule="exact"/>
        <w:rPr>
          <w:sz w:val="20"/>
          <w:szCs w:val="20"/>
          <w:color w:val="auto"/>
        </w:rPr>
      </w:pPr>
    </w:p>
    <w:p>
      <w:pPr>
        <w:jc w:val="both"/>
        <w:ind w:left="960" w:right="3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Contract Rate</w:t>
      </w:r>
      <w:r>
        <w:rPr>
          <w:rFonts w:ascii="Times New Roman" w:cs="Times New Roman" w:eastAsia="Times New Roman" w:hAnsi="Times New Roman"/>
          <w:sz w:val="18"/>
          <w:szCs w:val="18"/>
          <w:color w:val="auto"/>
        </w:rPr>
        <w:t>” means the amount of any interest (including fees, charges or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amounts that, under applicable law, are deemed interest) contracted for, charged or received by or for the account of Noteholder.</w:t>
      </w:r>
    </w:p>
    <w:p>
      <w:pPr>
        <w:spacing w:after="0" w:line="171"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wherever used herein, means any one of the following events:</w:t>
      </w:r>
    </w:p>
    <w:p>
      <w:pPr>
        <w:spacing w:after="0" w:line="225" w:lineRule="exact"/>
        <w:rPr>
          <w:sz w:val="20"/>
          <w:szCs w:val="20"/>
          <w:color w:val="auto"/>
        </w:rPr>
      </w:pPr>
    </w:p>
    <w:p>
      <w:pPr>
        <w:jc w:val="both"/>
        <w:ind w:left="1620" w:right="3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(i) the Borrower fails to pay any amount due on this Note and/or any fees or sums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under or in connection with this Note after any such payment otherwise becomes due and payable and three Business Days after demand for such payment;</w:t>
      </w:r>
    </w:p>
    <w:p>
      <w:pPr>
        <w:spacing w:after="0" w:line="171" w:lineRule="exact"/>
        <w:rPr>
          <w:sz w:val="20"/>
          <w:szCs w:val="20"/>
          <w:color w:val="auto"/>
        </w:rPr>
      </w:pPr>
    </w:p>
    <w:p>
      <w:pPr>
        <w:jc w:val="both"/>
        <w:ind w:left="1620" w:right="33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(ii) the Borrower otherwise fails to perform or observe any other provision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Note and such breach or failure to perform shall continue for a period of thirty days after notice thereof shall have been given to the Borrower by the Noteholder;</w:t>
      </w:r>
    </w:p>
    <w:p>
      <w:pPr>
        <w:spacing w:after="0" w:line="171" w:lineRule="exact"/>
        <w:rPr>
          <w:sz w:val="20"/>
          <w:szCs w:val="20"/>
          <w:color w:val="auto"/>
        </w:rPr>
      </w:pPr>
    </w:p>
    <w:p>
      <w:pPr>
        <w:jc w:val="both"/>
        <w:ind w:left="1620" w:right="3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(iii) a case shall be commenced against Borrower, or Borrower shall file a 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a case, under any provision of the Federal Bankruptcy Code of 1978, as amended, or shall seek relief under any provision of any other bankruptcy, reorganization, arrangement,</w:t>
      </w:r>
    </w:p>
    <w:p>
      <w:pPr>
        <w:spacing w:after="0" w:line="80" w:lineRule="exact"/>
        <w:rPr>
          <w:sz w:val="20"/>
          <w:szCs w:val="20"/>
          <w:color w:val="auto"/>
        </w:rPr>
      </w:pPr>
    </w:p>
    <w:p>
      <w:pPr>
        <w:ind w:left="320"/>
        <w:spacing w:after="0"/>
        <w:tabs>
          <w:tab w:leader="none" w:pos="7820" w:val="left"/>
        </w:tabs>
        <w:rPr>
          <w:sz w:val="20"/>
          <w:szCs w:val="20"/>
          <w:color w:val="auto"/>
        </w:rPr>
      </w:pPr>
      <w:r>
        <w:rPr>
          <w:rFonts w:ascii="Times New Roman" w:cs="Times New Roman" w:eastAsia="Times New Roman" w:hAnsi="Times New Roman"/>
          <w:sz w:val="14"/>
          <w:szCs w:val="14"/>
          <w:color w:val="auto"/>
          <w:highlight w:val="white"/>
        </w:rPr>
        <w:t>c:\users\mdowning\appdata\roaming\rivet\crossfire\metadatacache_crossfireword10380\cix_ex10_5</w:t>
      </w:r>
      <w:r>
        <w:rPr>
          <w:sz w:val="20"/>
          <w:szCs w:val="20"/>
          <w:color w:val="auto"/>
        </w:rPr>
        <w:tab/>
      </w:r>
      <w:r>
        <w:rPr>
          <w:rFonts w:ascii="Times New Roman" w:cs="Times New Roman" w:eastAsia="Times New Roman" w:hAnsi="Times New Roman"/>
          <w:sz w:val="17"/>
          <w:szCs w:val="17"/>
          <w:color w:val="auto"/>
          <w:highlight w:val="white"/>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504825</wp:posOffset>
            </wp:positionV>
            <wp:extent cx="65665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1309" w:right="1440" w:bottom="1440" w:gutter="0" w:footer="0" w:header="0"/>
        </w:sectPr>
      </w:pPr>
    </w:p>
    <w:bookmarkStart w:id="49" w:name="page50"/>
    <w:bookmarkEnd w:id="49"/>
    <w:p>
      <w:pPr>
        <w:jc w:val="both"/>
        <w:ind w:left="1620" w:right="31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7444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6373495" cy="7444740"/>
                    </a:xfrm>
                    <a:prstGeom prst="rect">
                      <a:avLst/>
                    </a:prstGeom>
                    <a:noFill/>
                  </pic:spPr>
                </pic:pic>
              </a:graphicData>
            </a:graphic>
          </wp:anchor>
        </w:drawing>
        <w:t>insolvency, readjustment of debt, dissolution or liquidation law of any jurisdiction, whether now or hereafter in effect, or shall consent to the filing of any petition against it under such law, or Borrower shall make an assignment for the benefit of its creditors, or shall admit in writing its inability to pay its debts generally as they become due, or shall consent to the appointment of a receiver, trustee or liquidator of Borrower or all or any part of its property; or</w:t>
      </w:r>
    </w:p>
    <w:p>
      <w:pPr>
        <w:spacing w:after="0" w:line="179" w:lineRule="exact"/>
        <w:rPr>
          <w:sz w:val="20"/>
          <w:szCs w:val="20"/>
          <w:color w:val="auto"/>
        </w:rPr>
      </w:pPr>
    </w:p>
    <w:p>
      <w:pPr>
        <w:jc w:val="both"/>
        <w:ind w:left="1620" w:right="3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(iv) an event occurs that, with notice or lapse of time, or both, would become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Events of Default.</w:t>
      </w:r>
    </w:p>
    <w:p>
      <w:pPr>
        <w:spacing w:after="0" w:line="155"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Final Payment Date</w:t>
      </w:r>
      <w:r>
        <w:rPr>
          <w:rFonts w:ascii="Times New Roman" w:cs="Times New Roman" w:eastAsia="Times New Roman" w:hAnsi="Times New Roman"/>
          <w:sz w:val="17"/>
          <w:szCs w:val="17"/>
          <w:color w:val="auto"/>
        </w:rPr>
        <w:t>” shall mean the earlier of:</w:t>
      </w:r>
    </w:p>
    <w:p>
      <w:pPr>
        <w:spacing w:after="0" w:line="229" w:lineRule="exact"/>
        <w:rPr>
          <w:sz w:val="20"/>
          <w:szCs w:val="20"/>
          <w:color w:val="auto"/>
        </w:rPr>
      </w:pPr>
    </w:p>
    <w:p>
      <w:pPr>
        <w:jc w:val="both"/>
        <w:ind w:left="2900" w:right="339" w:hanging="639"/>
        <w:spacing w:after="0" w:line="242" w:lineRule="auto"/>
        <w:tabs>
          <w:tab w:leader="none" w:pos="2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written demand by the Noteholder for payment of all or part of the unpaid principal, the accrued and unpaid interest thereon and the accrued and unpaid commitment fee thereon, but in any event no earlier than December 31, 2026; or</w:t>
      </w:r>
    </w:p>
    <w:p>
      <w:pPr>
        <w:spacing w:after="0" w:line="1" w:lineRule="exact"/>
        <w:rPr>
          <w:rFonts w:ascii="Times New Roman" w:cs="Times New Roman" w:eastAsia="Times New Roman" w:hAnsi="Times New Roman"/>
          <w:sz w:val="22"/>
          <w:szCs w:val="22"/>
          <w:color w:val="auto"/>
        </w:rPr>
      </w:pPr>
    </w:p>
    <w:p>
      <w:pPr>
        <w:ind w:left="2900" w:hanging="639"/>
        <w:spacing w:after="0" w:line="217" w:lineRule="auto"/>
        <w:tabs>
          <w:tab w:leader="none" w:pos="2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acceleration as provided herein.</w:t>
      </w:r>
    </w:p>
    <w:p>
      <w:pPr>
        <w:spacing w:after="0" w:line="208" w:lineRule="exact"/>
        <w:rPr>
          <w:sz w:val="20"/>
          <w:szCs w:val="20"/>
          <w:color w:val="auto"/>
        </w:rPr>
      </w:pPr>
    </w:p>
    <w:p>
      <w:pPr>
        <w:ind w:left="960" w:right="3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shall mean the highest lawful rate permissible under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use, forbearance or detention of money.</w:t>
      </w:r>
    </w:p>
    <w:p>
      <w:pPr>
        <w:spacing w:after="0" w:line="155" w:lineRule="exact"/>
        <w:rPr>
          <w:sz w:val="20"/>
          <w:szCs w:val="20"/>
          <w:color w:val="auto"/>
        </w:rPr>
      </w:pPr>
    </w:p>
    <w:p>
      <w:pPr>
        <w:jc w:val="both"/>
        <w:ind w:left="960" w:right="339" w:firstLine="653"/>
        <w:spacing w:after="0" w:line="268" w:lineRule="auto"/>
        <w:tabs>
          <w:tab w:leader="none" w:pos="225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Prime Rate</w:t>
      </w:r>
      <w:r>
        <w:rPr>
          <w:rFonts w:ascii="Times New Roman" w:cs="Times New Roman" w:eastAsia="Times New Roman" w:hAnsi="Times New Roman"/>
          <w:sz w:val="18"/>
          <w:szCs w:val="18"/>
          <w:color w:val="auto"/>
        </w:rPr>
        <w:t xml:space="preserve">” shall mean the fluctuating interest rate per annum in effect from time to time equal to the base rate on corporate loans as reported as the Prime Rate in the Money Rates column of </w:t>
      </w:r>
      <w:r>
        <w:rPr>
          <w:rFonts w:ascii="Times New Roman" w:cs="Times New Roman" w:eastAsia="Times New Roman" w:hAnsi="Times New Roman"/>
          <w:sz w:val="18"/>
          <w:szCs w:val="18"/>
          <w:i w:val="1"/>
          <w:iCs w:val="1"/>
          <w:color w:val="auto"/>
        </w:rPr>
        <w:t xml:space="preserve">The Wall Street Journal </w:t>
      </w:r>
      <w:r>
        <w:rPr>
          <w:rFonts w:ascii="Times New Roman" w:cs="Times New Roman" w:eastAsia="Times New Roman" w:hAnsi="Times New Roman"/>
          <w:sz w:val="18"/>
          <w:szCs w:val="18"/>
          <w:color w:val="auto"/>
        </w:rPr>
        <w:t>or other reliable source.</w:t>
      </w:r>
    </w:p>
    <w:p>
      <w:pPr>
        <w:spacing w:after="0" w:line="170" w:lineRule="exact"/>
        <w:rPr>
          <w:rFonts w:ascii="Times New Roman" w:cs="Times New Roman" w:eastAsia="Times New Roman" w:hAnsi="Times New Roman"/>
          <w:sz w:val="18"/>
          <w:szCs w:val="18"/>
          <w:b w:val="1"/>
          <w:bCs w:val="1"/>
          <w:color w:val="auto"/>
        </w:rPr>
      </w:pPr>
    </w:p>
    <w:p>
      <w:pPr>
        <w:jc w:val="both"/>
        <w:ind w:left="960" w:right="339" w:firstLine="653"/>
        <w:spacing w:after="0" w:line="268" w:lineRule="auto"/>
        <w:tabs>
          <w:tab w:leader="none" w:pos="225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Unused Commitment Amount</w:t>
      </w:r>
      <w:r>
        <w:rPr>
          <w:rFonts w:ascii="Times New Roman" w:cs="Times New Roman" w:eastAsia="Times New Roman" w:hAnsi="Times New Roman"/>
          <w:sz w:val="18"/>
          <w:szCs w:val="18"/>
          <w:color w:val="auto"/>
        </w:rPr>
        <w:t>” for any period on after the date of this Note shall mean the average on each day of such period of the difference between (A) $25,000,000.00 and (B) the amount of the unpaid principal balance of this Note.</w:t>
      </w:r>
    </w:p>
    <w:p>
      <w:pPr>
        <w:spacing w:after="0" w:line="170" w:lineRule="exact"/>
        <w:rPr>
          <w:rFonts w:ascii="Times New Roman" w:cs="Times New Roman" w:eastAsia="Times New Roman" w:hAnsi="Times New Roman"/>
          <w:sz w:val="18"/>
          <w:szCs w:val="18"/>
          <w:b w:val="1"/>
          <w:bCs w:val="1"/>
          <w:color w:val="auto"/>
        </w:rPr>
      </w:pPr>
    </w:p>
    <w:p>
      <w:pPr>
        <w:jc w:val="both"/>
        <w:ind w:left="960" w:right="319" w:firstLine="653"/>
        <w:spacing w:after="0" w:line="268" w:lineRule="auto"/>
        <w:tabs>
          <w:tab w:leader="none" w:pos="225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Unused Commitment Fee</w:t>
      </w:r>
      <w:r>
        <w:rPr>
          <w:rFonts w:ascii="Times New Roman" w:cs="Times New Roman" w:eastAsia="Times New Roman" w:hAnsi="Times New Roman"/>
          <w:sz w:val="18"/>
          <w:szCs w:val="18"/>
          <w:color w:val="auto"/>
        </w:rPr>
        <w:t>” shall mean the product of (A) 50 Basis Points per annum (pro rated to take into account that the fee is payable quarterly, or such shorter period if applicable) and (B) the Unused Commitment Amount.</w:t>
      </w:r>
    </w:p>
    <w:p>
      <w:pPr>
        <w:spacing w:after="0" w:line="1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alhi</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20"/>
        <w:spacing w:after="0"/>
        <w:tabs>
          <w:tab w:leader="none" w:pos="5000" w:val="left"/>
          <w:tab w:leader="none" w:pos="5940" w:val="left"/>
          <w:tab w:leader="none" w:pos="7080" w:val="left"/>
          <w:tab w:leader="none" w:pos="804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8"/>
          <w:szCs w:val="18"/>
          <w:color w:val="auto"/>
        </w:rPr>
        <w:t>Amy</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Samford</w:t>
      </w:r>
    </w:p>
    <w:p>
      <w:pPr>
        <w:spacing w:after="0" w:line="2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Amy A. Samford</w:t>
      </w:r>
    </w:p>
    <w:p>
      <w:pPr>
        <w:spacing w:after="0" w:line="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5430 LBJ Freeway, Suite 1700</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Dallas, Texas  75240-2620</w:t>
      </w:r>
    </w:p>
    <w:p>
      <w:pPr>
        <w:spacing w:after="0" w:line="328" w:lineRule="exact"/>
        <w:rPr>
          <w:sz w:val="20"/>
          <w:szCs w:val="20"/>
          <w:color w:val="auto"/>
        </w:rPr>
      </w:pPr>
    </w:p>
    <w:p>
      <w:pPr>
        <w:ind w:left="320"/>
        <w:spacing w:after="0"/>
        <w:tabs>
          <w:tab w:leader="none" w:pos="7820" w:val="left"/>
        </w:tabs>
        <w:rPr>
          <w:sz w:val="20"/>
          <w:szCs w:val="20"/>
          <w:color w:val="auto"/>
        </w:rPr>
      </w:pPr>
      <w:r>
        <w:rPr>
          <w:rFonts w:ascii="Times New Roman" w:cs="Times New Roman" w:eastAsia="Times New Roman" w:hAnsi="Times New Roman"/>
          <w:sz w:val="14"/>
          <w:szCs w:val="14"/>
          <w:color w:val="auto"/>
          <w:highlight w:val="white"/>
        </w:rPr>
        <w:t>c:\users\mdowning\appdata\roaming\rivet\crossfire\metadatacache_crossfireword10380\cix_ex10_5</w:t>
      </w:r>
      <w:r>
        <w:rPr>
          <w:sz w:val="20"/>
          <w:szCs w:val="20"/>
          <w:color w:val="auto"/>
        </w:rPr>
        <w:tab/>
      </w:r>
      <w:r>
        <w:rPr>
          <w:rFonts w:ascii="Times New Roman" w:cs="Times New Roman" w:eastAsia="Times New Roman" w:hAnsi="Times New Roman"/>
          <w:sz w:val="17"/>
          <w:szCs w:val="17"/>
          <w:color w:val="auto"/>
          <w:highlight w:val="white"/>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504825</wp:posOffset>
            </wp:positionV>
            <wp:extent cx="65665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1309" w:right="1440" w:bottom="1440" w:gutter="0" w:footer="0" w:header="0"/>
        </w:sectPr>
      </w:pPr>
    </w:p>
    <w:bookmarkStart w:id="50" w:name="page51"/>
    <w:bookmarkEnd w:id="50"/>
    <w:p>
      <w:pPr>
        <w:jc w:val="both"/>
        <w:ind w:left="980" w:right="1000" w:firstLine="64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30384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373495" cy="3038475"/>
                    </a:xfrm>
                    <a:prstGeom prst="rect">
                      <a:avLst/>
                    </a:prstGeom>
                    <a:noFill/>
                  </pic:spPr>
                </pic:pic>
              </a:graphicData>
            </a:graphic>
          </wp:anchor>
        </w:drawing>
        <w:t>As of the date hereof, CompX International Inc., as the Noteholder, hereby agrees that this Note renews, replaces, amends and restates in its entirety the Prior Note, and that the unpaid principal of $9,300,000.00, the accrued and unpaid interest thereon of nil and the accrued and unpaid commitment fee thereon of nil that was owed under the Prior Note as of the close of business on December 31, 2024 are the unpaid principal, the accrued and unpaid interest thereon and the accrued and unpaid commitment fee thereon, respectively, owed under this Note as of the close of business on the date of this Note.</w:t>
      </w:r>
    </w:p>
    <w:p>
      <w:pPr>
        <w:spacing w:after="0" w:line="39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ind w:left="5180"/>
              <w:spacing w:after="0"/>
              <w:rPr>
                <w:sz w:val="20"/>
                <w:szCs w:val="20"/>
                <w:color w:val="auto"/>
              </w:rPr>
            </w:pPr>
            <w:r>
              <w:rPr>
                <w:rFonts w:ascii="Times New Roman" w:cs="Times New Roman" w:eastAsia="Times New Roman" w:hAnsi="Times New Roman"/>
                <w:sz w:val="18"/>
                <w:szCs w:val="18"/>
                <w:color w:val="auto"/>
              </w:rPr>
              <w:t>By:   /s/</w:t>
            </w: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Bryan</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w:t>
            </w:r>
          </w:p>
        </w:tc>
        <w:tc>
          <w:tcPr>
            <w:tcW w:w="1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Hanley</w:t>
            </w:r>
          </w:p>
        </w:tc>
      </w:tr>
      <w:tr>
        <w:trPr>
          <w:trHeight w:val="196"/>
        </w:trPr>
        <w:tc>
          <w:tcPr>
            <w:tcW w:w="5680" w:type="dxa"/>
            <w:vAlign w:val="bottom"/>
          </w:tcPr>
          <w:p>
            <w:pPr>
              <w:spacing w:after="0"/>
              <w:rPr>
                <w:sz w:val="17"/>
                <w:szCs w:val="17"/>
                <w:color w:val="auto"/>
              </w:rPr>
            </w:pPr>
          </w:p>
        </w:tc>
        <w:tc>
          <w:tcPr>
            <w:tcW w:w="1780" w:type="dxa"/>
            <w:vAlign w:val="bottom"/>
            <w:tcBorders>
              <w:top w:val="single" w:sz="8" w:color="auto"/>
              <w:bottom w:val="single" w:sz="8" w:color="auto"/>
            </w:tcBorders>
            <w:gridSpan w:val="2"/>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68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Bryan A. Hanley</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6"/>
        </w:trPr>
        <w:tc>
          <w:tcPr>
            <w:tcW w:w="5680" w:type="dxa"/>
            <w:vAlign w:val="bottom"/>
          </w:tcPr>
          <w:p>
            <w:pPr>
              <w:spacing w:after="0"/>
              <w:rPr>
                <w:sz w:val="20"/>
                <w:szCs w:val="20"/>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8"/>
        </w:trPr>
        <w:tc>
          <w:tcPr>
            <w:tcW w:w="74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highlight w:val="white"/>
              </w:rPr>
              <w:t>c:\users\mdowning\appdata\roaming\rivet\crossfire\metadatacache_crossfireword10380\cix_ex10_5</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highlight w:val="white"/>
              </w:rPr>
              <w:t>Page 5 of 5.</w:t>
            </w:r>
          </w:p>
        </w:tc>
      </w:tr>
      <w:tr>
        <w:trPr>
          <w:trHeight w:val="777"/>
        </w:trPr>
        <w:tc>
          <w:tcPr>
            <w:tcW w:w="5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0340"/>
          </w:cols>
          <w:pgMar w:left="780" w:top="1309" w:right="779" w:bottom="1440" w:gutter="0" w:footer="0" w:header="0"/>
        </w:sectPr>
      </w:pPr>
    </w:p>
    <w:bookmarkStart w:id="51" w:name="page52"/>
    <w:bookmarkEnd w:id="51"/>
    <w:p>
      <w:pPr>
        <w:jc w:val="right"/>
        <w:ind w:right="219"/>
        <w:spacing w:after="0"/>
        <w:rPr>
          <w:sz w:val="20"/>
          <w:szCs w:val="20"/>
          <w:color w:val="auto"/>
        </w:rPr>
      </w:pPr>
      <w:r>
        <w:rPr>
          <w:rFonts w:ascii="Times New Roman" w:cs="Times New Roman" w:eastAsia="Times New Roman" w:hAnsi="Times New Roman"/>
          <w:sz w:val="22"/>
          <w:szCs w:val="22"/>
          <w:color w:val="auto"/>
        </w:rPr>
        <w:t>Exhibit 19.1</w:t>
      </w:r>
    </w:p>
    <w:p>
      <w:pPr>
        <w:spacing w:after="0" w:line="24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color w:val="auto"/>
        </w:rPr>
        <w:t>Adopted March 5, 2025</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CompX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32" w:lineRule="exact"/>
        <w:rPr>
          <w:sz w:val="20"/>
          <w:szCs w:val="20"/>
          <w:color w:val="auto"/>
        </w:rPr>
      </w:pPr>
    </w:p>
    <w:p>
      <w:pPr>
        <w:ind w:left="860" w:hanging="651"/>
        <w:spacing w:after="0"/>
        <w:tabs>
          <w:tab w:leader="none" w:pos="8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24" w:lineRule="exact"/>
        <w:rPr>
          <w:sz w:val="20"/>
          <w:szCs w:val="20"/>
          <w:color w:val="auto"/>
        </w:rPr>
      </w:pPr>
    </w:p>
    <w:p>
      <w:pPr>
        <w:ind w:left="200" w:right="279" w:firstLine="648"/>
        <w:spacing w:after="0" w:line="262" w:lineRule="auto"/>
        <w:rPr>
          <w:sz w:val="20"/>
          <w:szCs w:val="20"/>
          <w:color w:val="auto"/>
        </w:rPr>
      </w:pPr>
      <w:r>
        <w:rPr>
          <w:rFonts w:ascii="Times New Roman" w:cs="Times New Roman" w:eastAsia="Times New Roman" w:hAnsi="Times New Roman"/>
          <w:sz w:val="21"/>
          <w:szCs w:val="21"/>
          <w:color w:val="auto"/>
        </w:rPr>
        <w:t>The board of directors of CompX International Inc. has adopted this Insider Trading Policy (the “Policy”) to promote compliance with U.S. federal, state and foreign securities laws that prohibit certain persons who are aware of material nonpublic information about a company from:</w:t>
      </w:r>
    </w:p>
    <w:p>
      <w:pPr>
        <w:spacing w:after="0" w:line="3" w:lineRule="exact"/>
        <w:rPr>
          <w:sz w:val="20"/>
          <w:szCs w:val="20"/>
          <w:color w:val="auto"/>
        </w:rPr>
      </w:pPr>
    </w:p>
    <w:p>
      <w:pPr>
        <w:ind w:left="200" w:right="399" w:firstLine="9"/>
        <w:spacing w:after="0" w:line="261" w:lineRule="auto"/>
        <w:tabs>
          <w:tab w:leader="none" w:pos="45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transactions in the securities of that company; or (ii) providing material nonpublic information to other persons who may trade on the basis of that information.</w:t>
      </w:r>
    </w:p>
    <w:p>
      <w:pPr>
        <w:spacing w:after="0" w:line="164" w:lineRule="exact"/>
        <w:rPr>
          <w:sz w:val="20"/>
          <w:szCs w:val="20"/>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Persons and Securities Subject to the Policy</w:t>
      </w:r>
    </w:p>
    <w:p>
      <w:pPr>
        <w:spacing w:after="0" w:line="217" w:lineRule="exact"/>
        <w:rPr>
          <w:rFonts w:ascii="Times New Roman" w:cs="Times New Roman" w:eastAsia="Times New Roman" w:hAnsi="Times New Roman"/>
          <w:sz w:val="22"/>
          <w:szCs w:val="22"/>
          <w:b w:val="1"/>
          <w:bCs w:val="1"/>
          <w:color w:val="auto"/>
        </w:rPr>
      </w:pPr>
    </w:p>
    <w:p>
      <w:pPr>
        <w:ind w:left="200" w:right="299" w:firstLine="657"/>
        <w:spacing w:after="0" w:line="251" w:lineRule="auto"/>
        <w:tabs>
          <w:tab w:leader="none" w:pos="149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Policy applies to all </w:t>
      </w:r>
      <w:r>
        <w:rPr>
          <w:rFonts w:ascii="Times New Roman" w:cs="Times New Roman" w:eastAsia="Times New Roman" w:hAnsi="Times New Roman"/>
          <w:sz w:val="22"/>
          <w:szCs w:val="22"/>
          <w:b w:val="1"/>
          <w:bCs w:val="1"/>
          <w:i w:val="1"/>
          <w:iCs w:val="1"/>
          <w:color w:val="auto"/>
        </w:rPr>
        <w:t>officers, directors and employees of the Company</w:t>
      </w:r>
      <w:r>
        <w:rPr>
          <w:rFonts w:ascii="Times New Roman" w:cs="Times New Roman" w:eastAsia="Times New Roman" w:hAnsi="Times New Roman"/>
          <w:sz w:val="22"/>
          <w:szCs w:val="22"/>
          <w:color w:val="auto"/>
        </w:rPr>
        <w:t xml:space="preserve"> (as defined below).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spacing w:after="0" w:line="175" w:lineRule="exact"/>
        <w:rPr>
          <w:rFonts w:ascii="Times New Roman" w:cs="Times New Roman" w:eastAsia="Times New Roman" w:hAnsi="Times New Roman"/>
          <w:sz w:val="22"/>
          <w:szCs w:val="22"/>
          <w:color w:val="auto"/>
        </w:rPr>
      </w:pPr>
    </w:p>
    <w:p>
      <w:pPr>
        <w:ind w:left="200" w:right="239" w:firstLine="657"/>
        <w:spacing w:after="0" w:line="260" w:lineRule="auto"/>
        <w:tabs>
          <w:tab w:leader="none" w:pos="149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definition of the term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in this Policy helps determine </w:t>
      </w:r>
      <w:r>
        <w:rPr>
          <w:rFonts w:ascii="Times New Roman" w:cs="Times New Roman" w:eastAsia="Times New Roman" w:hAnsi="Times New Roman"/>
          <w:sz w:val="22"/>
          <w:szCs w:val="22"/>
          <w:b w:val="1"/>
          <w:bCs w:val="1"/>
          <w:i w:val="1"/>
          <w:iCs w:val="1"/>
          <w:color w:val="auto"/>
        </w:rPr>
        <w:t>who</w:t>
      </w:r>
      <w:r>
        <w:rPr>
          <w:rFonts w:ascii="Times New Roman" w:cs="Times New Roman" w:eastAsia="Times New Roman" w:hAnsi="Times New Roman"/>
          <w:sz w:val="22"/>
          <w:szCs w:val="22"/>
          <w:color w:val="auto"/>
        </w:rPr>
        <w:t xml:space="preserve"> is subject to this Policy. As used in this Policy, “Company” means CompX International Inc. and its subsidiaries.</w:t>
      </w:r>
    </w:p>
    <w:p>
      <w:pPr>
        <w:spacing w:after="0" w:line="163" w:lineRule="exact"/>
        <w:rPr>
          <w:rFonts w:ascii="Times New Roman" w:cs="Times New Roman" w:eastAsia="Times New Roman" w:hAnsi="Times New Roman"/>
          <w:sz w:val="22"/>
          <w:szCs w:val="22"/>
          <w:color w:val="auto"/>
        </w:rPr>
      </w:pPr>
    </w:p>
    <w:p>
      <w:pPr>
        <w:ind w:left="200" w:right="359" w:firstLine="657"/>
        <w:spacing w:after="0" w:line="301" w:lineRule="auto"/>
        <w:tabs>
          <w:tab w:leader="none" w:pos="1496"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definition of the term </w:t>
      </w:r>
      <w:r>
        <w:rPr>
          <w:rFonts w:ascii="Times New Roman" w:cs="Times New Roman" w:eastAsia="Times New Roman" w:hAnsi="Times New Roman"/>
          <w:sz w:val="21"/>
          <w:szCs w:val="21"/>
          <w:b w:val="1"/>
          <w:bCs w:val="1"/>
          <w:i w:val="1"/>
          <w:iCs w:val="1"/>
          <w:color w:val="auto"/>
        </w:rPr>
        <w:t>Issuer</w:t>
      </w:r>
      <w:r>
        <w:rPr>
          <w:rFonts w:ascii="Times New Roman" w:cs="Times New Roman" w:eastAsia="Times New Roman" w:hAnsi="Times New Roman"/>
          <w:sz w:val="21"/>
          <w:szCs w:val="21"/>
          <w:color w:val="auto"/>
        </w:rPr>
        <w:t xml:space="preserve"> in this Policy helps determine </w:t>
      </w:r>
      <w:r>
        <w:rPr>
          <w:rFonts w:ascii="Times New Roman" w:cs="Times New Roman" w:eastAsia="Times New Roman" w:hAnsi="Times New Roman"/>
          <w:sz w:val="21"/>
          <w:szCs w:val="21"/>
          <w:b w:val="1"/>
          <w:bCs w:val="1"/>
          <w:i w:val="1"/>
          <w:iCs w:val="1"/>
          <w:color w:val="auto"/>
        </w:rPr>
        <w:t>what securities</w:t>
      </w:r>
      <w:r>
        <w:rPr>
          <w:rFonts w:ascii="Times New Roman" w:cs="Times New Roman" w:eastAsia="Times New Roman" w:hAnsi="Times New Roman"/>
          <w:sz w:val="21"/>
          <w:szCs w:val="21"/>
          <w:color w:val="auto"/>
        </w:rPr>
        <w:t xml:space="preserve"> are subject to this Policy. Each of the following is an “Issuer” within the meaning of this Policy:</w:t>
      </w:r>
    </w:p>
    <w:p>
      <w:pPr>
        <w:spacing w:after="0" w:line="129" w:lineRule="exact"/>
        <w:rPr>
          <w:sz w:val="20"/>
          <w:szCs w:val="20"/>
          <w:color w:val="auto"/>
        </w:rPr>
      </w:pPr>
    </w:p>
    <w:p>
      <w:pPr>
        <w:ind w:left="1500" w:hanging="643"/>
        <w:spacing w:after="0"/>
        <w:tabs>
          <w:tab w:leader="none" w:pos="15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w:t>
      </w:r>
    </w:p>
    <w:p>
      <w:pPr>
        <w:spacing w:after="0" w:line="27"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publicly traded affiliates of the Company:</w:t>
      </w:r>
    </w:p>
    <w:p>
      <w:pPr>
        <w:spacing w:after="0" w:line="3"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NL Industries, Inc. (and its wholly owned subsidiaries); and</w:t>
      </w:r>
    </w:p>
    <w:p>
      <w:pPr>
        <w:spacing w:after="0" w:line="3" w:lineRule="exact"/>
        <w:rPr>
          <w:rFonts w:ascii="Times New Roman" w:cs="Times New Roman" w:eastAsia="Times New Roman" w:hAnsi="Times New Roman"/>
          <w:sz w:val="22"/>
          <w:szCs w:val="22"/>
          <w:color w:val="auto"/>
        </w:rPr>
      </w:pPr>
    </w:p>
    <w:p>
      <w:pPr>
        <w:ind w:left="1900" w:hanging="395"/>
        <w:spacing w:after="0"/>
        <w:tabs>
          <w:tab w:leader="none" w:pos="190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Valhi, Inc. (and its wholly owned subsidiaries).</w:t>
      </w: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(See Section 11.d(iv) below regarding overlapping insider trading policies.)</w:t>
      </w:r>
    </w:p>
    <w:p>
      <w:pPr>
        <w:spacing w:after="0" w:line="220" w:lineRule="exact"/>
        <w:rPr>
          <w:sz w:val="20"/>
          <w:szCs w:val="20"/>
          <w:color w:val="auto"/>
        </w:rPr>
      </w:pPr>
    </w:p>
    <w:p>
      <w:pPr>
        <w:ind w:left="200" w:right="239" w:firstLine="657"/>
        <w:spacing w:after="0" w:line="250" w:lineRule="auto"/>
        <w:tabs>
          <w:tab w:leader="none" w:pos="149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Policy, “Securities” of a company means that company’s securities, including its common stock, options to purchase common stock, or any other type of securities (equity or debt) that such company may issue, including (but not limited to) preferred stock, debentures and warrants, as well as derivative securities that are not issued by it, such as exchange-traded put or call options or swaps relating to such company’s securities.</w:t>
      </w:r>
    </w:p>
    <w:p>
      <w:pPr>
        <w:spacing w:after="0" w:line="176"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Transactions Subject to the Policy</w:t>
      </w:r>
    </w:p>
    <w:p>
      <w:pPr>
        <w:spacing w:after="0" w:line="223"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This Policy applies to all transactions (including purchases, sales and gifts) in Securities of</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Company and (as applicable) of other Issuers.</w:t>
      </w:r>
    </w:p>
    <w:p>
      <w:pPr>
        <w:spacing w:after="0" w:line="192" w:lineRule="exact"/>
        <w:rPr>
          <w:sz w:val="20"/>
          <w:szCs w:val="20"/>
          <w:color w:val="auto"/>
        </w:rPr>
      </w:pPr>
    </w:p>
    <w:p>
      <w:pPr>
        <w:ind w:left="860" w:hanging="651"/>
        <w:spacing w:after="0"/>
        <w:tabs>
          <w:tab w:leader="none" w:pos="86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Individual Responsibility</w:t>
      </w:r>
    </w:p>
    <w:p>
      <w:pPr>
        <w:spacing w:after="0" w:line="224" w:lineRule="exact"/>
        <w:rPr>
          <w:sz w:val="20"/>
          <w:szCs w:val="20"/>
          <w:color w:val="auto"/>
        </w:rPr>
      </w:pPr>
    </w:p>
    <w:p>
      <w:pPr>
        <w:ind w:left="200" w:right="479" w:firstLine="648"/>
        <w:spacing w:after="0" w:line="295" w:lineRule="auto"/>
        <w:rPr>
          <w:sz w:val="20"/>
          <w:szCs w:val="20"/>
          <w:color w:val="auto"/>
        </w:rPr>
      </w:pPr>
      <w:r>
        <w:rPr>
          <w:rFonts w:ascii="Times New Roman" w:cs="Times New Roman" w:eastAsia="Times New Roman" w:hAnsi="Times New Roman"/>
          <w:sz w:val="21"/>
          <w:szCs w:val="21"/>
          <w:color w:val="auto"/>
        </w:rPr>
        <w:t>Persons subject to this Policy have ethical and legal obligations to maintain the confidentiality of information about the Company and to not engage in transactions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617855</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2" w:name="page53"/>
    <w:bookmarkEnd w:id="52"/>
    <w:p>
      <w:pPr>
        <w:ind w:left="200" w:right="219"/>
        <w:spacing w:after="0" w:line="245" w:lineRule="auto"/>
        <w:rPr>
          <w:sz w:val="20"/>
          <w:szCs w:val="20"/>
          <w:color w:val="auto"/>
        </w:rPr>
      </w:pPr>
      <w:r>
        <w:rPr>
          <w:rFonts w:ascii="Times New Roman" w:cs="Times New Roman" w:eastAsia="Times New Roman" w:hAnsi="Times New Roman"/>
          <w:sz w:val="22"/>
          <w:szCs w:val="22"/>
          <w:color w:val="auto"/>
        </w:rPr>
        <w:t>of the Company, or (as applicable) of other Issuers, while in possession of material nonpublic information. Persons subject to this policy must not engage in illegal trading and must avoid the appearance of improper trading. Each individual is responsible for making sure that they comply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in Section 15 (Consequences of Violations).</w:t>
      </w:r>
    </w:p>
    <w:p>
      <w:pPr>
        <w:spacing w:after="0" w:line="191" w:lineRule="exact"/>
        <w:rPr>
          <w:sz w:val="20"/>
          <w:szCs w:val="20"/>
          <w:color w:val="auto"/>
        </w:rPr>
      </w:pPr>
    </w:p>
    <w:p>
      <w:pPr>
        <w:ind w:left="860" w:hanging="651"/>
        <w:spacing w:after="0"/>
        <w:tabs>
          <w:tab w:leader="none" w:pos="86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of the Policy</w:t>
      </w:r>
    </w:p>
    <w:p>
      <w:pPr>
        <w:spacing w:after="0" w:line="224" w:lineRule="exact"/>
        <w:rPr>
          <w:sz w:val="20"/>
          <w:szCs w:val="20"/>
          <w:color w:val="auto"/>
        </w:rPr>
      </w:pPr>
    </w:p>
    <w:p>
      <w:pPr>
        <w:jc w:val="both"/>
        <w:ind w:left="200" w:right="899" w:firstLine="648"/>
        <w:spacing w:after="0" w:line="295" w:lineRule="auto"/>
        <w:rPr>
          <w:sz w:val="20"/>
          <w:szCs w:val="20"/>
          <w:color w:val="auto"/>
        </w:rPr>
      </w:pPr>
      <w:r>
        <w:rPr>
          <w:rFonts w:ascii="Times New Roman" w:cs="Times New Roman" w:eastAsia="Times New Roman" w:hAnsi="Times New Roman"/>
          <w:sz w:val="21"/>
          <w:szCs w:val="21"/>
          <w:color w:val="auto"/>
        </w:rPr>
        <w:t>The corporate secretary of CompX International Inc. shall serve as the “Compliance Officer” for the purposes of this Policy and may delegate authority to administer the Policy.</w:t>
      </w:r>
    </w:p>
    <w:p>
      <w:pPr>
        <w:spacing w:after="0" w:line="131" w:lineRule="exact"/>
        <w:rPr>
          <w:sz w:val="20"/>
          <w:szCs w:val="20"/>
          <w:color w:val="auto"/>
        </w:rPr>
      </w:pPr>
    </w:p>
    <w:p>
      <w:pPr>
        <w:ind w:left="860" w:hanging="651"/>
        <w:spacing w:after="0"/>
        <w:tabs>
          <w:tab w:leader="none" w:pos="86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Principal Statement of Policy</w:t>
      </w:r>
    </w:p>
    <w:p>
      <w:pPr>
        <w:spacing w:after="0" w:line="223" w:lineRule="exact"/>
        <w:rPr>
          <w:rFonts w:ascii="Times New Roman" w:cs="Times New Roman" w:eastAsia="Times New Roman" w:hAnsi="Times New Roman"/>
          <w:sz w:val="22"/>
          <w:szCs w:val="22"/>
          <w:b w:val="1"/>
          <w:bCs w:val="1"/>
          <w:color w:val="auto"/>
        </w:rPr>
      </w:pPr>
    </w:p>
    <w:p>
      <w:pPr>
        <w:ind w:left="200" w:right="519" w:firstLine="648"/>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Trading in Issuer Securities and Disclosure of Non-public Information</w:t>
      </w:r>
      <w:r>
        <w:rPr>
          <w:rFonts w:ascii="Times New Roman" w:cs="Times New Roman" w:eastAsia="Times New Roman" w:hAnsi="Times New Roman"/>
          <w:sz w:val="22"/>
          <w:szCs w:val="22"/>
          <w:color w:val="auto"/>
        </w:rPr>
        <w:t>. It is the policy of the Company that no director, officer or other employee of the Company (or any other person designated as subject to this Policy) who is aware of material nonpublic information relating to the Company may, directly, or indirectly through family members or other persons or entities:</w:t>
      </w:r>
    </w:p>
    <w:p>
      <w:pPr>
        <w:spacing w:after="0" w:line="180" w:lineRule="exact"/>
        <w:rPr>
          <w:rFonts w:ascii="Times New Roman" w:cs="Times New Roman" w:eastAsia="Times New Roman" w:hAnsi="Times New Roman"/>
          <w:sz w:val="22"/>
          <w:szCs w:val="22"/>
          <w:b w:val="1"/>
          <w:bCs w:val="1"/>
          <w:color w:val="auto"/>
        </w:rPr>
      </w:pPr>
    </w:p>
    <w:p>
      <w:pPr>
        <w:jc w:val="both"/>
        <w:ind w:left="860" w:right="439" w:firstLine="645"/>
        <w:spacing w:after="0" w:line="263" w:lineRule="auto"/>
        <w:tabs>
          <w:tab w:leader="none" w:pos="2156"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transactions in Securities of the Company, or of any other Issuer with respect to which such nonpublic information is also material, in each case except as otherwise specified in this Policy in Section 12 (Rule 10b5-1 Plans);</w:t>
      </w:r>
    </w:p>
    <w:p>
      <w:pPr>
        <w:spacing w:after="0" w:line="167" w:lineRule="exact"/>
        <w:rPr>
          <w:rFonts w:ascii="Times New Roman" w:cs="Times New Roman" w:eastAsia="Times New Roman" w:hAnsi="Times New Roman"/>
          <w:sz w:val="22"/>
          <w:szCs w:val="22"/>
          <w:color w:val="auto"/>
        </w:rPr>
      </w:pPr>
    </w:p>
    <w:p>
      <w:pPr>
        <w:ind w:left="860" w:right="439" w:firstLine="645"/>
        <w:spacing w:after="0" w:line="257" w:lineRule="auto"/>
        <w:tabs>
          <w:tab w:leader="none" w:pos="2156"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that others engage in transactions in any Securities of the Company, or of any other Issuer with respect to which such nonpublic information is also material;</w:t>
      </w:r>
    </w:p>
    <w:p>
      <w:pPr>
        <w:spacing w:after="0" w:line="172" w:lineRule="exact"/>
        <w:rPr>
          <w:rFonts w:ascii="Times New Roman" w:cs="Times New Roman" w:eastAsia="Times New Roman" w:hAnsi="Times New Roman"/>
          <w:sz w:val="22"/>
          <w:szCs w:val="22"/>
          <w:color w:val="auto"/>
        </w:rPr>
      </w:pPr>
    </w:p>
    <w:p>
      <w:pPr>
        <w:ind w:left="860" w:right="459" w:firstLine="645"/>
        <w:spacing w:after="0" w:line="248" w:lineRule="auto"/>
        <w:tabs>
          <w:tab w:leader="none" w:pos="2156"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8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engaged in the above activities.</w:t>
      </w:r>
    </w:p>
    <w:p>
      <w:pPr>
        <w:spacing w:after="0" w:line="214" w:lineRule="exact"/>
        <w:rPr>
          <w:sz w:val="20"/>
          <w:szCs w:val="20"/>
          <w:color w:val="auto"/>
        </w:rPr>
      </w:pPr>
    </w:p>
    <w:p>
      <w:pPr>
        <w:ind w:left="200" w:right="219"/>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u w:val="single" w:color="auto"/>
          <w:color w:val="auto"/>
        </w:rPr>
        <w:t>Important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Please make sure you are familiar with the additional procedural requirements in Sections 11.a and 11.b below, regarding Quarterly Trading Restriction (applicable to all employees, plus officers and directors) and Pre-Clearance Procedures (applicable to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74" w:right="1440" w:bottom="1440" w:gutter="0" w:footer="0" w:header="0"/>
        </w:sectPr>
      </w:pPr>
    </w:p>
    <w:bookmarkStart w:id="53" w:name="page54"/>
    <w:bookmarkEnd w:id="53"/>
    <w:p>
      <w:pPr>
        <w:ind w:left="200" w:right="299" w:firstLine="657"/>
        <w:spacing w:after="0" w:line="248" w:lineRule="auto"/>
        <w:tabs>
          <w:tab w:leader="none" w:pos="149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in Securities of Other Companies</w:t>
      </w:r>
      <w:r>
        <w:rPr>
          <w:rFonts w:ascii="Times New Roman" w:cs="Times New Roman" w:eastAsia="Times New Roman" w:hAnsi="Times New Roman"/>
          <w:sz w:val="22"/>
          <w:szCs w:val="22"/>
          <w:color w:val="auto"/>
        </w:rPr>
        <w:t>. In addition, it is the policy of the Company that no director, officer or other employee of the Company (or any other person designated as subject to this Policy) who learns of material nonpublic information about a publicly traded company (including without limitation any affiliate of the Company not otherwise covered by this Policy) in the course of working or providing services for the Company may engage in transactions in that company’s securities until the information becomes public or is no longer material.</w:t>
      </w:r>
    </w:p>
    <w:p>
      <w:pPr>
        <w:spacing w:after="0" w:line="181" w:lineRule="exact"/>
        <w:rPr>
          <w:rFonts w:ascii="Times New Roman" w:cs="Times New Roman" w:eastAsia="Times New Roman" w:hAnsi="Times New Roman"/>
          <w:sz w:val="22"/>
          <w:szCs w:val="22"/>
          <w:color w:val="auto"/>
        </w:rPr>
      </w:pPr>
    </w:p>
    <w:p>
      <w:pPr>
        <w:ind w:left="200" w:right="239" w:firstLine="657"/>
        <w:spacing w:after="0" w:line="248" w:lineRule="auto"/>
        <w:tabs>
          <w:tab w:leader="none" w:pos="149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Exceptions</w:t>
      </w:r>
      <w:r>
        <w:rPr>
          <w:rFonts w:ascii="Times New Roman" w:cs="Times New Roman" w:eastAsia="Times New Roman" w:hAnsi="Times New Roman"/>
          <w:sz w:val="22"/>
          <w:szCs w:val="22"/>
          <w:color w:val="auto"/>
        </w:rPr>
        <w:t>. There are no exceptions to this Policy, other than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82"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 of Material Nonpublic Information</w:t>
      </w:r>
    </w:p>
    <w:p>
      <w:pPr>
        <w:spacing w:after="0" w:line="223" w:lineRule="exact"/>
        <w:rPr>
          <w:rFonts w:ascii="Times New Roman" w:cs="Times New Roman" w:eastAsia="Times New Roman" w:hAnsi="Times New Roman"/>
          <w:sz w:val="22"/>
          <w:szCs w:val="22"/>
          <w:b w:val="1"/>
          <w:bCs w:val="1"/>
          <w:color w:val="auto"/>
        </w:rPr>
      </w:pPr>
    </w:p>
    <w:p>
      <w:pPr>
        <w:ind w:left="200" w:right="279" w:firstLine="657"/>
        <w:spacing w:after="0" w:line="247" w:lineRule="auto"/>
        <w:tabs>
          <w:tab w:leader="none" w:pos="149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Information</w:t>
      </w:r>
      <w:r>
        <w:rPr>
          <w:rFonts w:ascii="Times New Roman" w:cs="Times New Roman" w:eastAsia="Times New Roman" w:hAnsi="Times New Roman"/>
          <w:sz w:val="22"/>
          <w:szCs w:val="22"/>
          <w:color w:val="auto"/>
        </w:rPr>
        <w:t>. 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99" w:lineRule="exact"/>
        <w:rPr>
          <w:sz w:val="20"/>
          <w:szCs w:val="20"/>
          <w:color w:val="auto"/>
        </w:rPr>
      </w:pPr>
    </w:p>
    <w:p>
      <w:pPr>
        <w:ind w:left="1180" w:hanging="323"/>
        <w:spacing w:after="0"/>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joint venture, tender offer or restructuring;</w:t>
      </w:r>
    </w:p>
    <w:p>
      <w:pPr>
        <w:spacing w:after="0" w:line="27"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acquisition or disposition of a significant asset;</w:t>
      </w:r>
    </w:p>
    <w:p>
      <w:pPr>
        <w:spacing w:after="0" w:line="3"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related party transactions;</w:t>
      </w:r>
    </w:p>
    <w:p>
      <w:pPr>
        <w:spacing w:after="0" w:line="3" w:lineRule="exact"/>
        <w:rPr>
          <w:rFonts w:ascii="Times New Roman" w:cs="Times New Roman" w:eastAsia="Times New Roman" w:hAnsi="Times New Roman"/>
          <w:sz w:val="22"/>
          <w:szCs w:val="22"/>
          <w:color w:val="auto"/>
        </w:rPr>
      </w:pPr>
    </w:p>
    <w:p>
      <w:pPr>
        <w:ind w:left="1180" w:right="319" w:hanging="323"/>
        <w:spacing w:after="0" w:line="243" w:lineRule="auto"/>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dividend policy, the declaration of a stock split, or an offering of additional securities;</w:t>
      </w:r>
    </w:p>
    <w:p>
      <w:pPr>
        <w:ind w:left="1180" w:hanging="323"/>
        <w:spacing w:after="0"/>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borrowings or other financing transactions out of the ordinary course;</w:t>
      </w:r>
    </w:p>
    <w:p>
      <w:pPr>
        <w:spacing w:after="0" w:line="3"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senior management;</w:t>
      </w:r>
    </w:p>
    <w:p>
      <w:pPr>
        <w:spacing w:after="0" w:line="3"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of a significant new product, process, or service;</w:t>
      </w:r>
    </w:p>
    <w:p>
      <w:pPr>
        <w:spacing w:after="0" w:line="3"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or the resolution of such litigation; or</w:t>
      </w:r>
    </w:p>
    <w:p>
      <w:pPr>
        <w:spacing w:after="0" w:line="3" w:lineRule="exact"/>
        <w:rPr>
          <w:rFonts w:ascii="Times New Roman" w:cs="Times New Roman" w:eastAsia="Times New Roman" w:hAnsi="Times New Roman"/>
          <w:sz w:val="22"/>
          <w:szCs w:val="22"/>
          <w:color w:val="auto"/>
        </w:rPr>
      </w:pPr>
    </w:p>
    <w:p>
      <w:pPr>
        <w:ind w:left="1180" w:right="499" w:hanging="323"/>
        <w:spacing w:after="0" w:line="245" w:lineRule="auto"/>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226" w:lineRule="exact"/>
        <w:rPr>
          <w:sz w:val="20"/>
          <w:szCs w:val="20"/>
          <w:color w:val="auto"/>
        </w:rPr>
      </w:pPr>
    </w:p>
    <w:p>
      <w:pPr>
        <w:ind w:left="200" w:right="339" w:firstLine="657"/>
        <w:spacing w:after="0" w:line="260" w:lineRule="auto"/>
        <w:tabs>
          <w:tab w:leader="none" w:pos="149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When Information is Considered Public</w:t>
      </w:r>
      <w:r>
        <w:rPr>
          <w:rFonts w:ascii="Times New Roman" w:cs="Times New Roman" w:eastAsia="Times New Roman" w:hAnsi="Times New Roman"/>
          <w:sz w:val="21"/>
          <w:szCs w:val="21"/>
          <w:color w:val="auto"/>
        </w:rPr>
        <w:t>.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newswire services, a broadcast on widely-available radio or television programs, publication in a widely-available newspaper, magazine or news website, or public disclosure documents filed with the SEC that are available on the SEC’s website. By contrast, information would likely not be considered widely disseminated if it is</w:t>
      </w:r>
    </w:p>
    <w:p>
      <w:pPr>
        <w:sectPr>
          <w:pgSz w:w="11900" w:h="16838" w:orient="portrait"/>
          <w:cols w:equalWidth="0" w:num="1">
            <w:col w:w="9019"/>
          </w:cols>
          <w:pgMar w:left="1440" w:top="7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774" w:right="1440" w:bottom="1440" w:gutter="0" w:footer="0" w:header="0"/>
          <w:type w:val="continuous"/>
        </w:sectPr>
      </w:pPr>
    </w:p>
    <w:bookmarkStart w:id="54" w:name="page55"/>
    <w:bookmarkEnd w:id="54"/>
    <w:p>
      <w:pPr>
        <w:ind w:left="200" w:right="399"/>
        <w:spacing w:after="0" w:line="271" w:lineRule="auto"/>
        <w:rPr>
          <w:sz w:val="20"/>
          <w:szCs w:val="20"/>
          <w:color w:val="auto"/>
        </w:rPr>
      </w:pPr>
      <w:r>
        <w:rPr>
          <w:rFonts w:ascii="Times New Roman" w:cs="Times New Roman" w:eastAsia="Times New Roman" w:hAnsi="Times New Roman"/>
          <w:sz w:val="22"/>
          <w:szCs w:val="22"/>
          <w:color w:val="auto"/>
        </w:rPr>
        <w:t>available only to the Company’s employees, or if it is only available to a select group of analysts, brokers and institutional investors.</w:t>
      </w:r>
    </w:p>
    <w:p>
      <w:pPr>
        <w:spacing w:after="0" w:line="158" w:lineRule="exact"/>
        <w:rPr>
          <w:sz w:val="20"/>
          <w:szCs w:val="20"/>
          <w:color w:val="auto"/>
        </w:rPr>
      </w:pPr>
    </w:p>
    <w:p>
      <w:pPr>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Once information is widely disseminated, it is still necessary to provide the investing public with sufficient time to absorb the information. As a general rule, information should not be considered fully absorbed by the marketplace until after the close of business on the second day after the day on which the information is released. If, for example, the Company were to make a material announcement on a Monday, you should not trade in Securities of the Company until after the close of business on Wednesday. Depending on the particular circumstances, the Company may determine that a longer or shorter period should apply to the release of specific material nonpublic information.</w:t>
      </w:r>
    </w:p>
    <w:p>
      <w:pPr>
        <w:spacing w:after="0" w:line="181" w:lineRule="exact"/>
        <w:rPr>
          <w:sz w:val="20"/>
          <w:szCs w:val="20"/>
          <w:color w:val="auto"/>
        </w:rPr>
      </w:pPr>
    </w:p>
    <w:p>
      <w:pPr>
        <w:ind w:left="860" w:hanging="651"/>
        <w:spacing w:after="0"/>
        <w:tabs>
          <w:tab w:leader="none" w:pos="86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Transactions by Family Members and Others</w:t>
      </w:r>
    </w:p>
    <w:p>
      <w:pPr>
        <w:spacing w:after="0" w:line="224" w:lineRule="exact"/>
        <w:rPr>
          <w:sz w:val="20"/>
          <w:szCs w:val="20"/>
          <w:color w:val="auto"/>
        </w:rPr>
      </w:pPr>
    </w:p>
    <w:p>
      <w:pPr>
        <w:ind w:left="200" w:right="239" w:firstLine="648"/>
        <w:spacing w:after="0" w:line="247" w:lineRule="auto"/>
        <w:rPr>
          <w:sz w:val="20"/>
          <w:szCs w:val="20"/>
          <w:color w:val="auto"/>
        </w:rPr>
      </w:pPr>
      <w:r>
        <w:rPr>
          <w:rFonts w:ascii="Times New Roman" w:cs="Times New Roman" w:eastAsia="Times New Roman" w:hAnsi="Times New Roman"/>
          <w:sz w:val="22"/>
          <w:szCs w:val="22"/>
          <w:color w:val="auto"/>
        </w:rPr>
        <w:t>This Policy applies to your family members who reside with you (including a spouse, children, children away at college, stepchildren, grandchildren, parents, stepparents, grandparents, siblings and in-laws), anyone else who lives in your household, and any family members who do not live in your household but whose transactions in Issuer Securities are directed by you or are subject to your influence or control, such as parents or children who consult with you before they trade in Issuer Securities (collectively referred to as “Family Members”). You are responsible for the transactions of these other persons and therefore should make them aware of the need to confer with you before they trade in Issuer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79" w:lineRule="exact"/>
        <w:rPr>
          <w:sz w:val="20"/>
          <w:szCs w:val="20"/>
          <w:color w:val="auto"/>
        </w:rPr>
      </w:pPr>
    </w:p>
    <w:p>
      <w:pPr>
        <w:ind w:left="860" w:hanging="651"/>
        <w:spacing w:after="0"/>
        <w:tabs>
          <w:tab w:leader="none" w:pos="8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Transactions by Entities that You Influence or Control</w:t>
      </w:r>
    </w:p>
    <w:p>
      <w:pPr>
        <w:spacing w:after="0" w:line="224" w:lineRule="exact"/>
        <w:rPr>
          <w:sz w:val="20"/>
          <w:szCs w:val="20"/>
          <w:color w:val="auto"/>
        </w:rPr>
      </w:pPr>
    </w:p>
    <w:p>
      <w:pPr>
        <w:ind w:left="200" w:right="239" w:firstLine="648"/>
        <w:spacing w:after="0" w:line="252" w:lineRule="auto"/>
        <w:rPr>
          <w:sz w:val="20"/>
          <w:szCs w:val="20"/>
          <w:color w:val="auto"/>
        </w:rPr>
      </w:pPr>
      <w:r>
        <w:rPr>
          <w:rFonts w:ascii="Times New Roman" w:cs="Times New Roman" w:eastAsia="Times New Roman" w:hAnsi="Times New Roman"/>
          <w:sz w:val="22"/>
          <w:szCs w:val="22"/>
          <w:color w:val="auto"/>
        </w:rPr>
        <w:t>This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spacing w:after="0" w:line="175" w:lineRule="exact"/>
        <w:rPr>
          <w:sz w:val="20"/>
          <w:szCs w:val="20"/>
          <w:color w:val="auto"/>
        </w:rPr>
      </w:pPr>
    </w:p>
    <w:p>
      <w:pPr>
        <w:ind w:left="860" w:hanging="651"/>
        <w:spacing w:after="0"/>
        <w:tabs>
          <w:tab w:leader="none" w:pos="8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Transactions Under Company Plans</w:t>
      </w:r>
    </w:p>
    <w:p>
      <w:pPr>
        <w:spacing w:after="0" w:line="224" w:lineRule="exact"/>
        <w:rPr>
          <w:sz w:val="20"/>
          <w:szCs w:val="20"/>
          <w:color w:val="auto"/>
        </w:rPr>
      </w:pPr>
    </w:p>
    <w:p>
      <w:pPr>
        <w:ind w:left="200" w:right="459" w:firstLine="648"/>
        <w:spacing w:after="0" w:line="257" w:lineRule="auto"/>
        <w:rPr>
          <w:sz w:val="20"/>
          <w:szCs w:val="20"/>
          <w:color w:val="auto"/>
        </w:rPr>
      </w:pPr>
      <w:r>
        <w:rPr>
          <w:rFonts w:ascii="Times New Roman" w:cs="Times New Roman" w:eastAsia="Times New Roman" w:hAnsi="Times New Roman"/>
          <w:sz w:val="22"/>
          <w:szCs w:val="22"/>
          <w:color w:val="auto"/>
        </w:rPr>
        <w:t>This Policy does not apply to the receipt of stock by directors under the Company’s Non-Employee Director Stock Plan. However, the Policy does apply to transactions in such stock following receipt by the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774" w:right="1440" w:bottom="1440" w:gutter="0" w:footer="0" w:header="0"/>
        </w:sectPr>
      </w:pPr>
    </w:p>
    <w:bookmarkStart w:id="55" w:name="page56"/>
    <w:bookmarkEnd w:id="55"/>
    <w:p>
      <w:pPr>
        <w:ind w:left="860" w:hanging="651"/>
        <w:spacing w:after="0"/>
        <w:tabs>
          <w:tab w:leader="none" w:pos="8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Procedures</w:t>
      </w:r>
    </w:p>
    <w:p>
      <w:pPr>
        <w:spacing w:after="0" w:line="224" w:lineRule="exact"/>
        <w:rPr>
          <w:sz w:val="20"/>
          <w:szCs w:val="20"/>
          <w:color w:val="auto"/>
        </w:rPr>
      </w:pPr>
    </w:p>
    <w:p>
      <w:pPr>
        <w:ind w:left="200" w:right="259" w:firstLine="648"/>
        <w:spacing w:after="0" w:line="268" w:lineRule="auto"/>
        <w:rPr>
          <w:sz w:val="20"/>
          <w:szCs w:val="20"/>
          <w:color w:val="auto"/>
        </w:rPr>
      </w:pPr>
      <w:r>
        <w:rPr>
          <w:rFonts w:ascii="Times New Roman" w:cs="Times New Roman" w:eastAsia="Times New Roman" w:hAnsi="Times New Roman"/>
          <w:sz w:val="21"/>
          <w:szCs w:val="21"/>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Some of these additional procedures are applicable only to certain individuals, as described below.</w:t>
      </w:r>
    </w:p>
    <w:p>
      <w:pPr>
        <w:spacing w:after="0" w:line="157" w:lineRule="exact"/>
        <w:rPr>
          <w:sz w:val="20"/>
          <w:szCs w:val="20"/>
          <w:color w:val="auto"/>
        </w:rPr>
      </w:pPr>
    </w:p>
    <w:p>
      <w:pPr>
        <w:ind w:left="200" w:right="219" w:firstLine="657"/>
        <w:spacing w:after="0" w:line="248" w:lineRule="auto"/>
        <w:tabs>
          <w:tab w:leader="none" w:pos="14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Procedures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Officers and directors</w:t>
      </w:r>
      <w:r>
        <w:rPr>
          <w:rFonts w:ascii="Times New Roman" w:cs="Times New Roman" w:eastAsia="Times New Roman" w:hAnsi="Times New Roman"/>
          <w:sz w:val="22"/>
          <w:szCs w:val="22"/>
          <w:color w:val="auto"/>
        </w:rPr>
        <w:t xml:space="preserve"> of the Company, as well as the Family Members and Controlled Entities of such persons, may not engage in any transaction in Securities of the Company or any other Issuer without first obtaining pre-clearance of the transaction from the Compliance Officer. The Compliance Officer is under no obligation to approve a transaction submitted for pre-clearance, and may determine not to permit the transaction. If a person seeks pre-clearance and permission to engage in the transaction is denied, then they should refrain from initiating any transaction in the applicable Securities, and should not inform any other person of the restriction unless authorized by the Compliance Officer.</w:t>
      </w:r>
    </w:p>
    <w:p>
      <w:pPr>
        <w:spacing w:after="0" w:line="210" w:lineRule="exact"/>
        <w:rPr>
          <w:sz w:val="20"/>
          <w:szCs w:val="20"/>
          <w:color w:val="auto"/>
        </w:rPr>
      </w:pPr>
    </w:p>
    <w:p>
      <w:pPr>
        <w:ind w:left="200" w:right="299" w:firstLine="648"/>
        <w:spacing w:after="0" w:line="248" w:lineRule="auto"/>
        <w:rPr>
          <w:sz w:val="20"/>
          <w:szCs w:val="20"/>
          <w:color w:val="auto"/>
        </w:rPr>
      </w:pPr>
      <w:r>
        <w:rPr>
          <w:rFonts w:ascii="Times New Roman" w:cs="Times New Roman" w:eastAsia="Times New Roman" w:hAnsi="Times New Roman"/>
          <w:sz w:val="22"/>
          <w:szCs w:val="22"/>
          <w:color w:val="auto"/>
        </w:rPr>
        <w:t>When a request for pre-clearance is made, the requestor should carefully consider whether they may be aware of any material nonpublic information about the Company or another Issuer, and should describe fully those circumstances to the Compliance Officer. The requestor should also indicate whether they have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w:t>
      </w:r>
    </w:p>
    <w:p>
      <w:pPr>
        <w:spacing w:after="0" w:line="182" w:lineRule="exact"/>
        <w:rPr>
          <w:sz w:val="20"/>
          <w:szCs w:val="20"/>
          <w:color w:val="auto"/>
        </w:rPr>
      </w:pPr>
    </w:p>
    <w:p>
      <w:pPr>
        <w:jc w:val="both"/>
        <w:ind w:left="200" w:right="399" w:firstLine="648"/>
        <w:spacing w:after="0" w:line="263" w:lineRule="auto"/>
        <w:rPr>
          <w:sz w:val="20"/>
          <w:szCs w:val="20"/>
          <w:color w:val="auto"/>
        </w:rPr>
      </w:pPr>
      <w:r>
        <w:rPr>
          <w:rFonts w:ascii="Times New Roman" w:cs="Times New Roman" w:eastAsia="Times New Roman" w:hAnsi="Times New Roman"/>
          <w:sz w:val="22"/>
          <w:szCs w:val="22"/>
          <w:color w:val="auto"/>
        </w:rPr>
        <w:t>Pre-cleared transactions should be effected promptly. Requestors are encouraged, but not required, to refresh the request for pre-clearance if a pre-cleared transaction is not effected within five (5) business days after pre-clearance is received.</w:t>
      </w:r>
    </w:p>
    <w:p>
      <w:pPr>
        <w:spacing w:after="0" w:line="161" w:lineRule="exact"/>
        <w:rPr>
          <w:sz w:val="20"/>
          <w:szCs w:val="20"/>
          <w:color w:val="auto"/>
        </w:rPr>
      </w:pPr>
    </w:p>
    <w:p>
      <w:pPr>
        <w:ind w:left="200" w:right="219" w:firstLine="657"/>
        <w:spacing w:after="0" w:line="254" w:lineRule="auto"/>
        <w:tabs>
          <w:tab w:leader="none" w:pos="14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Trading Restrictions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All officers, directors and employees</w:t>
      </w:r>
      <w:r>
        <w:rPr>
          <w:rFonts w:ascii="Times New Roman" w:cs="Times New Roman" w:eastAsia="Times New Roman" w:hAnsi="Times New Roman"/>
          <w:sz w:val="22"/>
          <w:szCs w:val="22"/>
          <w:color w:val="auto"/>
        </w:rPr>
        <w:t xml:space="preserve"> of the Company, as well as their Family Members or Controlled Entities, may not conduct any transactions involving the Securities of the Company or any other Issuer (other than as specified by this Policy), during a “Restricted Period” that:</w:t>
      </w:r>
    </w:p>
    <w:p>
      <w:pPr>
        <w:spacing w:after="0" w:line="177" w:lineRule="exact"/>
        <w:rPr>
          <w:rFonts w:ascii="Times New Roman" w:cs="Times New Roman" w:eastAsia="Times New Roman" w:hAnsi="Times New Roman"/>
          <w:sz w:val="22"/>
          <w:szCs w:val="22"/>
          <w:color w:val="auto"/>
        </w:rPr>
      </w:pPr>
    </w:p>
    <w:p>
      <w:pPr>
        <w:ind w:left="1500" w:right="339" w:hanging="319"/>
        <w:spacing w:after="0" w:line="254" w:lineRule="auto"/>
        <w:tabs>
          <w:tab w:leader="none" w:pos="15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begins at the close of business on the day that is two weeks prior to the end of each fiscal quarter, and</w:t>
      </w:r>
    </w:p>
    <w:p>
      <w:pPr>
        <w:spacing w:after="0" w:line="1" w:lineRule="exact"/>
        <w:rPr>
          <w:rFonts w:ascii="Times New Roman" w:cs="Times New Roman" w:eastAsia="Times New Roman" w:hAnsi="Times New Roman"/>
          <w:sz w:val="22"/>
          <w:szCs w:val="22"/>
          <w:color w:val="auto"/>
        </w:rPr>
      </w:pPr>
    </w:p>
    <w:p>
      <w:pPr>
        <w:ind w:left="1500" w:right="499" w:hanging="319"/>
        <w:spacing w:after="0" w:line="248" w:lineRule="auto"/>
        <w:tabs>
          <w:tab w:leader="none" w:pos="15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ends at the close of business on the second business day following the date of the public release of the Company’s earnings results for that quarter.</w:t>
      </w:r>
    </w:p>
    <w:p>
      <w:pPr>
        <w:spacing w:after="0" w:line="182" w:lineRule="exact"/>
        <w:rPr>
          <w:sz w:val="20"/>
          <w:szCs w:val="20"/>
          <w:color w:val="auto"/>
        </w:rPr>
      </w:pPr>
    </w:p>
    <w:p>
      <w:pPr>
        <w:ind w:left="200" w:right="419"/>
        <w:spacing w:after="0" w:line="268" w:lineRule="auto"/>
        <w:rPr>
          <w:sz w:val="20"/>
          <w:szCs w:val="20"/>
          <w:color w:val="auto"/>
        </w:rPr>
      </w:pPr>
      <w:r>
        <w:rPr>
          <w:rFonts w:ascii="Times New Roman" w:cs="Times New Roman" w:eastAsia="Times New Roman" w:hAnsi="Times New Roman"/>
          <w:sz w:val="21"/>
          <w:szCs w:val="21"/>
          <w:color w:val="auto"/>
        </w:rPr>
        <w:t>In other words, these persons may only conduct transactions in Securities of the Company or any other Issuer during the “window period” beginning after the close of business on the second business day following the public release of the Company’s quarterly earnings and ending at the close of business on the day that is two weeks prior to the close of the next fiscal quarter.</w:t>
      </w:r>
    </w:p>
    <w:p>
      <w:pPr>
        <w:spacing w:after="0" w:line="163" w:lineRule="exact"/>
        <w:rPr>
          <w:sz w:val="20"/>
          <w:szCs w:val="20"/>
          <w:color w:val="auto"/>
        </w:rPr>
      </w:pPr>
    </w:p>
    <w:p>
      <w:pPr>
        <w:ind w:left="200" w:right="299" w:firstLine="657"/>
        <w:spacing w:after="0" w:line="250" w:lineRule="auto"/>
        <w:tabs>
          <w:tab w:leader="none" w:pos="14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Event-Specific Restricted Periods</w:t>
      </w:r>
      <w:r>
        <w:rPr>
          <w:rFonts w:ascii="Times New Roman" w:cs="Times New Roman" w:eastAsia="Times New Roman" w:hAnsi="Times New Roman"/>
          <w:sz w:val="22"/>
          <w:szCs w:val="22"/>
          <w:color w:val="auto"/>
        </w:rPr>
        <w:t xml:space="preserve">. From time to time, an event may occur that is material to the Company and is known by only a few directors, officers and/or employees. So long as the event remains material and nonpublic, </w:t>
      </w:r>
      <w:r>
        <w:rPr>
          <w:rFonts w:ascii="Times New Roman" w:cs="Times New Roman" w:eastAsia="Times New Roman" w:hAnsi="Times New Roman"/>
          <w:sz w:val="22"/>
          <w:szCs w:val="22"/>
          <w:b w:val="1"/>
          <w:bCs w:val="1"/>
          <w:i w:val="1"/>
          <w:iCs w:val="1"/>
          <w:color w:val="auto"/>
        </w:rPr>
        <w:t>the persons designated by the Compliance Officer</w:t>
      </w:r>
      <w:r>
        <w:rPr>
          <w:rFonts w:ascii="Times New Roman" w:cs="Times New Roman" w:eastAsia="Times New Roman" w:hAnsi="Times New Roman"/>
          <w:sz w:val="22"/>
          <w:szCs w:val="22"/>
          <w:color w:val="auto"/>
        </w:rPr>
        <w:t xml:space="preserve"> may not engage in transactions in Issuer Securities. In addition, the Company’s financial results may be sufficiently material in a particular fiscal quarter that, in the judgment of the</w:t>
      </w:r>
    </w:p>
    <w:p>
      <w:pPr>
        <w:sectPr>
          <w:pgSz w:w="11900" w:h="16838" w:orient="portrait"/>
          <w:cols w:equalWidth="0" w:num="1">
            <w:col w:w="9019"/>
          </w:cols>
          <w:pgMar w:left="1440" w:top="7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70" w:right="1440" w:bottom="1440" w:gutter="0" w:footer="0" w:header="0"/>
          <w:type w:val="continuous"/>
        </w:sectPr>
      </w:pPr>
    </w:p>
    <w:bookmarkStart w:id="56" w:name="page57"/>
    <w:bookmarkEnd w:id="56"/>
    <w:p>
      <w:pPr>
        <w:ind w:left="200" w:right="359"/>
        <w:spacing w:after="0" w:line="246" w:lineRule="auto"/>
        <w:rPr>
          <w:sz w:val="20"/>
          <w:szCs w:val="20"/>
          <w:color w:val="auto"/>
        </w:rPr>
      </w:pPr>
      <w:r>
        <w:rPr>
          <w:rFonts w:ascii="Times New Roman" w:cs="Times New Roman" w:eastAsia="Times New Roman" w:hAnsi="Times New Roman"/>
          <w:sz w:val="22"/>
          <w:szCs w:val="22"/>
          <w:color w:val="auto"/>
        </w:rPr>
        <w:t>Compliance Officer, designated persons should refrain from engaging in transactions in Issuer Securities even sooner than the quarterly Restricted Period described above. In that situation, the Compliance Officer may notify these persons that they should not trade in the Company’s Securities, without disclosing the reason for the restriction. The existence of an event-specific restricted period or the extension of a quarterly Restricted Period will not be announced to the Company as a whole, and should not be communicated to any other person. Even if the Compliance Officer has not designated you as a person who should not engage in transactions in Issuer Securities due to an event-specific restricted period, you should not trade while aware of material nonpublic information. Exceptions will not be granted during an event-specific restricted period.</w:t>
      </w:r>
    </w:p>
    <w:p>
      <w:pPr>
        <w:spacing w:after="0" w:line="188" w:lineRule="exact"/>
        <w:rPr>
          <w:sz w:val="20"/>
          <w:szCs w:val="20"/>
          <w:color w:val="auto"/>
        </w:rPr>
      </w:pPr>
    </w:p>
    <w:p>
      <w:pPr>
        <w:ind w:left="1500" w:hanging="643"/>
        <w:spacing w:after="0"/>
        <w:tabs>
          <w:tab w:leader="none" w:pos="15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860" w:right="219" w:firstLine="645"/>
        <w:spacing w:after="0" w:line="257" w:lineRule="auto"/>
        <w:tabs>
          <w:tab w:leader="none" w:pos="2156"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quarterly trading restrictions and event-driven trading restrictions do not apply to those transactions described above under Section 10 (Transactions Under Company Plans) as exceptions.</w:t>
      </w:r>
    </w:p>
    <w:p>
      <w:pPr>
        <w:spacing w:after="0" w:line="172" w:lineRule="exact"/>
        <w:rPr>
          <w:rFonts w:ascii="Times New Roman" w:cs="Times New Roman" w:eastAsia="Times New Roman" w:hAnsi="Times New Roman"/>
          <w:sz w:val="22"/>
          <w:szCs w:val="22"/>
          <w:color w:val="auto"/>
        </w:rPr>
      </w:pPr>
    </w:p>
    <w:p>
      <w:pPr>
        <w:ind w:left="860" w:right="659" w:firstLine="645"/>
        <w:spacing w:after="0" w:line="257" w:lineRule="auto"/>
        <w:tabs>
          <w:tab w:leader="none" w:pos="2156"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 for pre-clearance, the quarterly trading restrictions and event-driven trading restrictions do not apply to transactions conducted pursuant to approved Rule 10b5-1 plans, described under Section 12 (Rule 10b5-1 Plans).</w:t>
      </w:r>
    </w:p>
    <w:p>
      <w:pPr>
        <w:spacing w:after="0" w:line="172" w:lineRule="exact"/>
        <w:rPr>
          <w:rFonts w:ascii="Times New Roman" w:cs="Times New Roman" w:eastAsia="Times New Roman" w:hAnsi="Times New Roman"/>
          <w:sz w:val="22"/>
          <w:szCs w:val="22"/>
          <w:color w:val="auto"/>
        </w:rPr>
      </w:pPr>
    </w:p>
    <w:p>
      <w:pPr>
        <w:ind w:left="860" w:right="359" w:firstLine="645"/>
        <w:spacing w:after="0" w:line="250" w:lineRule="auto"/>
        <w:tabs>
          <w:tab w:leader="none" w:pos="2156"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(or the person delegated authority by the Compliance Officer) in his/her discretion may approve other or further exceptions to these requirements on a case-by-case basis in certain very limited circumstances. Any request for an exception pursuant to this paragraph must be submitted in advance and in writing, and any approval must be in writing.</w:t>
      </w:r>
    </w:p>
    <w:p>
      <w:pPr>
        <w:spacing w:after="0" w:line="194" w:lineRule="exact"/>
        <w:rPr>
          <w:rFonts w:ascii="Times New Roman" w:cs="Times New Roman" w:eastAsia="Times New Roman" w:hAnsi="Times New Roman"/>
          <w:sz w:val="22"/>
          <w:szCs w:val="22"/>
          <w:color w:val="auto"/>
        </w:rPr>
      </w:pPr>
    </w:p>
    <w:p>
      <w:pPr>
        <w:ind w:left="860" w:right="299" w:firstLine="645"/>
        <w:spacing w:after="0" w:line="248" w:lineRule="auto"/>
        <w:tabs>
          <w:tab w:leader="none" w:pos="2156"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transactions in securities of an Issuer other than the Company, if a person is subject to the insider trading policy of that Issuer, they do not need to separately comply with this Policy. For example, if a person who is a director of both NL Industries, Inc. and Kronos Worldwide, Inc. and desires to sell stock of Kronos Worldwide, Inc., they would only need to comply with the insider trading policy of Kronos Worldwide, Inc. (and not this Policy).</w:t>
      </w:r>
    </w:p>
    <w:p>
      <w:pPr>
        <w:spacing w:after="0" w:line="182"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Rule 10b5-1 Plans</w:t>
      </w:r>
    </w:p>
    <w:p>
      <w:pPr>
        <w:spacing w:after="0" w:line="223"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Rule 10b5-1 under the Exchange Act provides a defense from insider trading liability under</w:t>
      </w:r>
    </w:p>
    <w:p>
      <w:pPr>
        <w:spacing w:after="0" w:line="39" w:lineRule="exact"/>
        <w:rPr>
          <w:sz w:val="20"/>
          <w:szCs w:val="20"/>
          <w:color w:val="auto"/>
        </w:rPr>
      </w:pPr>
    </w:p>
    <w:p>
      <w:pPr>
        <w:ind w:left="200" w:right="259"/>
        <w:spacing w:after="0" w:line="243" w:lineRule="auto"/>
        <w:rPr>
          <w:sz w:val="20"/>
          <w:szCs w:val="20"/>
          <w:color w:val="auto"/>
        </w:rPr>
      </w:pPr>
      <w:r>
        <w:rPr>
          <w:rFonts w:ascii="Times New Roman" w:cs="Times New Roman" w:eastAsia="Times New Roman" w:hAnsi="Times New Roman"/>
          <w:sz w:val="22"/>
          <w:szCs w:val="22"/>
          <w:color w:val="auto"/>
        </w:rPr>
        <w:t>Rule 10b-5. In order to be eligible to rely on this defense, a person subject to this Policy must enter into a Rule 10b5-1 plan for transactions in Issuer Securities that meets certain conditions specified in the Rule (a “Rule 10b5-1 Plan”). If the plan meets the requirements of Rule 10b5-1, transactions in Issuer Securities may occur even when the person who has entered into the plan is aware of material nonpublic information. To comply with the Policy, a Rule 10b5-1 Plan must be approved by the Compliance Officer and meet the requirements of Rule 10b5-1.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ectPr>
          <w:pgSz w:w="11900" w:h="16838" w:orient="portrait"/>
          <w:cols w:equalWidth="0" w:num="1">
            <w:col w:w="9019"/>
          </w:cols>
          <w:pgMar w:left="1440" w:top="7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74" w:right="1440" w:bottom="1440" w:gutter="0" w:footer="0" w:header="0"/>
          <w:type w:val="continuous"/>
        </w:sectPr>
      </w:pPr>
    </w:p>
    <w:bookmarkStart w:id="57" w:name="page58"/>
    <w:bookmarkEnd w:id="57"/>
    <w:p>
      <w:pPr>
        <w:ind w:left="860" w:hanging="651"/>
        <w:spacing w:after="0"/>
        <w:tabs>
          <w:tab w:leader="none" w:pos="8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Prohibition on Short Sales</w:t>
      </w:r>
    </w:p>
    <w:p>
      <w:pPr>
        <w:spacing w:after="0" w:line="224" w:lineRule="exact"/>
        <w:rPr>
          <w:sz w:val="20"/>
          <w:szCs w:val="20"/>
          <w:color w:val="auto"/>
        </w:rPr>
      </w:pPr>
    </w:p>
    <w:p>
      <w:pPr>
        <w:ind w:left="200" w:right="399" w:firstLine="648"/>
        <w:spacing w:after="0" w:line="257" w:lineRule="auto"/>
        <w:rPr>
          <w:sz w:val="20"/>
          <w:szCs w:val="20"/>
          <w:color w:val="auto"/>
        </w:rPr>
      </w:pPr>
      <w:r>
        <w:rPr>
          <w:rFonts w:ascii="Times New Roman" w:cs="Times New Roman" w:eastAsia="Times New Roman" w:hAnsi="Times New Roman"/>
          <w:sz w:val="22"/>
          <w:szCs w:val="22"/>
          <w:color w:val="auto"/>
        </w:rPr>
        <w:t>Section 16(c) of the Exchange Act prohibits officers and directors of the Company from engaging in short sales of the Company’s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sale of a security that the seller does not own), regardless of whether they are aware of any material nonpublic information.</w:t>
      </w:r>
    </w:p>
    <w:p>
      <w:pPr>
        <w:spacing w:after="0" w:line="169" w:lineRule="exact"/>
        <w:rPr>
          <w:sz w:val="20"/>
          <w:szCs w:val="20"/>
          <w:color w:val="auto"/>
        </w:rPr>
      </w:pPr>
    </w:p>
    <w:p>
      <w:pPr>
        <w:ind w:left="860" w:hanging="651"/>
        <w:spacing w:after="0"/>
        <w:tabs>
          <w:tab w:leader="none" w:pos="8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Post-Termination Transactions</w:t>
      </w:r>
    </w:p>
    <w:p>
      <w:pPr>
        <w:spacing w:after="0" w:line="224" w:lineRule="exact"/>
        <w:rPr>
          <w:sz w:val="20"/>
          <w:szCs w:val="20"/>
          <w:color w:val="auto"/>
        </w:rPr>
      </w:pPr>
    </w:p>
    <w:p>
      <w:pPr>
        <w:ind w:left="200" w:right="339" w:firstLine="648"/>
        <w:spacing w:after="0" w:line="248" w:lineRule="auto"/>
        <w:rPr>
          <w:sz w:val="20"/>
          <w:szCs w:val="20"/>
          <w:color w:val="auto"/>
        </w:rPr>
      </w:pPr>
      <w:r>
        <w:rPr>
          <w:rFonts w:ascii="Times New Roman" w:cs="Times New Roman" w:eastAsia="Times New Roman" w:hAnsi="Times New Roman"/>
          <w:sz w:val="22"/>
          <w:szCs w:val="22"/>
          <w:color w:val="auto"/>
        </w:rPr>
        <w:t>This Policy continues to apply to transactions in Issuer Securities even after termination of service to the Company. If an individual is in possession of material nonpublic information when his or her service terminates, that individual may not engage in transactions in Issuer Securities until that information has become public or is no longer material. The pre-clearance procedures specified under Section 11 (Additional Procedures) above, however, will cease to apply to transactions in Issuer Securities upon the expiration of any Restricted Period or other Company-imposed trading restrictions applicable at the time of the termination of service.</w:t>
      </w:r>
    </w:p>
    <w:p>
      <w:pPr>
        <w:spacing w:after="0" w:line="178" w:lineRule="exact"/>
        <w:rPr>
          <w:sz w:val="20"/>
          <w:szCs w:val="20"/>
          <w:color w:val="auto"/>
        </w:rPr>
      </w:pPr>
    </w:p>
    <w:p>
      <w:pPr>
        <w:ind w:left="860" w:hanging="651"/>
        <w:spacing w:after="0"/>
        <w:tabs>
          <w:tab w:leader="none" w:pos="8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Consequences of Violations</w:t>
      </w:r>
    </w:p>
    <w:p>
      <w:pPr>
        <w:spacing w:after="0" w:line="224" w:lineRule="exact"/>
        <w:rPr>
          <w:sz w:val="20"/>
          <w:szCs w:val="20"/>
          <w:color w:val="auto"/>
        </w:rPr>
      </w:pPr>
    </w:p>
    <w:p>
      <w:pPr>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The purchase or sale of securities while aware of material nonpublic information, or the disclosure of material nonpublic information to others who then engage in transactions in the Securities of the Company (or, as applicable, of other Issuers), is prohibited by the federal and state laws. Insider trading violations are pursued vigorously by the SEC, U.S. Attorneys and state enforcement authorities, as well as enforcement authorities in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91" w:lineRule="exact"/>
        <w:rPr>
          <w:sz w:val="20"/>
          <w:szCs w:val="20"/>
          <w:color w:val="auto"/>
        </w:rPr>
      </w:pPr>
    </w:p>
    <w:p>
      <w:pPr>
        <w:ind w:left="200" w:right="319" w:firstLine="648"/>
        <w:spacing w:after="0" w:line="250" w:lineRule="auto"/>
        <w:rPr>
          <w:sz w:val="20"/>
          <w:szCs w:val="20"/>
          <w:color w:val="auto"/>
        </w:rPr>
      </w:pPr>
      <w:r>
        <w:rPr>
          <w:rFonts w:ascii="Times New Roman" w:cs="Times New Roman" w:eastAsia="Times New Roman" w:hAnsi="Times New Roman"/>
          <w:sz w:val="22"/>
          <w:szCs w:val="22"/>
          <w:color w:val="auto"/>
        </w:rPr>
        <w:t>In addition, an individual’s failure to comply with this Policy may subject the individual to Company-imposed sanctions, including dismissal of an employee for cause, whether or not the employee’s failure to comply results in a violation of law. A violation of law, or even an SEC investigation that does not result in prosecution, can tarnish a person’s reputation and irreparably damage a career.</w:t>
      </w:r>
    </w:p>
    <w:p>
      <w:pPr>
        <w:spacing w:after="0" w:line="177" w:lineRule="exact"/>
        <w:rPr>
          <w:sz w:val="20"/>
          <w:szCs w:val="20"/>
          <w:color w:val="auto"/>
        </w:rPr>
      </w:pPr>
    </w:p>
    <w:p>
      <w:pPr>
        <w:ind w:left="860" w:hanging="651"/>
        <w:spacing w:after="0"/>
        <w:tabs>
          <w:tab w:leader="none" w:pos="8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Company Assistance</w:t>
      </w:r>
    </w:p>
    <w:p>
      <w:pPr>
        <w:spacing w:after="0" w:line="224" w:lineRule="exact"/>
        <w:rPr>
          <w:sz w:val="20"/>
          <w:szCs w:val="20"/>
          <w:color w:val="auto"/>
        </w:rPr>
      </w:pPr>
    </w:p>
    <w:p>
      <w:pPr>
        <w:ind w:left="200" w:right="459" w:firstLine="648"/>
        <w:spacing w:after="0" w:line="261" w:lineRule="auto"/>
        <w:rPr>
          <w:sz w:val="20"/>
          <w:szCs w:val="20"/>
          <w:color w:val="auto"/>
        </w:rPr>
      </w:pPr>
      <w:r>
        <w:rPr>
          <w:rFonts w:ascii="Times New Roman" w:cs="Times New Roman" w:eastAsia="Times New Roman" w:hAnsi="Times New Roman"/>
          <w:sz w:val="22"/>
          <w:szCs w:val="22"/>
          <w:color w:val="auto"/>
        </w:rPr>
        <w:t>Any person who has a question about this Policy or its application to any proposed transaction may obtain additional guidance from the Compliance Officer. The general counsel of the Company may also be contacted with questions regarding the Policy and to confirm the identity of the Compliance Officer or any other person delegated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70"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32"/>
        </w:trPr>
        <w:tc>
          <w:tcPr>
            <w:tcW w:w="2780" w:type="dxa"/>
            <w:vAlign w:val="bottom"/>
          </w:tcPr>
          <w:p>
            <w:pPr>
              <w:spacing w:after="0"/>
              <w:rPr>
                <w:sz w:val="24"/>
                <w:szCs w:val="24"/>
                <w:color w:val="auto"/>
              </w:rPr>
            </w:pPr>
          </w:p>
        </w:tc>
        <w:tc>
          <w:tcPr>
            <w:tcW w:w="52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900" w:type="dxa"/>
            <w:vAlign w:val="bottom"/>
          </w:tcPr>
          <w:p>
            <w:pPr>
              <w:spacing w:after="0"/>
              <w:rPr>
                <w:sz w:val="24"/>
                <w:szCs w:val="24"/>
                <w:color w:val="auto"/>
              </w:rPr>
            </w:pPr>
          </w:p>
        </w:tc>
      </w:tr>
      <w:tr>
        <w:trPr>
          <w:trHeight w:val="423"/>
        </w:trPr>
        <w:tc>
          <w:tcPr>
            <w:tcW w:w="27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of Voting</w:t>
            </w:r>
          </w:p>
        </w:tc>
      </w:tr>
      <w:tr>
        <w:trPr>
          <w:trHeight w:val="216"/>
        </w:trPr>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Incorporation or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at December 31,</w:t>
            </w:r>
          </w:p>
        </w:tc>
      </w:tr>
      <w:tr>
        <w:trPr>
          <w:trHeight w:val="238"/>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Corporation</w:t>
            </w:r>
          </w:p>
        </w:tc>
        <w:tc>
          <w:tcPr>
            <w:tcW w:w="2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24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42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CompX Security Products Inc.</w:t>
            </w: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Delaware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CompX Marine Inc.</w:t>
            </w: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Delaware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 Marine Inc.</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Delaware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2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JZTB Realty LLC</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Wisconsin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34"/>
        </w:trPr>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Livorsi Marine Inc.</w:t>
            </w: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Illinois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777"/>
        </w:trPr>
        <w:tc>
          <w:tcPr>
            <w:tcW w:w="27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333-181794) of CompX International Inc. of our report dated March 5, 2025 relating to the financial statements, which appears in this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C. James, certify that:</w:t>
      </w:r>
    </w:p>
    <w:p>
      <w:pPr>
        <w:spacing w:after="0" w:line="117"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CompX International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C. James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A. Samford, certify that:</w:t>
      </w:r>
    </w:p>
    <w:p>
      <w:pPr>
        <w:spacing w:after="0" w:line="117"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CompX International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6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A. Samford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CompX International Inc. (the Company) on Form 10-K for the period ending December 31, 2024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p>
      <w:pPr>
        <w:spacing w:after="0" w:line="7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C. James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A. Samford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lvl w:ilvl="1">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lvl w:ilvl="1">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lvl w:ilvl="1">
      <w:lvlJc w:val="left"/>
      <w:lvlText w:val="%2"/>
      <w:numFmt w:val="decimal"/>
      <w:start w:val="104"/>
    </w:lvl>
    <w:lvl w:ilvl="2">
      <w:lvlJc w:val="left"/>
      <w:lvlText w:val="-"/>
      <w:numFmt w:val="bullet"/>
      <w:start w:val="1"/>
    </w:lvl>
  </w:abstractNum>
  <w:abstractNum w:abstractNumId="16">
    <w:nsid w:val="5577F8E1"/>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lowerRoman"/>
      <w:start w:val="2"/>
    </w:lvl>
  </w:abstractNum>
  <w:abstractNum w:abstractNumId="21">
    <w:nsid w:val="7724C67E"/>
    <w:multiLevelType w:val="hybridMultilevel"/>
    <w:lvl w:ilvl="0">
      <w:lvlJc w:val="left"/>
      <w:lvlText w:val="(%1)"/>
      <w:numFmt w:val="lowerLetter"/>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lowerLetter"/>
      <w:start w:val="7"/>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lowerRoman"/>
      <w:start w:val="1"/>
    </w:lvl>
  </w:abstractNum>
  <w:abstractNum w:abstractNumId="26">
    <w:nsid w:val="2D517796"/>
    <w:multiLevelType w:val="hybridMultilevel"/>
    <w:lvl w:ilvl="0">
      <w:lvlJc w:val="left"/>
      <w:lvlText w:val="%1."/>
      <w:numFmt w:val="decimal"/>
      <w:start w:val="2"/>
    </w:lvl>
    <w:lvl w:ilvl="1">
      <w:lvlJc w:val="left"/>
      <w:lvlText w:val="%2."/>
      <w:numFmt w:val="lowerLetter"/>
      <w:start w:val="1"/>
    </w:lvl>
  </w:abstractNum>
  <w:abstractNum w:abstractNumId="27">
    <w:nsid w:val="580BD78F"/>
    <w:multiLevelType w:val="hybridMultilevel"/>
    <w:lvl w:ilvl="0">
      <w:lvlJc w:val="left"/>
      <w:lvlText w:val="%1."/>
      <w:numFmt w:val="lowerRoman"/>
      <w:start w:val="1"/>
    </w:lvl>
    <w:lvl w:ilvl="1">
      <w:lvlJc w:val="left"/>
      <w:lvlText w:val="(%2)"/>
      <w:numFmt w:val="upperLetter"/>
      <w:start w:val="1"/>
    </w:lvl>
  </w:abstractNum>
  <w:abstractNum w:abstractNumId="28">
    <w:nsid w:val="153EA438"/>
    <w:multiLevelType w:val="hybridMultilevel"/>
    <w:lvl w:ilvl="0">
      <w:lvlJc w:val="left"/>
      <w:lvlText w:val="%1"/>
      <w:numFmt w:val="decimal"/>
      <w:start w:val="1"/>
    </w:lvl>
    <w:lvl w:ilvl="1">
      <w:lvlJc w:val="left"/>
      <w:lvlText w:val="%2."/>
      <w:numFmt w:val="lowerLetter"/>
      <w:start w:val="4"/>
    </w:lvl>
  </w:abstractNum>
  <w:abstractNum w:abstractNumId="29">
    <w:nsid w:val="3855585C"/>
    <w:multiLevelType w:val="hybridMultilevel"/>
    <w:lvl w:ilvl="0">
      <w:lvlJc w:val="left"/>
      <w:lvlText w:val="%1."/>
      <w:numFmt w:val="decimal"/>
      <w:start w:val="3"/>
    </w:lvl>
    <w:lvl w:ilvl="1">
      <w:lvlJc w:val="left"/>
      <w:lvlText w:val="%2"/>
      <w:numFmt w:val="lowerLetter"/>
      <w:start w:val="1"/>
    </w:lvl>
  </w:abstractNum>
  <w:abstractNum w:abstractNumId="30">
    <w:nsid w:val="70A64E2A"/>
    <w:multiLevelType w:val="hybridMultilevel"/>
    <w:lvl w:ilvl="0">
      <w:lvlJc w:val="left"/>
      <w:lvlText w:val="%1."/>
      <w:numFmt w:val="decimal"/>
      <w:start w:val="4"/>
    </w:lvl>
  </w:abstractNum>
  <w:abstractNum w:abstractNumId="31">
    <w:nsid w:val="6A2342EC"/>
    <w:multiLevelType w:val="hybridMultilevel"/>
    <w:lvl w:ilvl="0">
      <w:lvlJc w:val="left"/>
      <w:lvlText w:val="%1."/>
      <w:numFmt w:val="decimal"/>
      <w:start w:val="5"/>
    </w:lvl>
  </w:abstractNum>
  <w:abstractNum w:abstractNumId="32">
    <w:nsid w:val="2A487CB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3">
    <w:nsid w:val="1D4ED43B"/>
    <w:multiLevelType w:val="hybridMultilevel"/>
    <w:lvl w:ilvl="0">
      <w:lvlJc w:val="left"/>
      <w:lvlText w:val="%1"/>
      <w:numFmt w:val="decimal"/>
      <w:start w:val="1"/>
    </w:lvl>
    <w:lvl w:ilvl="1">
      <w:lvlJc w:val="left"/>
      <w:lvlText w:val="%2."/>
      <w:numFmt w:val="lowerLetter"/>
      <w:start w:val="2"/>
    </w:lvl>
  </w:abstractNum>
  <w:abstractNum w:abstractNumId="34">
    <w:nsid w:val="725A06FB"/>
    <w:multiLevelType w:val="hybridMultilevel"/>
    <w:lvl w:ilvl="0">
      <w:lvlJc w:val="left"/>
      <w:lvlText w:val="%1."/>
      <w:numFmt w:val="decimal"/>
      <w:start w:val="7"/>
    </w:lvl>
    <w:lvl w:ilvl="1">
      <w:lvlJc w:val="left"/>
      <w:lvlText w:val="%2."/>
      <w:numFmt w:val="lowerLetter"/>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lowerLetter"/>
      <w:start w:val="2"/>
    </w:lvl>
  </w:abstractNum>
  <w:abstractNum w:abstractNumId="37">
    <w:nsid w:val="7A6D8D3C"/>
    <w:multiLevelType w:val="hybridMultilevel"/>
    <w:lvl w:ilvl="0">
      <w:lvlJc w:val="left"/>
      <w:lvlText w:val="%1."/>
      <w:numFmt w:val="decimal"/>
      <w:start w:val="8"/>
    </w:lvl>
  </w:abstractNum>
  <w:abstractNum w:abstractNumId="38">
    <w:nsid w:val="4B588F54"/>
    <w:multiLevelType w:val="hybridMultilevel"/>
    <w:lvl w:ilvl="0">
      <w:lvlJc w:val="left"/>
      <w:lvlText w:val="%1."/>
      <w:numFmt w:val="decimal"/>
      <w:start w:val="9"/>
    </w:lvl>
  </w:abstractNum>
  <w:abstractNum w:abstractNumId="39">
    <w:nsid w:val="542289EC"/>
    <w:multiLevelType w:val="hybridMultilevel"/>
    <w:lvl w:ilvl="0">
      <w:lvlJc w:val="left"/>
      <w:lvlText w:val="%1."/>
      <w:numFmt w:val="decimal"/>
      <w:start w:val="10"/>
    </w:lvl>
  </w:abstractNum>
  <w:abstractNum w:abstractNumId="40">
    <w:nsid w:val="6DE91B18"/>
    <w:multiLevelType w:val="hybridMultilevel"/>
    <w:lvl w:ilvl="0">
      <w:lvlJc w:val="left"/>
      <w:lvlText w:val="%1."/>
      <w:numFmt w:val="decimal"/>
      <w:start w:val="1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2"/>
    </w:lvl>
    <w:lvl w:ilvl="1">
      <w:lvlJc w:val="left"/>
      <w:lvlText w:val="●"/>
      <w:numFmt w:val="bullet"/>
      <w:start w:val="1"/>
    </w:lvl>
  </w:abstractNum>
  <w:abstractNum w:abstractNumId="43">
    <w:nsid w:val="32FFF902"/>
    <w:multiLevelType w:val="hybridMultilevel"/>
    <w:lvl w:ilvl="0">
      <w:lvlJc w:val="left"/>
      <w:lvlText w:val="%1."/>
      <w:numFmt w:val="lowerLetter"/>
      <w:start w:val="3"/>
    </w:lvl>
  </w:abstractNum>
  <w:abstractNum w:abstractNumId="44">
    <w:nsid w:val="684A481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5">
    <w:nsid w:val="579478FE"/>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6">
    <w:nsid w:val="749ABB43"/>
    <w:multiLevelType w:val="hybridMultilevel"/>
    <w:lvl w:ilvl="0">
      <w:lvlJc w:val="left"/>
      <w:lvlText w:val="%1."/>
      <w:numFmt w:val="decimal"/>
      <w:start w:val="13"/>
    </w:lvl>
  </w:abstractNum>
  <w:abstractNum w:abstractNumId="47">
    <w:nsid w:val="3DC240FB"/>
    <w:multiLevelType w:val="hybridMultilevel"/>
    <w:lvl w:ilvl="0">
      <w:lvlJc w:val="left"/>
      <w:lvlText w:val="%1."/>
      <w:numFmt w:val="decimal"/>
      <w:start w:val="14"/>
    </w:lvl>
  </w:abstractNum>
  <w:abstractNum w:abstractNumId="48">
    <w:nsid w:val="1BA026FA"/>
    <w:multiLevelType w:val="hybridMultilevel"/>
    <w:lvl w:ilvl="0">
      <w:lvlJc w:val="left"/>
      <w:lvlText w:val="%1."/>
      <w:numFmt w:val="decimal"/>
      <w:start w:val="15"/>
    </w:lvl>
  </w:abstractNum>
  <w:abstractNum w:abstractNumId="49">
    <w:nsid w:val="79A1DEAA"/>
    <w:multiLevelType w:val="hybridMultilevel"/>
    <w:lvl w:ilvl="0">
      <w:lvlJc w:val="left"/>
      <w:lvlText w:val="%1."/>
      <w:numFmt w:val="decimal"/>
      <w:start w:val="16"/>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9"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41" Type="http://schemas.openxmlformats.org/officeDocument/2006/relationships/hyperlink" Target="https://www.sec.gov/Archives/edgar/data/1049606/000156459018019438/cix-ex31_101.htm" TargetMode="External"/><Relationship Id="rId42" Type="http://schemas.openxmlformats.org/officeDocument/2006/relationships/hyperlink" Target="https://www.sec.gov/Archives/edgar/data/1049606/000002424018000016/exh31.htm" TargetMode="External"/><Relationship Id="rId43" Type="http://schemas.openxmlformats.org/officeDocument/2006/relationships/hyperlink" Target="https://www.sec.gov/Archives/edgar/data/1049606/000104960623000027/cix-20231101xex3d1.htm" TargetMode="External"/><Relationship Id="rId44" Type="http://schemas.openxmlformats.org/officeDocument/2006/relationships/hyperlink" Target="https://www.sec.gov/Archives/edgar/data/1049606/000156459020006804/cix-ex41_137.htm" TargetMode="External"/><Relationship Id="rId45" Type="http://schemas.openxmlformats.org/officeDocument/2006/relationships/hyperlink" Target="https://www.sec.gov/Archives/edgar/data/1049606/000104960604000011/ciiexh102.txt" TargetMode="External"/><Relationship Id="rId46" Type="http://schemas.openxmlformats.org/officeDocument/2006/relationships/hyperlink" Target="https://www.sec.gov/Archives/edgar/data/1049606/000119312513094118/d440599dex102.htm" TargetMode="External"/><Relationship Id="rId47" Type="http://schemas.openxmlformats.org/officeDocument/2006/relationships/hyperlink" Target="https://www.sec.gov/Archives/edgar/data/1049606/000156459020006804/cix-ex103_307.htm" TargetMode="External"/><Relationship Id="rId48" Type="http://schemas.openxmlformats.org/officeDocument/2006/relationships/hyperlink" Target="https://www.sec.gov/Archives/edgar/data/1049606/000156459019004906/cix-ex104_461.htm" TargetMode="External"/><Relationship Id="rId50" Type="http://schemas.openxmlformats.org/officeDocument/2006/relationships/hyperlink" Target="https://www.sec.gov/Archives/edgar/data/1049606/000005925516000191/exhibit101.htm" TargetMode="External"/><Relationship Id="rId51" Type="http://schemas.openxmlformats.org/officeDocument/2006/relationships/hyperlink" Target="https://www.sec.gov/Archives/edgar/data/1049606/000155837024002007/cix-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2025-03-05T16:02:27Z</dcterms:created>
  <dcterms:modified xsi:type="dcterms:W3CDTF">2025-03-05T16:02:27Z</dcterms:modified>
</cp:coreProperties>
</file>