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60325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72390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74"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ANNUAL REPORT PURSUANT TO SECTION 13 OR 15(d) OF THE SECURITIES</w:t>
      </w:r>
    </w:p>
    <w:p>
      <w:pPr>
        <w:spacing w:after="0" w:line="2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EXCHANGE ACT OF 1934 – For the fiscal year ended December 31, 2017</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66675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COMPX INTERNATIONAL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56515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0"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1160" w:type="dxa"/>
            <w:vAlign w:val="bottom"/>
          </w:tcPr>
          <w:p>
            <w:pPr>
              <w:spacing w:after="0"/>
              <w:rPr>
                <w:sz w:val="16"/>
                <w:szCs w:val="16"/>
                <w:color w:val="auto"/>
              </w:rPr>
            </w:pPr>
          </w:p>
        </w:tc>
        <w:tc>
          <w:tcPr>
            <w:tcW w:w="5580" w:type="dxa"/>
            <w:vAlign w:val="bottom"/>
            <w:gridSpan w:val="2"/>
          </w:tcPr>
          <w:p>
            <w:pPr>
              <w:jc w:val="center"/>
              <w:ind w:right="4279"/>
              <w:spacing w:after="0"/>
              <w:rPr>
                <w:sz w:val="20"/>
                <w:szCs w:val="20"/>
                <w:color w:val="auto"/>
              </w:rPr>
            </w:pPr>
            <w:r>
              <w:rPr>
                <w:rFonts w:ascii="Arial" w:cs="Arial" w:eastAsia="Arial" w:hAnsi="Arial"/>
                <w:sz w:val="16"/>
                <w:szCs w:val="16"/>
                <w:b w:val="1"/>
                <w:bCs w:val="1"/>
                <w:color w:val="auto"/>
                <w:w w:val="93"/>
              </w:rPr>
              <w:t>Delaware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57-0981653</w:t>
            </w:r>
          </w:p>
        </w:tc>
      </w:tr>
      <w:tr>
        <w:trPr>
          <w:trHeight w:val="149"/>
        </w:trPr>
        <w:tc>
          <w:tcPr>
            <w:tcW w:w="6740" w:type="dxa"/>
            <w:vAlign w:val="bottom"/>
            <w:gridSpan w:val="3"/>
          </w:tcPr>
          <w:p>
            <w:pPr>
              <w:jc w:val="center"/>
              <w:ind w:right="31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740" w:type="dxa"/>
            <w:vAlign w:val="bottom"/>
            <w:gridSpan w:val="3"/>
          </w:tcPr>
          <w:p>
            <w:pPr>
              <w:jc w:val="center"/>
              <w:ind w:right="3119"/>
              <w:spacing w:after="0"/>
              <w:rPr>
                <w:sz w:val="20"/>
                <w:szCs w:val="20"/>
                <w:color w:val="auto"/>
              </w:rPr>
            </w:pPr>
            <w:r>
              <w:rPr>
                <w:rFonts w:ascii="Arial" w:cs="Arial" w:eastAsia="Arial" w:hAnsi="Arial"/>
                <w:sz w:val="14"/>
                <w:szCs w:val="14"/>
                <w:b w:val="1"/>
                <w:bCs w:val="1"/>
                <w:color w:val="auto"/>
                <w:w w:val="93"/>
              </w:rPr>
              <w:t>incorporation or organization)</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09"/>
        </w:trPr>
        <w:tc>
          <w:tcPr>
            <w:tcW w:w="6740" w:type="dxa"/>
            <w:vAlign w:val="bottom"/>
            <w:gridSpan w:val="3"/>
          </w:tcPr>
          <w:p>
            <w:pPr>
              <w:jc w:val="center"/>
              <w:ind w:right="3119"/>
              <w:spacing w:after="0"/>
              <w:rPr>
                <w:sz w:val="20"/>
                <w:szCs w:val="20"/>
                <w:color w:val="auto"/>
              </w:rPr>
            </w:pPr>
            <w:r>
              <w:rPr>
                <w:rFonts w:ascii="Arial" w:cs="Arial" w:eastAsia="Arial" w:hAnsi="Arial"/>
                <w:sz w:val="16"/>
                <w:szCs w:val="16"/>
                <w:b w:val="1"/>
                <w:bCs w:val="1"/>
                <w:color w:val="auto"/>
                <w:w w:val="92"/>
              </w:rPr>
              <w:t>5430 LBJ Freeway, Suite 1700,</w:t>
            </w:r>
          </w:p>
        </w:tc>
        <w:tc>
          <w:tcPr>
            <w:tcW w:w="1680" w:type="dxa"/>
            <w:vAlign w:val="bottom"/>
          </w:tcPr>
          <w:p>
            <w:pPr>
              <w:spacing w:after="0"/>
              <w:rPr>
                <w:sz w:val="24"/>
                <w:szCs w:val="24"/>
                <w:color w:val="auto"/>
              </w:rPr>
            </w:pPr>
          </w:p>
        </w:tc>
      </w:tr>
      <w:tr>
        <w:trPr>
          <w:trHeight w:val="207"/>
        </w:trPr>
        <w:tc>
          <w:tcPr>
            <w:tcW w:w="6740" w:type="dxa"/>
            <w:vAlign w:val="bottom"/>
            <w:gridSpan w:val="3"/>
          </w:tcPr>
          <w:p>
            <w:pPr>
              <w:jc w:val="center"/>
              <w:ind w:right="3119"/>
              <w:spacing w:after="0"/>
              <w:rPr>
                <w:sz w:val="20"/>
                <w:szCs w:val="20"/>
                <w:color w:val="auto"/>
              </w:rPr>
            </w:pPr>
            <w:r>
              <w:rPr>
                <w:rFonts w:ascii="Arial" w:cs="Arial" w:eastAsia="Arial" w:hAnsi="Arial"/>
                <w:sz w:val="16"/>
                <w:szCs w:val="16"/>
                <w:b w:val="1"/>
                <w:bCs w:val="1"/>
                <w:color w:val="auto"/>
                <w:w w:val="92"/>
              </w:rPr>
              <w:t>Three Lincoln Centre, Dallas, Texas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75240-2620</w:t>
            </w:r>
          </w:p>
        </w:tc>
      </w:tr>
      <w:tr>
        <w:trPr>
          <w:trHeight w:val="186"/>
        </w:trPr>
        <w:tc>
          <w:tcPr>
            <w:tcW w:w="6740" w:type="dxa"/>
            <w:vAlign w:val="bottom"/>
            <w:gridSpan w:val="3"/>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98"/>
        </w:trPr>
        <w:tc>
          <w:tcPr>
            <w:tcW w:w="6740" w:type="dxa"/>
            <w:vAlign w:val="bottom"/>
            <w:gridSpan w:val="3"/>
          </w:tcPr>
          <w:p>
            <w:pPr>
              <w:jc w:val="center"/>
              <w:ind w:right="3119"/>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(972) 448-1400</w:t>
            </w:r>
          </w:p>
        </w:tc>
      </w:tr>
      <w:tr>
        <w:trPr>
          <w:trHeight w:val="419"/>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ind w:left="320"/>
              <w:spacing w:after="0"/>
              <w:rPr>
                <w:sz w:val="20"/>
                <w:szCs w:val="20"/>
                <w:color w:val="auto"/>
              </w:rPr>
            </w:pPr>
            <w:r>
              <w:rPr>
                <w:rFonts w:ascii="Arial" w:cs="Arial" w:eastAsia="Arial" w:hAnsi="Arial"/>
                <w:sz w:val="16"/>
                <w:szCs w:val="16"/>
                <w:b w:val="1"/>
                <w:bCs w:val="1"/>
                <w:color w:val="auto"/>
                <w:w w:val="91"/>
              </w:rPr>
              <w:t>Securities registered pursuant to Section 12(b) of the Act:</w:t>
            </w:r>
          </w:p>
        </w:tc>
        <w:tc>
          <w:tcPr>
            <w:tcW w:w="1680" w:type="dxa"/>
            <w:vAlign w:val="bottom"/>
          </w:tcPr>
          <w:p>
            <w:pPr>
              <w:spacing w:after="0"/>
              <w:rPr>
                <w:sz w:val="24"/>
                <w:szCs w:val="24"/>
                <w:color w:val="auto"/>
              </w:rPr>
            </w:pPr>
          </w:p>
        </w:tc>
      </w:tr>
      <w:tr>
        <w:trPr>
          <w:trHeight w:val="31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w:t>
            </w:r>
          </w:p>
        </w:tc>
      </w:tr>
      <w:tr>
        <w:trPr>
          <w:trHeight w:val="196"/>
        </w:trPr>
        <w:tc>
          <w:tcPr>
            <w:tcW w:w="1160" w:type="dxa"/>
            <w:vAlign w:val="bottom"/>
          </w:tcPr>
          <w:p>
            <w:pPr>
              <w:spacing w:after="0"/>
              <w:rPr>
                <w:sz w:val="17"/>
                <w:szCs w:val="17"/>
                <w:color w:val="auto"/>
              </w:rPr>
            </w:pPr>
          </w:p>
        </w:tc>
        <w:tc>
          <w:tcPr>
            <w:tcW w:w="12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w w:val="88"/>
              </w:rPr>
              <w:t>Title of each class</w:t>
            </w:r>
          </w:p>
        </w:tc>
        <w:tc>
          <w:tcPr>
            <w:tcW w:w="436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w w:val="89"/>
              </w:rPr>
              <w:t>on which registered</w:t>
            </w:r>
          </w:p>
        </w:tc>
      </w:tr>
      <w:tr>
        <w:trPr>
          <w:trHeight w:val="140"/>
        </w:trPr>
        <w:tc>
          <w:tcPr>
            <w:tcW w:w="6740" w:type="dxa"/>
            <w:vAlign w:val="bottom"/>
            <w:gridSpan w:val="3"/>
          </w:tcPr>
          <w:p>
            <w:pPr>
              <w:jc w:val="center"/>
              <w:ind w:right="3119"/>
              <w:spacing w:after="0" w:line="140" w:lineRule="exact"/>
              <w:rPr>
                <w:sz w:val="20"/>
                <w:szCs w:val="20"/>
                <w:color w:val="auto"/>
              </w:rPr>
            </w:pPr>
            <w:r>
              <w:rPr>
                <w:rFonts w:ascii="Arial" w:cs="Arial" w:eastAsia="Arial" w:hAnsi="Arial"/>
                <w:sz w:val="14"/>
                <w:szCs w:val="14"/>
                <w:b w:val="1"/>
                <w:bCs w:val="1"/>
                <w:color w:val="auto"/>
                <w:w w:val="89"/>
              </w:rPr>
              <w:t>Class A common stock</w:t>
            </w:r>
          </w:p>
        </w:tc>
        <w:tc>
          <w:tcPr>
            <w:tcW w:w="1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NYSE MKT</w:t>
            </w:r>
          </w:p>
        </w:tc>
      </w:tr>
      <w:tr>
        <w:trPr>
          <w:trHeight w:val="186"/>
        </w:trPr>
        <w:tc>
          <w:tcPr>
            <w:tcW w:w="6740" w:type="dxa"/>
            <w:vAlign w:val="bottom"/>
            <w:gridSpan w:val="3"/>
          </w:tcPr>
          <w:p>
            <w:pPr>
              <w:jc w:val="center"/>
              <w:ind w:right="3119"/>
              <w:spacing w:after="0"/>
              <w:rPr>
                <w:sz w:val="20"/>
                <w:szCs w:val="20"/>
                <w:color w:val="auto"/>
              </w:rPr>
            </w:pPr>
            <w:r>
              <w:rPr>
                <w:rFonts w:ascii="Arial" w:cs="Arial" w:eastAsia="Arial" w:hAnsi="Arial"/>
                <w:sz w:val="14"/>
                <w:szCs w:val="14"/>
                <w:b w:val="1"/>
                <w:bCs w:val="1"/>
                <w:color w:val="auto"/>
                <w:w w:val="93"/>
              </w:rPr>
              <w:t>($.01 par value per share)</w:t>
            </w:r>
          </w:p>
        </w:tc>
        <w:tc>
          <w:tcPr>
            <w:tcW w:w="1680" w:type="dxa"/>
            <w:vAlign w:val="bottom"/>
          </w:tcPr>
          <w:p>
            <w:pPr>
              <w:spacing w:after="0"/>
              <w:rPr>
                <w:sz w:val="16"/>
                <w:szCs w:val="16"/>
                <w:color w:val="auto"/>
              </w:rPr>
            </w:pPr>
          </w:p>
        </w:tc>
      </w:tr>
    </w:tbl>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spacing w:after="0"/>
              <w:rPr>
                <w:sz w:val="18"/>
                <w:szCs w:val="18"/>
                <w:color w:val="auto"/>
              </w:rPr>
            </w:pPr>
          </w:p>
        </w:tc>
        <w:tc>
          <w:tcPr>
            <w:tcW w:w="6320" w:type="dxa"/>
            <w:vAlign w:val="bottom"/>
            <w:gridSpan w:val="4"/>
          </w:tcPr>
          <w:p>
            <w:pPr>
              <w:ind w:left="180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6"/>
                <w:szCs w:val="16"/>
                <w:b w:val="1"/>
                <w:bCs w:val="1"/>
                <w:color w:val="auto"/>
              </w:rPr>
              <w:t>None.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940" w:type="dxa"/>
            <w:vAlign w:val="bottom"/>
            <w:vMerge w:val="restart"/>
          </w:tcPr>
          <w:p>
            <w:pPr>
              <w:spacing w:after="0"/>
              <w:rPr>
                <w:sz w:val="20"/>
                <w:szCs w:val="20"/>
                <w:color w:val="auto"/>
              </w:rPr>
            </w:pPr>
            <w:r>
              <w:rPr>
                <w:rFonts w:ascii="Arial" w:cs="Arial" w:eastAsia="Arial" w:hAnsi="Arial"/>
                <w:sz w:val="14"/>
                <w:szCs w:val="14"/>
                <w:color w:val="auto"/>
              </w:rPr>
              <w:t>Indicate by check mark:</w:t>
            </w:r>
          </w:p>
        </w:tc>
        <w:tc>
          <w:tcPr>
            <w:tcW w:w="3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94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160" w:type="dxa"/>
            <w:vAlign w:val="bottom"/>
            <w:gridSpan w:val="3"/>
          </w:tcPr>
          <w:p>
            <w:pPr>
              <w:ind w:left="600"/>
              <w:spacing w:after="0"/>
              <w:rPr>
                <w:sz w:val="20"/>
                <w:szCs w:val="20"/>
                <w:color w:val="auto"/>
              </w:rPr>
            </w:pPr>
            <w:r>
              <w:rPr>
                <w:rFonts w:ascii="Arial" w:cs="Arial" w:eastAsia="Arial" w:hAnsi="Arial"/>
                <w:sz w:val="14"/>
                <w:szCs w:val="14"/>
                <w:color w:val="auto"/>
                <w:w w:val="95"/>
              </w:rPr>
              <w:t>If the Registrant is a well-known seasoned issuer, as defined in Rule 405 of the Securities Act.</w:t>
            </w:r>
          </w:p>
        </w:tc>
        <w:tc>
          <w:tcPr>
            <w:tcW w:w="5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5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60" w:type="dxa"/>
            <w:vAlign w:val="bottom"/>
            <w:gridSpan w:val="3"/>
          </w:tcPr>
          <w:p>
            <w:pPr>
              <w:ind w:left="600"/>
              <w:spacing w:after="0"/>
              <w:rPr>
                <w:sz w:val="20"/>
                <w:szCs w:val="20"/>
                <w:color w:val="auto"/>
              </w:rPr>
            </w:pPr>
            <w:r>
              <w:rPr>
                <w:rFonts w:ascii="Arial" w:cs="Arial" w:eastAsia="Arial" w:hAnsi="Arial"/>
                <w:sz w:val="14"/>
                <w:szCs w:val="14"/>
                <w:color w:val="auto"/>
                <w:w w:val="93"/>
              </w:rPr>
              <w:t>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5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1400" w:type="dxa"/>
            <w:vAlign w:val="bottom"/>
            <w:gridSpan w:val="10"/>
          </w:tcPr>
          <w:p>
            <w:pPr>
              <w:ind w:left="600"/>
              <w:spacing w:after="0"/>
              <w:rPr>
                <w:sz w:val="20"/>
                <w:szCs w:val="20"/>
                <w:color w:val="auto"/>
              </w:rPr>
            </w:pPr>
            <w:r>
              <w:rPr>
                <w:rFonts w:ascii="Arial" w:cs="Arial" w:eastAsia="Arial" w:hAnsi="Arial"/>
                <w:sz w:val="14"/>
                <w:szCs w:val="14"/>
                <w:color w:val="auto"/>
                <w:w w:val="96"/>
              </w:rPr>
              <w:t>Whether the Registrant (1) has filed all reports required to be filed by Section 13 or 15(d) of the Securities Exchange Act of 1934 during the preceding 12 months (or for such shorter</w:t>
            </w:r>
          </w:p>
        </w:tc>
        <w:tc>
          <w:tcPr>
            <w:tcW w:w="0" w:type="dxa"/>
            <w:vAlign w:val="bottom"/>
          </w:tcPr>
          <w:p>
            <w:pPr>
              <w:spacing w:after="0"/>
              <w:rPr>
                <w:sz w:val="1"/>
                <w:szCs w:val="1"/>
                <w:color w:val="auto"/>
              </w:rPr>
            </w:pPr>
          </w:p>
        </w:tc>
      </w:tr>
      <w:tr>
        <w:trPr>
          <w:trHeight w:val="226"/>
        </w:trPr>
        <w:tc>
          <w:tcPr>
            <w:tcW w:w="8260" w:type="dxa"/>
            <w:vAlign w:val="bottom"/>
            <w:gridSpan w:val="5"/>
          </w:tcPr>
          <w:p>
            <w:pPr>
              <w:ind w:left="600"/>
              <w:spacing w:after="0"/>
              <w:rPr>
                <w:sz w:val="20"/>
                <w:szCs w:val="20"/>
                <w:color w:val="auto"/>
              </w:rPr>
            </w:pPr>
            <w:r>
              <w:rPr>
                <w:rFonts w:ascii="Arial" w:cs="Arial" w:eastAsia="Arial" w:hAnsi="Arial"/>
                <w:sz w:val="14"/>
                <w:szCs w:val="14"/>
                <w:color w:val="auto"/>
                <w:w w:val="92"/>
              </w:rPr>
              <w:t>period that the Registrant was required to file such reports), and (2) has been subject to such filing requirements for the past 90 days.</w:t>
            </w:r>
          </w:p>
        </w:tc>
        <w:tc>
          <w:tcPr>
            <w:tcW w:w="360" w:type="dxa"/>
            <w:vAlign w:val="bottom"/>
          </w:tcPr>
          <w:p>
            <w:pPr>
              <w:ind w:left="120"/>
              <w:spacing w:after="0"/>
              <w:rPr>
                <w:sz w:val="20"/>
                <w:szCs w:val="20"/>
                <w:color w:val="auto"/>
              </w:rPr>
            </w:pPr>
            <w:r>
              <w:rPr>
                <w:rFonts w:ascii="Arial" w:cs="Arial" w:eastAsia="Arial" w:hAnsi="Arial"/>
                <w:sz w:val="14"/>
                <w:szCs w:val="14"/>
                <w:color w:val="auto"/>
                <w:w w:val="90"/>
              </w:rPr>
              <w:t>Yes</w:t>
            </w:r>
          </w:p>
        </w:tc>
        <w:tc>
          <w:tcPr>
            <w:tcW w:w="3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No</w:t>
            </w:r>
          </w:p>
        </w:tc>
        <w:tc>
          <w:tcPr>
            <w:tcW w:w="1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400" w:type="dxa"/>
            <w:vAlign w:val="bottom"/>
            <w:gridSpan w:val="10"/>
          </w:tcPr>
          <w:p>
            <w:pPr>
              <w:ind w:left="600"/>
              <w:spacing w:after="0"/>
              <w:rPr>
                <w:sz w:val="20"/>
                <w:szCs w:val="20"/>
                <w:color w:val="auto"/>
              </w:rPr>
            </w:pPr>
            <w:r>
              <w:rPr>
                <w:rFonts w:ascii="Arial" w:cs="Arial" w:eastAsia="Arial" w:hAnsi="Arial"/>
                <w:sz w:val="14"/>
                <w:szCs w:val="14"/>
                <w:color w:val="auto"/>
                <w:w w:val="95"/>
              </w:rPr>
              <w:t>Whether the registrant has submitted electronically and posted on its corporate website, if any, every Interactive Data File required to be submitted and posted pursuant to Rule 405 of</w:t>
            </w:r>
          </w:p>
        </w:tc>
        <w:tc>
          <w:tcPr>
            <w:tcW w:w="0" w:type="dxa"/>
            <w:vAlign w:val="bottom"/>
          </w:tcPr>
          <w:p>
            <w:pPr>
              <w:spacing w:after="0"/>
              <w:rPr>
                <w:sz w:val="1"/>
                <w:szCs w:val="1"/>
                <w:color w:val="auto"/>
              </w:rPr>
            </w:pPr>
          </w:p>
        </w:tc>
      </w:tr>
      <w:tr>
        <w:trPr>
          <w:trHeight w:val="226"/>
        </w:trPr>
        <w:tc>
          <w:tcPr>
            <w:tcW w:w="8620" w:type="dxa"/>
            <w:vAlign w:val="bottom"/>
            <w:gridSpan w:val="6"/>
          </w:tcPr>
          <w:p>
            <w:pPr>
              <w:ind w:left="600"/>
              <w:spacing w:after="0"/>
              <w:rPr>
                <w:sz w:val="20"/>
                <w:szCs w:val="20"/>
                <w:color w:val="auto"/>
              </w:rPr>
            </w:pPr>
            <w:r>
              <w:rPr>
                <w:rFonts w:ascii="Arial" w:cs="Arial" w:eastAsia="Arial" w:hAnsi="Arial"/>
                <w:sz w:val="14"/>
                <w:szCs w:val="14"/>
                <w:color w:val="auto"/>
                <w:w w:val="93"/>
              </w:rPr>
              <w:t>Regulation S-T during the preceding 12 months (or for such shorter period that the registration was required to submit and post such files).</w:t>
            </w:r>
          </w:p>
        </w:tc>
        <w:tc>
          <w:tcPr>
            <w:tcW w:w="320" w:type="dxa"/>
            <w:vAlign w:val="bottom"/>
          </w:tcPr>
          <w:p>
            <w:pPr>
              <w:ind w:left="120"/>
              <w:spacing w:after="0"/>
              <w:rPr>
                <w:sz w:val="20"/>
                <w:szCs w:val="20"/>
                <w:color w:val="auto"/>
              </w:rPr>
            </w:pPr>
            <w:r>
              <w:rPr>
                <w:rFonts w:ascii="Arial" w:cs="Arial" w:eastAsia="Arial" w:hAnsi="Arial"/>
                <w:sz w:val="14"/>
                <w:szCs w:val="14"/>
                <w:color w:val="auto"/>
                <w:w w:val="74"/>
              </w:rPr>
              <w:t>Yes</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62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1400" w:type="dxa"/>
            <w:vAlign w:val="bottom"/>
            <w:gridSpan w:val="10"/>
          </w:tcPr>
          <w:p>
            <w:pPr>
              <w:ind w:left="600"/>
              <w:spacing w:after="0"/>
              <w:rPr>
                <w:sz w:val="20"/>
                <w:szCs w:val="20"/>
                <w:color w:val="auto"/>
              </w:rPr>
            </w:pPr>
            <w:r>
              <w:rPr>
                <w:rFonts w:ascii="Arial" w:cs="Arial" w:eastAsia="Arial" w:hAnsi="Arial"/>
                <w:sz w:val="14"/>
                <w:szCs w:val="14"/>
                <w:color w:val="auto"/>
                <w:w w:val="96"/>
              </w:rPr>
              <w:t>If disclosure of delinquent filers pursuant to Item 405 of Regulation S-K is not contained herein, and will not be contained, to the best of Registrant’s knowledge, in definitive proxy or</w:t>
            </w:r>
          </w:p>
        </w:tc>
        <w:tc>
          <w:tcPr>
            <w:tcW w:w="0" w:type="dxa"/>
            <w:vAlign w:val="bottom"/>
          </w:tcPr>
          <w:p>
            <w:pPr>
              <w:spacing w:after="0"/>
              <w:rPr>
                <w:sz w:val="1"/>
                <w:szCs w:val="1"/>
                <w:color w:val="auto"/>
              </w:rPr>
            </w:pPr>
          </w:p>
        </w:tc>
      </w:tr>
      <w:tr>
        <w:trPr>
          <w:trHeight w:val="226"/>
        </w:trPr>
        <w:tc>
          <w:tcPr>
            <w:tcW w:w="8260" w:type="dxa"/>
            <w:vAlign w:val="bottom"/>
            <w:gridSpan w:val="5"/>
          </w:tcPr>
          <w:p>
            <w:pPr>
              <w:ind w:left="600"/>
              <w:spacing w:after="0" w:line="161" w:lineRule="exact"/>
              <w:rPr>
                <w:sz w:val="20"/>
                <w:szCs w:val="20"/>
                <w:color w:val="auto"/>
              </w:rPr>
            </w:pPr>
            <w:r>
              <w:rPr>
                <w:rFonts w:ascii="Arial" w:cs="Arial" w:eastAsia="Arial" w:hAnsi="Arial"/>
                <w:sz w:val="14"/>
                <w:szCs w:val="14"/>
                <w:color w:val="auto"/>
                <w:w w:val="97"/>
              </w:rPr>
              <w:t xml:space="preserve">information statements incorporated by reference in Part III of this Form 10-K or any amendment to this Form 10-K.  Yes </w:t>
            </w:r>
            <w:r>
              <w:rPr>
                <w:rFonts w:ascii="MS PGothic" w:cs="MS PGothic" w:eastAsia="MS PGothic" w:hAnsi="MS PGothic"/>
                <w:sz w:val="14"/>
                <w:szCs w:val="14"/>
                <w:color w:val="auto"/>
                <w:w w:val="97"/>
              </w:rPr>
              <w:t>☒</w:t>
            </w:r>
            <w:r>
              <w:rPr>
                <w:rFonts w:ascii="Arial" w:cs="Arial" w:eastAsia="Arial" w:hAnsi="Arial"/>
                <w:sz w:val="14"/>
                <w:szCs w:val="14"/>
                <w:color w:val="auto"/>
                <w:w w:val="97"/>
              </w:rPr>
              <w:t xml:space="preserve"> No</w:t>
            </w:r>
          </w:p>
        </w:tc>
        <w:tc>
          <w:tcPr>
            <w:tcW w:w="3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60" w:type="dxa"/>
            <w:vAlign w:val="bottom"/>
            <w:gridSpan w:val="5"/>
          </w:tcPr>
          <w:p>
            <w:pPr>
              <w:ind w:left="600"/>
              <w:spacing w:after="0"/>
              <w:rPr>
                <w:sz w:val="20"/>
                <w:szCs w:val="20"/>
                <w:color w:val="auto"/>
              </w:rPr>
            </w:pPr>
            <w:r>
              <w:rPr>
                <w:rFonts w:ascii="Arial" w:cs="Arial" w:eastAsia="Arial" w:hAnsi="Arial"/>
                <w:sz w:val="14"/>
                <w:szCs w:val="14"/>
                <w:color w:val="auto"/>
                <w:w w:val="93"/>
              </w:rPr>
              <w:t>Whether the registrant is a large accelerated filer, an accelerated filer or a non-accelerated filer (as defined in Rule 12b-2 of the Act).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220" w:type="dxa"/>
            <w:vAlign w:val="bottom"/>
            <w:gridSpan w:val="2"/>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4220" w:type="dxa"/>
            <w:vAlign w:val="bottom"/>
            <w:gridSpan w:val="2"/>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220" w:type="dxa"/>
            <w:vAlign w:val="bottom"/>
            <w:gridSpan w:val="2"/>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0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600"/>
        <w:spacing w:after="0" w:line="161" w:lineRule="exact"/>
        <w:tabs>
          <w:tab w:leader="none" w:pos="6000" w:val="left"/>
          <w:tab w:leader="none" w:pos="6560" w:val="left"/>
        </w:tabs>
        <w:rPr>
          <w:sz w:val="20"/>
          <w:szCs w:val="20"/>
          <w:color w:val="auto"/>
        </w:rPr>
      </w:pPr>
      <w:r>
        <w:rPr>
          <w:rFonts w:ascii="Arial" w:cs="Arial" w:eastAsia="Arial" w:hAnsi="Arial"/>
          <w:sz w:val="14"/>
          <w:szCs w:val="14"/>
          <w:color w:val="auto"/>
        </w:rPr>
        <w:t>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The aggregate market value of the 1.7 million shares of voting stock held by nonaffiliates of CompX International Inc. as of June 30, 2017 (the last business day of the Registrant’s most recently completed second fiscal quarter) approximated $25.2 million.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2018, 2,426,107 shares of Class A common stock were outstanding.</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56"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521335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color w:val="auto"/>
        </w:rPr>
        <w:t>CompX International Inc. (NYSE MKT: CIX), incorporated in Delaware in 1993, is a leading manufacturer of security products used in the recreational transportation, postal, office and institutional furniture, cabinetry, tool storage, healthcare and a variety of other industries. We are also a leading manufacturer of stainless steel exhaust systems, gauges, throttle controls, and trim tabs for the recreational marine industry. Our products are principally designed for use in medium to high-end product applications, where design, quality and durability are valued by our customers.</w:t>
      </w:r>
    </w:p>
    <w:p>
      <w:pPr>
        <w:spacing w:after="0" w:line="171"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At December 31, 2017, (i) NL Industries, Inc. (NYSE: NL) owns 87% of our outstanding common stock, Valhi, Inc. (NYSE: VHI) owns 83% of NL’s outstanding common stock and a subsidiary of Contran Corporation owns 93% of Valhi’s outstanding common stock. As discussed in Note 1 to our Consolidated Financial Statements, Lisa K. Simmons and Serena Simmons Connelly may be deemed to control Contran, Valhi, NL and us.</w:t>
      </w:r>
    </w:p>
    <w:p>
      <w:pPr>
        <w:spacing w:after="0" w:line="166"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 xml:space="preserve">Our corporate offices are located at Three Lincoln Centre, 5430 LBJ Freeway, Suite 1700, Dallas, Texas 75240. Our telephone number is (972) 448-1400. We maintain a website at </w:t>
      </w:r>
      <w:r>
        <w:rPr>
          <w:rFonts w:ascii="Arial" w:cs="Arial" w:eastAsia="Arial" w:hAnsi="Arial"/>
          <w:sz w:val="18"/>
          <w:szCs w:val="18"/>
          <w:u w:val="single" w:color="auto"/>
          <w:color w:val="auto"/>
        </w:rPr>
        <w:t>www.compx.com</w:t>
      </w:r>
      <w:r>
        <w:rPr>
          <w:rFonts w:ascii="Arial" w:cs="Arial" w:eastAsia="Arial" w:hAnsi="Arial"/>
          <w:sz w:val="18"/>
          <w:szCs w:val="18"/>
          <w:color w:val="auto"/>
        </w:rPr>
        <w:t>.</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Unless otherwise indicated, references in this report to “we,” “us,” or “our” refer to CompX International Inc. and its subsidiaries taken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1194"/>
        <w:spacing w:after="0" w:line="253"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89" w:lineRule="exact"/>
        <w:rPr>
          <w:sz w:val="20"/>
          <w:szCs w:val="20"/>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225" w:lineRule="exact"/>
        <w:rPr>
          <w:rFonts w:ascii="Arial" w:cs="Arial" w:eastAsia="Arial" w:hAnsi="Arial"/>
          <w:sz w:val="18"/>
          <w:szCs w:val="18"/>
          <w:color w:val="auto"/>
        </w:rPr>
      </w:pPr>
    </w:p>
    <w:p>
      <w:pPr>
        <w:ind w:left="5660" w:hanging="96"/>
        <w:spacing w:after="0"/>
        <w:tabs>
          <w:tab w:leader="none" w:pos="5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right="20" w:firstLine="1194"/>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We manufacture engineered components utilized in a variety of applications and industries. We manufacture mechanical and electrical cabinet locks and other locking mechanisms used in the recreational transportation, postal, office and institutional furniture, cabinetry, tool storage and healthcare applications. We also manufacture stainless steel exhaust systems, gauges, throttle controls and trim tabs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6 – “Selected Financial Data” and Item 7 – “Management’s Discussion and Analysis of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currently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Operations and Products</w:t>
      </w:r>
    </w:p>
    <w:p>
      <w:pPr>
        <w:spacing w:after="0" w:line="117" w:lineRule="exact"/>
        <w:rPr>
          <w:sz w:val="20"/>
          <w:szCs w:val="20"/>
          <w:color w:val="auto"/>
        </w:rPr>
      </w:pPr>
    </w:p>
    <w:p>
      <w:pPr>
        <w:jc w:val="both"/>
        <w:ind w:firstLine="1194"/>
        <w:spacing w:after="0" w:line="276"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Our Security Products segment manufactures mechanical and electronic cabinet locks and other locking mechanisms used</w:t>
      </w:r>
      <w:r>
        <w:rPr>
          <w:rFonts w:ascii="Arial" w:cs="Arial" w:eastAsia="Arial" w:hAnsi="Arial"/>
          <w:sz w:val="17"/>
          <w:szCs w:val="17"/>
          <w:i w:val="1"/>
          <w:iCs w:val="1"/>
          <w:color w:val="auto"/>
        </w:rPr>
        <w:t xml:space="preserve"> </w:t>
      </w:r>
      <w:r>
        <w:rPr>
          <w:rFonts w:ascii="Arial" w:cs="Arial" w:eastAsia="Arial" w:hAnsi="Arial"/>
          <w:sz w:val="17"/>
          <w:szCs w:val="17"/>
          <w:color w:val="auto"/>
        </w:rPr>
        <w:t>in a variety of applications including ignition systems, mailboxes, file cabinets, desk drawers, tool storage cabinets, vending and gaming machines, high security medical cabinetry, electronic circuit panels, storage compartments and gas station security. Our Security Products segment has one manufacturing facility in Mauldin, South Carolina and one in Grayslake, Illinois shared with Marine Components. We believe we are a North American market leader in the manufacture and sale of cabinet locks and other locking mechanisms. These products include:</w:t>
      </w:r>
    </w:p>
    <w:p>
      <w:pPr>
        <w:spacing w:after="0" w:line="64"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 tumbler locks which provide moderate security and generally represent the lowest cost lock to produce;</w:t>
      </w:r>
    </w:p>
    <w:p>
      <w:pPr>
        <w:spacing w:after="0" w:line="117" w:lineRule="exact"/>
        <w:rPr>
          <w:rFonts w:ascii="Arial" w:cs="Arial" w:eastAsia="Arial" w:hAnsi="Arial"/>
          <w:sz w:val="18"/>
          <w:szCs w:val="18"/>
          <w:color w:val="auto"/>
        </w:rPr>
      </w:pPr>
    </w:p>
    <w:p>
      <w:pPr>
        <w:jc w:val="both"/>
        <w:ind w:left="1200" w:right="20" w:hanging="598"/>
        <w:spacing w:after="0" w:line="232"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pin tumbler locking mechanisms which are more costly to produce and are used in applications requiring higher levels of security, including </w:t>
      </w:r>
      <w:r>
        <w:rPr>
          <w:rFonts w:ascii="Arial" w:cs="Arial" w:eastAsia="Arial" w:hAnsi="Arial"/>
          <w:sz w:val="18"/>
          <w:szCs w:val="18"/>
          <w:i w:val="1"/>
          <w:iCs w:val="1"/>
          <w:color w:val="auto"/>
        </w:rPr>
        <w:t>KeSet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System 64</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each allow the user to change the keying on a single lock 64 times without removing the lock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enclosure), </w:t>
      </w:r>
      <w:r>
        <w:rPr>
          <w:rFonts w:ascii="Arial" w:cs="Arial" w:eastAsia="Arial" w:hAnsi="Arial"/>
          <w:sz w:val="18"/>
          <w:szCs w:val="18"/>
          <w:i w:val="1"/>
          <w:iCs w:val="1"/>
          <w:color w:val="auto"/>
        </w:rPr>
        <w:t>TuBar</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Turbine</w:t>
      </w:r>
      <w:r>
        <w:rPr>
          <w:rFonts w:ascii="Arial" w:cs="Arial" w:eastAsia="Arial" w:hAnsi="Arial"/>
          <w:sz w:val="21"/>
          <w:szCs w:val="21"/>
          <w:i w:val="1"/>
          <w:iCs w:val="1"/>
          <w:color w:val="auto"/>
        </w:rPr>
        <w:t>™</w:t>
      </w:r>
      <w:r>
        <w:rPr>
          <w:rFonts w:ascii="Arial" w:cs="Arial" w:eastAsia="Arial" w:hAnsi="Arial"/>
          <w:sz w:val="18"/>
          <w:szCs w:val="18"/>
          <w:color w:val="auto"/>
        </w:rPr>
        <w:t>; and</w:t>
      </w:r>
    </w:p>
    <w:p>
      <w:pPr>
        <w:spacing w:after="0" w:line="5" w:lineRule="exact"/>
        <w:rPr>
          <w:rFonts w:ascii="Arial" w:cs="Arial" w:eastAsia="Arial" w:hAnsi="Arial"/>
          <w:sz w:val="18"/>
          <w:szCs w:val="18"/>
          <w:color w:val="auto"/>
        </w:rPr>
      </w:pPr>
    </w:p>
    <w:p>
      <w:pPr>
        <w:ind w:left="1200" w:right="20" w:hanging="598"/>
        <w:spacing w:after="0" w:line="211"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innovative </w:t>
      </w:r>
      <w:r>
        <w:rPr>
          <w:rFonts w:ascii="Arial" w:cs="Arial" w:eastAsia="Arial" w:hAnsi="Arial"/>
          <w:sz w:val="18"/>
          <w:szCs w:val="18"/>
          <w:i w:val="1"/>
          <w:iCs w:val="1"/>
          <w:color w:val="auto"/>
        </w:rPr>
        <w:t>CompX eLock</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StealthLock</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electronic locks which provide stand-alone or networked security and audit trail capability for drug storage and other valuables through the use of a proximity card, magnetic stripe or keypad credentials.</w:t>
      </w:r>
    </w:p>
    <w:p>
      <w:pPr>
        <w:spacing w:after="0" w:line="203"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 w:name="page4"/>
    <w:bookmarkEnd w:id="3"/>
    <w:p>
      <w:pPr>
        <w:jc w:val="both"/>
        <w:ind w:firstLine="1194"/>
        <w:spacing w:after="0" w:line="290" w:lineRule="auto"/>
        <w:rPr>
          <w:sz w:val="20"/>
          <w:szCs w:val="20"/>
          <w:color w:val="auto"/>
        </w:rPr>
      </w:pPr>
      <w:r>
        <w:rPr>
          <w:rFonts w:ascii="Arial" w:cs="Arial" w:eastAsia="Arial" w:hAnsi="Arial"/>
          <w:sz w:val="17"/>
          <w:szCs w:val="17"/>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distributors via our </w:t>
      </w: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r>
        <w:rPr>
          <w:rFonts w:ascii="Arial" w:cs="Arial" w:eastAsia="Arial" w:hAnsi="Arial"/>
          <w:sz w:val="17"/>
          <w:szCs w:val="17"/>
          <w:color w:val="auto"/>
        </w:rPr>
        <w:t xml:space="preserve"> distribution program.</w:t>
      </w:r>
    </w:p>
    <w:p>
      <w:pPr>
        <w:spacing w:after="0" w:line="45"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Our Marine Components segment manufactures and distributes stainless steel exhaust components, gauges, throttle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trim tabs, hardware and accessories primarily for performance and ski/wakeboard boats. Our Marine Components segment has a facility in Neenah, Wisconsin and a facility in Grayslake, Illinois shared with Security Products. Our specialty Marine Component products are high precision components designed to operate within tight tolerances in the highly demanding marine environment. These products include:</w:t>
      </w:r>
    </w:p>
    <w:p>
      <w:pPr>
        <w:spacing w:after="0" w:line="63"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equipment and aftermarket stainless steel exhaust headers, exhaust pipes, mufflers and other exhaust components;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performance gauges such as GPS speedometers and tachometers;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mechanical and electronic controls and throttles;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steering wheels, trim tabs and other billet aluminum accessories;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dash panels, LED lighting, wire harnesses and other accessories.</w:t>
      </w:r>
    </w:p>
    <w:p>
      <w:pPr>
        <w:spacing w:after="0" w:line="225"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For information regarding our three manufacturing and other facilities, see “Item 2 – Properties,” including information regarding leased and distribution-only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primary raw materials are:</w:t>
      </w:r>
    </w:p>
    <w:p>
      <w:pPr>
        <w:spacing w:after="0" w:line="117"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zinc and brass (used in the Security Products segment for the manufacture of locking mechanisms);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stainless steel (used primarily in the Marine Components segment for the manufacture of exhaust headers and pipes), aluminum (used for the manufacture of throttles and trim tabs), and other components.</w:t>
      </w:r>
    </w:p>
    <w:p>
      <w:pPr>
        <w:spacing w:after="0" w:line="170" w:lineRule="exact"/>
        <w:rPr>
          <w:sz w:val="20"/>
          <w:szCs w:val="20"/>
          <w:color w:val="auto"/>
        </w:rPr>
      </w:pPr>
    </w:p>
    <w:p>
      <w:pPr>
        <w:jc w:val="both"/>
        <w:ind w:firstLine="1194"/>
        <w:spacing w:after="0" w:line="342" w:lineRule="auto"/>
        <w:rPr>
          <w:sz w:val="20"/>
          <w:szCs w:val="20"/>
          <w:color w:val="auto"/>
        </w:rPr>
      </w:pPr>
      <w:r>
        <w:rPr>
          <w:rFonts w:ascii="Arial" w:cs="Arial" w:eastAsia="Arial" w:hAnsi="Arial"/>
          <w:sz w:val="16"/>
          <w:szCs w:val="16"/>
          <w:color w:val="auto"/>
        </w:rPr>
        <w:t>These raw materials are purchased from several suppliers, are readily available from numerous sources and accounted for approximately 11% of our total cost of sales for 2017. Total material costs, including purchased components, represented approximately 44% of our cost of sales in 2017.</w:t>
      </w:r>
    </w:p>
    <w:p>
      <w:pPr>
        <w:spacing w:after="0" w:line="124" w:lineRule="exact"/>
        <w:rPr>
          <w:sz w:val="20"/>
          <w:szCs w:val="20"/>
          <w:color w:val="auto"/>
        </w:rPr>
      </w:pPr>
    </w:p>
    <w:p>
      <w:pPr>
        <w:jc w:val="both"/>
        <w:ind w:firstLine="1194"/>
        <w:spacing w:after="0" w:line="268" w:lineRule="auto"/>
        <w:rPr>
          <w:sz w:val="20"/>
          <w:szCs w:val="20"/>
          <w:color w:val="auto"/>
        </w:rPr>
      </w:pPr>
      <w:r>
        <w:rPr>
          <w:rFonts w:ascii="Arial" w:cs="Arial" w:eastAsia="Arial" w:hAnsi="Arial"/>
          <w:sz w:val="17"/>
          <w:szCs w:val="17"/>
          <w:color w:val="auto"/>
        </w:rPr>
        <w:t>We occasionally enter into short-term commodity-related raw material supply arrangements to mitigate the impact of future price increases in commodity-related raw materials, including zinc, brass and stainless steel. These arrangements generally provide for stated unit prices based upon specified purchase volumes, which help us to stabilize our commodity-related raw material costs to a certain extent. During 2016 and 2017, markets for the primary commodity-related raw materials used in the manufacture of our locking mechanisms, primarily zinc and brass, generally strengthened, resulting in price increases that exceeded general inflation rates. In the case of zinc, our purchases late in 2017 bore unit costs over 50% higher than those acquired two years earlier. Over that same period, the market for stainless steel, the primary raw material used for the manufacture of marine exhaust headers and pipes, remained relatively stable. While we expect the markets for our primary commodity-related raw materials to stabilize during 2018, we recognize that strengthening economic conditions may exert upward price pressure on these and other manufacturing materials. When purchased on the spot market, each of these raw materials may be subject to sudden and unanticipated price increases. We generally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served by our products. Consequently, overall operating margins can be affected by commodity-related raw material cost pressures. Commodity market prices are cyclical, reflecting overall economic trends, specific developments in consuming industries and speculative investor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Patents and Trademarks</w:t>
      </w:r>
    </w:p>
    <w:p>
      <w:pPr>
        <w:spacing w:after="0" w:line="11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hold a number of patents relating to our component products, certain of which we believe to be important to us and our continuing business activity. Patents generally have a term of 20 years, and our patents have remaining terms ranging from less than 1 year to 17 years at December 31, 2017.</w:t>
      </w:r>
    </w:p>
    <w:p>
      <w:pPr>
        <w:spacing w:after="0" w:line="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Our major trademarks and brand names in addition to </w:t>
      </w:r>
      <w:r>
        <w:rPr>
          <w:rFonts w:ascii="Arial" w:cs="Arial" w:eastAsia="Arial" w:hAnsi="Arial"/>
          <w:sz w:val="21"/>
          <w:szCs w:val="21"/>
          <w:i w:val="1"/>
          <w:iCs w:val="1"/>
          <w:color w:val="auto"/>
        </w:rPr>
        <w:t>CompX</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include:</w:t>
      </w:r>
    </w:p>
    <w:p>
      <w:pPr>
        <w:spacing w:after="0" w:line="186" w:lineRule="exact"/>
        <w:rPr>
          <w:sz w:val="20"/>
          <w:szCs w:val="20"/>
          <w:color w:val="auto"/>
        </w:rPr>
      </w:pPr>
    </w:p>
    <w:p>
      <w:pPr>
        <w:ind w:left="1380"/>
        <w:spacing w:after="0"/>
        <w:tabs>
          <w:tab w:leader="none" w:pos="5080" w:val="left"/>
          <w:tab w:leader="none" w:pos="8760" w:val="left"/>
        </w:tabs>
        <w:rPr>
          <w:sz w:val="20"/>
          <w:szCs w:val="20"/>
          <w:color w:val="auto"/>
        </w:rPr>
      </w:pPr>
      <w:r>
        <w:rPr>
          <w:rFonts w:ascii="Arial" w:cs="Arial" w:eastAsia="Arial" w:hAnsi="Arial"/>
          <w:sz w:val="14"/>
          <w:szCs w:val="14"/>
          <w:b w:val="1"/>
          <w:bCs w:val="1"/>
          <w:color w:val="auto"/>
        </w:rPr>
        <w:t>Security Products</w:t>
      </w:r>
      <w:r>
        <w:rPr>
          <w:sz w:val="20"/>
          <w:szCs w:val="20"/>
          <w:color w:val="auto"/>
        </w:rPr>
        <w:tab/>
      </w:r>
      <w:r>
        <w:rPr>
          <w:rFonts w:ascii="Arial" w:cs="Arial" w:eastAsia="Arial" w:hAnsi="Arial"/>
          <w:sz w:val="14"/>
          <w:szCs w:val="14"/>
          <w:b w:val="1"/>
          <w:bCs w:val="1"/>
          <w:color w:val="auto"/>
        </w:rPr>
        <w:t>Security Products</w:t>
      </w:r>
      <w:r>
        <w:rPr>
          <w:sz w:val="20"/>
          <w:szCs w:val="20"/>
          <w:color w:val="auto"/>
        </w:rPr>
        <w:tab/>
      </w:r>
      <w:r>
        <w:rPr>
          <w:rFonts w:ascii="Arial" w:cs="Arial" w:eastAsia="Arial" w:hAnsi="Arial"/>
          <w:sz w:val="13"/>
          <w:szCs w:val="13"/>
          <w:b w:val="1"/>
          <w:bCs w:val="1"/>
          <w:color w:val="auto"/>
        </w:rPr>
        <w:t>Marine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6350</wp:posOffset>
            </wp:positionV>
            <wp:extent cx="2444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CompX</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Security Products™</w:t>
            </w:r>
          </w:p>
        </w:tc>
        <w:tc>
          <w:tcPr>
            <w:tcW w:w="12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6"/>
                <w:szCs w:val="16"/>
                <w:i w:val="1"/>
                <w:iCs w:val="1"/>
                <w:color w:val="auto"/>
              </w:rPr>
              <w:t>Lockview</w:t>
            </w:r>
            <w:r>
              <w:rPr>
                <w:rFonts w:ascii="Arial" w:cs="Arial" w:eastAsia="Arial" w:hAnsi="Arial"/>
                <w:sz w:val="22"/>
                <w:szCs w:val="22"/>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National Cabinet Lock</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System 64</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Fort Lock</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SlamCAM</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Timberline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Lock</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RegulatoR</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Chicago Lock</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CompXpress</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GEM</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KeSet</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TuBar</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StealthLock</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II</w:t>
            </w:r>
          </w:p>
        </w:tc>
        <w:tc>
          <w:tcPr>
            <w:tcW w:w="3500" w:type="dxa"/>
            <w:vAlign w:val="bottom"/>
          </w:tcPr>
          <w:p>
            <w:pPr>
              <w:spacing w:after="0"/>
              <w:rPr>
                <w:sz w:val="18"/>
                <w:szCs w:val="18"/>
                <w:color w:val="auto"/>
              </w:rPr>
            </w:pPr>
          </w:p>
        </w:tc>
      </w:tr>
      <w:tr>
        <w:trPr>
          <w:trHeight w:val="348"/>
        </w:trPr>
        <w:tc>
          <w:tcPr>
            <w:tcW w:w="3820" w:type="dxa"/>
            <w:vAlign w:val="bottom"/>
            <w:gridSpan w:val="3"/>
          </w:tcPr>
          <w:p>
            <w:pPr>
              <w:spacing w:after="0"/>
              <w:rPr>
                <w:sz w:val="20"/>
                <w:szCs w:val="20"/>
                <w:color w:val="auto"/>
              </w:rPr>
            </w:pPr>
            <w:r>
              <w:rPr>
                <w:rFonts w:ascii="Arial" w:cs="Arial" w:eastAsia="Arial" w:hAnsi="Arial"/>
                <w:sz w:val="18"/>
                <w:szCs w:val="18"/>
                <w:i w:val="1"/>
                <w:iCs w:val="1"/>
                <w:color w:val="auto"/>
              </w:rPr>
              <w:t>CompX eLock</w:t>
            </w:r>
            <w:r>
              <w:rPr>
                <w:rFonts w:ascii="Arial" w:cs="Arial" w:eastAsia="Arial" w:hAnsi="Arial"/>
                <w:sz w:val="26"/>
                <w:szCs w:val="26"/>
                <w:i w:val="1"/>
                <w:iCs w:val="1"/>
                <w:color w:val="auto"/>
                <w:vertAlign w:val="superscript"/>
              </w:rPr>
              <w:t>®</w:t>
            </w:r>
          </w:p>
        </w:tc>
        <w:tc>
          <w:tcPr>
            <w:tcW w:w="3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1" w:lineRule="auto"/>
        <w:rPr>
          <w:sz w:val="20"/>
          <w:szCs w:val="20"/>
          <w:color w:val="auto"/>
        </w:rPr>
      </w:pPr>
      <w:r>
        <w:rPr>
          <w:rFonts w:ascii="Arial" w:cs="Arial" w:eastAsia="Arial" w:hAnsi="Arial"/>
          <w:sz w:val="18"/>
          <w:szCs w:val="18"/>
          <w:i w:val="1"/>
          <w:iCs w:val="1"/>
          <w:color w:val="auto"/>
        </w:rPr>
        <w:t>CompX Marine</w:t>
      </w:r>
      <w:r>
        <w:rPr>
          <w:rFonts w:ascii="Arial" w:cs="Arial" w:eastAsia="Arial" w:hAnsi="Arial"/>
          <w:sz w:val="26"/>
          <w:szCs w:val="26"/>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 Marine</w:t>
      </w:r>
      <w:r>
        <w:rPr>
          <w:rFonts w:ascii="Arial" w:cs="Arial" w:eastAsia="Arial" w:hAnsi="Arial"/>
          <w:sz w:val="15"/>
          <w:szCs w:val="15"/>
          <w:i w:val="1"/>
          <w:iCs w:val="1"/>
          <w:color w:val="auto"/>
        </w:rPr>
        <w:t>®</w:t>
      </w:r>
    </w:p>
    <w:p>
      <w:pPr>
        <w:spacing w:after="0" w:line="183" w:lineRule="auto"/>
        <w:rPr>
          <w:sz w:val="20"/>
          <w:szCs w:val="20"/>
          <w:color w:val="auto"/>
        </w:rPr>
      </w:pPr>
      <w:r>
        <w:rPr>
          <w:rFonts w:ascii="Arial" w:cs="Arial" w:eastAsia="Arial" w:hAnsi="Arial"/>
          <w:sz w:val="18"/>
          <w:szCs w:val="18"/>
          <w:i w:val="1"/>
          <w:iCs w:val="1"/>
          <w:color w:val="auto"/>
        </w:rPr>
        <w:t>Livorsi</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Marine</w:t>
      </w:r>
    </w:p>
    <w:p>
      <w:pPr>
        <w:spacing w:after="0" w:line="180" w:lineRule="auto"/>
        <w:rPr>
          <w:sz w:val="20"/>
          <w:szCs w:val="20"/>
          <w:color w:val="auto"/>
        </w:rPr>
      </w:pPr>
      <w:r>
        <w:rPr>
          <w:rFonts w:ascii="Arial" w:cs="Arial" w:eastAsia="Arial" w:hAnsi="Arial"/>
          <w:sz w:val="17"/>
          <w:szCs w:val="17"/>
          <w:i w:val="1"/>
          <w:iCs w:val="1"/>
          <w:color w:val="auto"/>
        </w:rPr>
        <w:t>Livorsi II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p>
      <w:pPr>
        <w:spacing w:after="0" w:line="180" w:lineRule="auto"/>
        <w:rPr>
          <w:sz w:val="20"/>
          <w:szCs w:val="20"/>
          <w:color w:val="auto"/>
        </w:rPr>
      </w:pPr>
      <w:r>
        <w:rPr>
          <w:rFonts w:ascii="Arial" w:cs="Arial" w:eastAsia="Arial" w:hAnsi="Arial"/>
          <w:sz w:val="17"/>
          <w:szCs w:val="17"/>
          <w:i w:val="1"/>
          <w:iCs w:val="1"/>
          <w:color w:val="auto"/>
        </w:rPr>
        <w:t>CMI Industrial</w:t>
      </w:r>
      <w:r>
        <w:rPr>
          <w:rFonts w:ascii="Arial" w:cs="Arial" w:eastAsia="Arial" w:hAnsi="Arial"/>
          <w:sz w:val="25"/>
          <w:szCs w:val="25"/>
          <w:i w:val="1"/>
          <w:iCs w:val="1"/>
          <w:color w:val="auto"/>
          <w:vertAlign w:val="superscript"/>
        </w:rPr>
        <w:t>®</w:t>
      </w:r>
    </w:p>
    <w:p>
      <w:pPr>
        <w:spacing w:after="0" w:line="181" w:lineRule="auto"/>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Stainless Exhaust</w:t>
      </w:r>
    </w:p>
    <w:p>
      <w:pPr>
        <w:spacing w:after="0" w:line="196" w:lineRule="auto"/>
        <w:rPr>
          <w:sz w:val="20"/>
          <w:szCs w:val="20"/>
          <w:color w:val="auto"/>
        </w:rPr>
      </w:pPr>
      <w:r>
        <w:rPr>
          <w:rFonts w:ascii="Arial" w:cs="Arial" w:eastAsia="Arial" w:hAnsi="Arial"/>
          <w:sz w:val="16"/>
          <w:szCs w:val="16"/>
          <w:i w:val="1"/>
          <w:iCs w:val="1"/>
          <w:color w:val="auto"/>
        </w:rPr>
        <w:t>The #1 Choice in Performance Boating</w:t>
      </w:r>
      <w:r>
        <w:rPr>
          <w:rFonts w:ascii="Arial" w:cs="Arial" w:eastAsia="Arial" w:hAnsi="Arial"/>
          <w:sz w:val="23"/>
          <w:szCs w:val="23"/>
          <w:i w:val="1"/>
          <w:iCs w:val="1"/>
          <w:color w:val="auto"/>
          <w:vertAlign w:val="superscript"/>
        </w:rPr>
        <w:t>®</w:t>
      </w:r>
    </w:p>
    <w:p>
      <w:pPr>
        <w:spacing w:after="0" w:line="180" w:lineRule="auto"/>
        <w:rPr>
          <w:sz w:val="20"/>
          <w:szCs w:val="20"/>
          <w:color w:val="auto"/>
        </w:rPr>
      </w:pPr>
      <w:r>
        <w:rPr>
          <w:rFonts w:ascii="Arial" w:cs="Arial" w:eastAsia="Arial" w:hAnsi="Arial"/>
          <w:sz w:val="17"/>
          <w:szCs w:val="17"/>
          <w:i w:val="1"/>
          <w:iCs w:val="1"/>
          <w:color w:val="auto"/>
        </w:rPr>
        <w:t>Mega Rim</w:t>
      </w:r>
      <w:r>
        <w:rPr>
          <w:rFonts w:ascii="Arial" w:cs="Arial" w:eastAsia="Arial" w:hAnsi="Arial"/>
          <w:sz w:val="25"/>
          <w:szCs w:val="25"/>
          <w:i w:val="1"/>
          <w:iCs w:val="1"/>
          <w:color w:val="auto"/>
          <w:vertAlign w:val="superscript"/>
        </w:rPr>
        <w:t>®</w:t>
      </w:r>
    </w:p>
    <w:p>
      <w:pPr>
        <w:spacing w:after="0" w:line="181" w:lineRule="auto"/>
        <w:rPr>
          <w:sz w:val="20"/>
          <w:szCs w:val="20"/>
          <w:color w:val="auto"/>
        </w:rPr>
      </w:pPr>
      <w:r>
        <w:rPr>
          <w:rFonts w:ascii="Arial" w:cs="Arial" w:eastAsia="Arial" w:hAnsi="Arial"/>
          <w:sz w:val="17"/>
          <w:szCs w:val="17"/>
          <w:i w:val="1"/>
          <w:iCs w:val="1"/>
          <w:color w:val="auto"/>
        </w:rPr>
        <w:t>Race Rim</w:t>
      </w:r>
      <w:r>
        <w:rPr>
          <w:rFonts w:ascii="Arial" w:cs="Arial" w:eastAsia="Arial" w:hAnsi="Arial"/>
          <w:sz w:val="25"/>
          <w:szCs w:val="25"/>
          <w:i w:val="1"/>
          <w:iCs w:val="1"/>
          <w:color w:val="auto"/>
          <w:vertAlign w:val="superscript"/>
        </w:rPr>
        <w:t>®</w:t>
      </w:r>
    </w:p>
    <w:p>
      <w:pPr>
        <w:spacing w:after="0" w:line="180" w:lineRule="auto"/>
        <w:rPr>
          <w:sz w:val="20"/>
          <w:szCs w:val="20"/>
          <w:color w:val="auto"/>
        </w:rPr>
      </w:pPr>
      <w:r>
        <w:rPr>
          <w:rFonts w:ascii="Arial" w:cs="Arial" w:eastAsia="Arial" w:hAnsi="Arial"/>
          <w:sz w:val="17"/>
          <w:szCs w:val="17"/>
          <w:i w:val="1"/>
          <w:iCs w:val="1"/>
          <w:color w:val="auto"/>
        </w:rPr>
        <w:t>Vantage View</w:t>
      </w:r>
      <w:r>
        <w:rPr>
          <w:rFonts w:ascii="Arial" w:cs="Arial" w:eastAsia="Arial" w:hAnsi="Arial"/>
          <w:sz w:val="25"/>
          <w:szCs w:val="25"/>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GEN-X</w:t>
      </w:r>
      <w:r>
        <w:rPr>
          <w:rFonts w:ascii="Arial" w:cs="Arial" w:eastAsia="Arial" w:hAnsi="Arial"/>
          <w:sz w:val="26"/>
          <w:szCs w:val="26"/>
          <w:i w:val="1"/>
          <w:iCs w:val="1"/>
          <w:color w:val="auto"/>
          <w:vertAlign w:val="superscript"/>
        </w:rPr>
        <w:t>®</w:t>
      </w:r>
    </w:p>
    <w:p>
      <w:pPr>
        <w:spacing w:after="0" w:line="441" w:lineRule="exact"/>
        <w:rPr>
          <w:sz w:val="20"/>
          <w:szCs w:val="20"/>
          <w:color w:val="auto"/>
        </w:rPr>
      </w:pPr>
    </w:p>
    <w:p>
      <w:pPr>
        <w:sectPr>
          <w:pgSz w:w="11900" w:h="16838" w:orient="portrait"/>
          <w:cols w:equalWidth="0" w:num="2">
            <w:col w:w="7400" w:space="100"/>
            <w:col w:w="3920"/>
          </w:cols>
          <w:pgMar w:left="240" w:top="692"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Sales, Marketing and Distribution</w:t>
      </w:r>
    </w:p>
    <w:p>
      <w:pPr>
        <w:spacing w:after="0" w:line="11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7"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We sell to a diverse customer base with only one customer representing 10% or more of our sales in 2017 (United States Postal Service representing 16%). Our largest ten customers accounted for approximately 44% of our sales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Environmental Matters</w:t>
      </w:r>
    </w:p>
    <w:p>
      <w:pPr>
        <w:spacing w:after="0" w:line="11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(“Environmental Laws”).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or expenses relating to such matters; however, it is possible future laws and regulations may require us to incur significant additional expenditures.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 of December 31, 2017, we employed 520 people, all in the United States. We believe our labor relations are good at all of our facilities.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jc w:val="both"/>
        <w:ind w:firstLine="1194"/>
        <w:spacing w:after="0" w:line="273" w:lineRule="auto"/>
        <w:rPr>
          <w:sz w:val="20"/>
          <w:szCs w:val="20"/>
          <w:color w:val="auto"/>
        </w:rPr>
      </w:pPr>
      <w:r>
        <w:rPr>
          <w:rFonts w:ascii="Arial" w:cs="Arial" w:eastAsia="Arial" w:hAnsi="Arial"/>
          <w:sz w:val="17"/>
          <w:szCs w:val="17"/>
          <w:color w:val="auto"/>
        </w:rPr>
        <w:t xml:space="preserve">Our fiscal year end is always the Sunday closest to December 31, and our operations are reported on a 52 or 53-week fiscal year.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t>
      </w:r>
      <w:r>
        <w:rPr>
          <w:rFonts w:ascii="Arial" w:cs="Arial" w:eastAsia="Arial" w:hAnsi="Arial"/>
          <w:sz w:val="17"/>
          <w:szCs w:val="17"/>
          <w:u w:val="single" w:color="auto"/>
          <w:color w:val="auto"/>
        </w:rPr>
        <w:t>www.compx.com</w:t>
      </w:r>
      <w:r>
        <w:rPr>
          <w:rFonts w:ascii="Arial" w:cs="Arial" w:eastAsia="Arial" w:hAnsi="Arial"/>
          <w:sz w:val="17"/>
          <w:szCs w:val="17"/>
          <w:color w:val="auto"/>
        </w:rPr>
        <w:t xml:space="preserve">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78"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70"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 xml:space="preserve">The general public may read and copy any materials we file with the SEC at the SEC’s Public Reference Room at 100 F. Street, NE, Washington, DC 20549. The public may obtain information on the operation of the Public Reference Room by calling the SEC at 1-800-SEC-0330. We are an electronic filer. The SEC maintains an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such as us, that file electronically with the SEC.</w:t>
      </w:r>
    </w:p>
    <w:p>
      <w:pPr>
        <w:spacing w:after="0" w:line="3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Listed below are certain risk factors associated with us and our businesses. In addition to the potential effect of these risk factors discussed below, any risk factor which could result in reduced earnings or operating losses, or reduced liquidity, could in turn adversely affect our ability to service our liabilities or pay dividends on our common stock or adversely affect the quoted market prices for our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mature and highly competitive markets, resulting in pricing pressure and the need to continuously reduce costs.</w:t>
      </w:r>
    </w:p>
    <w:p>
      <w:pPr>
        <w:spacing w:after="0" w:line="12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pacing w:after="0" w:line="79" w:lineRule="exact"/>
        <w:rPr>
          <w:sz w:val="20"/>
          <w:szCs w:val="20"/>
          <w:color w:val="auto"/>
        </w:rPr>
      </w:pPr>
    </w:p>
    <w:p>
      <w:pPr>
        <w:ind w:left="12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Competitors may be able to drive down prices for our products beyond our ability to adjust costs because their costs are lower than ours, especially products sourced from Asia.</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Competitors’ financial, technological and other resources may be greater than our resources, which may enable them to more effectively withstand changes in market conditions.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Competitors may be able to respond more quickly than we can to new or emerging technologies and changes in customer requirements.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Consolidation of our competitors or customers in any of the markets in which we compete may result in reduced demand for our products.</w:t>
      </w:r>
    </w:p>
    <w:p>
      <w:pPr>
        <w:spacing w:after="0" w:line="248" w:lineRule="exact"/>
        <w:rPr>
          <w:rFonts w:ascii="Arial" w:cs="Arial" w:eastAsia="Arial" w:hAnsi="Arial"/>
          <w:sz w:val="16"/>
          <w:szCs w:val="16"/>
          <w:color w:val="auto"/>
        </w:rPr>
      </w:pPr>
    </w:p>
    <w:p>
      <w:pPr>
        <w:ind w:left="5660" w:hanging="96"/>
        <w:spacing w:after="0"/>
        <w:tabs>
          <w:tab w:leader="none" w:pos="5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6" w:name="page7"/>
    <w:bookmarkEnd w:id="6"/>
    <w:p>
      <w:pPr>
        <w:ind w:left="12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competitors could emerge by modifying their existing production facilities to manufacture products that compete with our products.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sustain a cost structure that enables us to be competitive.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may no longer value our product design, quality or durability over the lower cost products of our competitors.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of innovative features for current products is critical to sustaining and growing our sales.</w:t>
      </w:r>
    </w:p>
    <w:p>
      <w:pPr>
        <w:spacing w:after="0" w:line="121" w:lineRule="exact"/>
        <w:rPr>
          <w:sz w:val="20"/>
          <w:szCs w:val="20"/>
          <w:color w:val="auto"/>
        </w:rPr>
      </w:pPr>
    </w:p>
    <w:p>
      <w:pPr>
        <w:jc w:val="both"/>
        <w:ind w:firstLine="1194"/>
        <w:spacing w:after="0" w:line="287" w:lineRule="auto"/>
        <w:rPr>
          <w:sz w:val="20"/>
          <w:szCs w:val="20"/>
          <w:color w:val="auto"/>
        </w:rPr>
      </w:pPr>
      <w:r>
        <w:rPr>
          <w:rFonts w:ascii="Arial" w:cs="Arial" w:eastAsia="Arial" w:hAnsi="Arial"/>
          <w:sz w:val="16"/>
          <w:szCs w:val="16"/>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Introduction of new product features typically requires us to increase production volume on a timely basis while maintaining product quality. Manufacturers often encounter difficulties in increasing production volumes, including delays, quality control problems and shortages of qualified personnel or raw materials. As we attempt to introduce new product features in the future, we do not know if we will be able to increase production volumes without encountering these or other problems, which might negatively impact our financial condition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costs of our commodity-related raw materials may decrease our liquidity.</w:t>
      </w:r>
    </w:p>
    <w:p>
      <w:pPr>
        <w:spacing w:after="0" w:line="121" w:lineRule="exact"/>
        <w:rPr>
          <w:sz w:val="20"/>
          <w:szCs w:val="20"/>
          <w:color w:val="auto"/>
        </w:rPr>
      </w:pPr>
    </w:p>
    <w:p>
      <w:pPr>
        <w:jc w:val="both"/>
        <w:ind w:firstLine="1194"/>
        <w:spacing w:after="0" w:line="253" w:lineRule="auto"/>
        <w:rPr>
          <w:sz w:val="20"/>
          <w:szCs w:val="20"/>
          <w:color w:val="auto"/>
        </w:rPr>
      </w:pPr>
      <w:r>
        <w:rPr>
          <w:rFonts w:ascii="Arial" w:cs="Arial" w:eastAsia="Arial" w:hAnsi="Arial"/>
          <w:sz w:val="18"/>
          <w:szCs w:val="18"/>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tubing is the major raw material used in the manufacture of marine exhaust systems. These raw materials are purchased from several suppliers and are generally readily available from numerous sources. We occasionally enter into short-term raw material supply arrangements to mitigate the impact of future increases in commodity-related raw material costs. Materials purchased outside of these arrangements are sometimes subject to unanticipated and sudden price increases. Should our vendors not be able to meet their contractual obligations or should we be otherwise unable to obtain necessary raw materials, we may incur higher costs for raw materials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spacing w:after="0" w:line="3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protect our intellectual property rights or claims by others that we infringe their intellectual property rights could substantially harm our business.</w:t>
      </w:r>
    </w:p>
    <w:p>
      <w:pPr>
        <w:spacing w:after="0" w:line="58" w:lineRule="exact"/>
        <w:rPr>
          <w:sz w:val="20"/>
          <w:szCs w:val="20"/>
          <w:color w:val="auto"/>
        </w:rPr>
      </w:pPr>
    </w:p>
    <w:p>
      <w:pPr>
        <w:jc w:val="both"/>
        <w:ind w:firstLine="1194"/>
        <w:spacing w:after="0" w:line="291" w:lineRule="auto"/>
        <w:rPr>
          <w:sz w:val="20"/>
          <w:szCs w:val="20"/>
          <w:color w:val="auto"/>
        </w:rPr>
      </w:pPr>
      <w:r>
        <w:rPr>
          <w:rFonts w:ascii="Arial" w:cs="Arial" w:eastAsia="Arial" w:hAnsi="Arial"/>
          <w:sz w:val="16"/>
          <w:szCs w:val="16"/>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Others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 w:name="page8"/>
    <w:bookmarkEnd w:id="7"/>
    <w:p>
      <w:pPr>
        <w:jc w:val="both"/>
        <w:ind w:firstLine="1194"/>
        <w:spacing w:after="0" w:line="255" w:lineRule="auto"/>
        <w:rPr>
          <w:sz w:val="20"/>
          <w:szCs w:val="20"/>
          <w:color w:val="auto"/>
        </w:rPr>
      </w:pPr>
      <w:r>
        <w:rPr>
          <w:rFonts w:ascii="Arial" w:cs="Arial" w:eastAsia="Arial" w:hAnsi="Arial"/>
          <w:sz w:val="18"/>
          <w:szCs w:val="18"/>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also might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climate change legislation could negatively impact our financial results or limit our ability to operate our businesses.</w:t>
      </w:r>
    </w:p>
    <w:p>
      <w:pPr>
        <w:spacing w:after="0" w:line="121"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All of our production facilities are located in the United States and we believe all of our production facilities are in substantial compliance with applicable environmental laws. To date, legislation and regulatory actions related to climate change have not had a material adverse effect on our financial results. However, if new legislation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121" w:lineRule="exact"/>
        <w:rPr>
          <w:sz w:val="20"/>
          <w:szCs w:val="20"/>
          <w:color w:val="auto"/>
        </w:rPr>
      </w:pPr>
    </w:p>
    <w:p>
      <w:pPr>
        <w:jc w:val="both"/>
        <w:ind w:firstLine="1194"/>
        <w:spacing w:after="0" w:line="272" w:lineRule="auto"/>
        <w:rPr>
          <w:sz w:val="20"/>
          <w:szCs w:val="20"/>
          <w:color w:val="auto"/>
        </w:rPr>
      </w:pPr>
      <w:r>
        <w:rPr>
          <w:rFonts w:ascii="Arial" w:cs="Arial" w:eastAsia="Arial" w:hAnsi="Arial"/>
          <w:sz w:val="17"/>
          <w:szCs w:val="17"/>
          <w:color w:val="auto"/>
        </w:rPr>
        <w:t>We rely on information technology systems to manage, process and analyze data, as well as to facilitate the manufacture and distribution of our products to and from our plants.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would be sufficiently effective. Therefore, any of our information technology systems may be susceptible to outages, disruptions, or destruction as well as cyber security breaches or attacks, resulting in a disruption of our business operations, injury to people, harm to the environment or our assets, and/or the inability to access our information technology systems. If any of these events were to occur, our results of operations and financial condition could be adversely affected.</w:t>
      </w:r>
    </w:p>
    <w:p>
      <w:pPr>
        <w:spacing w:after="0" w:line="32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Our principal executive offices are located in leased space at 5430 LBJ Freeway, Dallas, Texas 75240. The following table sets forth the location, size and business operating segment for each of our operating facilities.</w:t>
      </w:r>
    </w:p>
    <w:p>
      <w:pPr>
        <w:spacing w:after="0" w:line="15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120" w:type="dxa"/>
            <w:vAlign w:val="bottom"/>
          </w:tcPr>
          <w:p>
            <w:pPr>
              <w:spacing w:after="0"/>
              <w:rPr>
                <w:sz w:val="14"/>
                <w:szCs w:val="14"/>
                <w:color w:val="auto"/>
              </w:rPr>
            </w:pPr>
          </w:p>
        </w:tc>
        <w:tc>
          <w:tcPr>
            <w:tcW w:w="26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1480" w:type="dxa"/>
            <w:vAlign w:val="bottom"/>
          </w:tcPr>
          <w:p>
            <w:pPr>
              <w:jc w:val="right"/>
              <w:ind w:right="536"/>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171"/>
        </w:trPr>
        <w:tc>
          <w:tcPr>
            <w:tcW w:w="2760" w:type="dxa"/>
            <w:vAlign w:val="bottom"/>
            <w:gridSpan w:val="4"/>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480" w:type="dxa"/>
            <w:vAlign w:val="bottom"/>
          </w:tcPr>
          <w:p>
            <w:pPr>
              <w:jc w:val="right"/>
              <w:ind w:right="276"/>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Owned Facilities:</w:t>
            </w: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tcBorders>
              <w:left w:val="single" w:sz="8" w:color="auto"/>
            </w:tcBorders>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3"/>
          </w:tcPr>
          <w:p>
            <w:pPr>
              <w:ind w:left="420"/>
              <w:spacing w:after="0" w:line="222" w:lineRule="exact"/>
              <w:rPr>
                <w:sz w:val="20"/>
                <w:szCs w:val="20"/>
                <w:color w:val="auto"/>
              </w:rPr>
            </w:pPr>
            <w:r>
              <w:rPr>
                <w:rFonts w:ascii="Arial" w:cs="Arial" w:eastAsia="Arial" w:hAnsi="Arial"/>
                <w:sz w:val="17"/>
                <w:szCs w:val="17"/>
                <w:color w:val="auto"/>
              </w:rPr>
              <w:t xml:space="preserve">National </w:t>
            </w:r>
            <w:r>
              <w:rPr>
                <w:rFonts w:ascii="Arial" w:cs="Arial" w:eastAsia="Arial" w:hAnsi="Arial"/>
                <w:sz w:val="25"/>
                <w:szCs w:val="25"/>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83"/>
              </w:rPr>
              <w:t>SP</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Mauldin, SC</w:t>
            </w:r>
          </w:p>
        </w:tc>
        <w:tc>
          <w:tcPr>
            <w:tcW w:w="1480" w:type="dxa"/>
            <w:vAlign w:val="bottom"/>
          </w:tcPr>
          <w:p>
            <w:pPr>
              <w:jc w:val="right"/>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ind w:left="420"/>
              <w:spacing w:after="0" w:line="216" w:lineRule="exact"/>
              <w:rPr>
                <w:sz w:val="20"/>
                <w:szCs w:val="20"/>
                <w:color w:val="auto"/>
              </w:rPr>
            </w:pPr>
            <w:r>
              <w:rPr>
                <w:rFonts w:ascii="Arial" w:cs="Arial" w:eastAsia="Arial" w:hAnsi="Arial"/>
                <w:sz w:val="17"/>
                <w:szCs w:val="17"/>
                <w:color w:val="auto"/>
              </w:rPr>
              <w:t>Grayslake</w:t>
            </w:r>
            <w:r>
              <w:rPr>
                <w:rFonts w:ascii="Arial" w:cs="Arial" w:eastAsia="Arial" w:hAnsi="Arial"/>
                <w:sz w:val="25"/>
                <w:szCs w:val="25"/>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SP/MC</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Grayslake, IL</w:t>
            </w:r>
          </w:p>
        </w:tc>
        <w:tc>
          <w:tcPr>
            <w:tcW w:w="1480" w:type="dxa"/>
            <w:vAlign w:val="bottom"/>
          </w:tcPr>
          <w:p>
            <w:pPr>
              <w:jc w:val="right"/>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740" w:type="dxa"/>
            <w:vAlign w:val="bottom"/>
            <w:gridSpan w:val="3"/>
          </w:tcPr>
          <w:p>
            <w:pPr>
              <w:ind w:left="420"/>
              <w:spacing w:after="0"/>
              <w:rPr>
                <w:sz w:val="20"/>
                <w:szCs w:val="20"/>
                <w:color w:val="auto"/>
              </w:rPr>
            </w:pPr>
            <w:r>
              <w:rPr>
                <w:rFonts w:ascii="Arial" w:cs="Arial" w:eastAsia="Arial" w:hAnsi="Arial"/>
                <w:sz w:val="18"/>
                <w:szCs w:val="18"/>
                <w:color w:val="auto"/>
              </w:rPr>
              <w:t>Custom</w:t>
            </w:r>
            <w:r>
              <w:rPr>
                <w:rFonts w:ascii="Arial" w:cs="Arial" w:eastAsia="Arial" w:hAnsi="Arial"/>
                <w:sz w:val="26"/>
                <w:szCs w:val="26"/>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MC</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Neenah, WI</w:t>
            </w:r>
          </w:p>
        </w:tc>
        <w:tc>
          <w:tcPr>
            <w:tcW w:w="1480" w:type="dxa"/>
            <w:vAlign w:val="bottom"/>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190"/>
        </w:trPr>
        <w:tc>
          <w:tcPr>
            <w:tcW w:w="2760" w:type="dxa"/>
            <w:vAlign w:val="bottom"/>
            <w:gridSpan w:val="4"/>
          </w:tcPr>
          <w:p>
            <w:pPr>
              <w:spacing w:after="0" w:line="190" w:lineRule="exact"/>
              <w:rPr>
                <w:sz w:val="20"/>
                <w:szCs w:val="20"/>
                <w:color w:val="auto"/>
              </w:rPr>
            </w:pPr>
            <w:r>
              <w:rPr>
                <w:rFonts w:ascii="Arial" w:cs="Arial" w:eastAsia="Arial" w:hAnsi="Arial"/>
                <w:sz w:val="18"/>
                <w:szCs w:val="18"/>
                <w:color w:val="auto"/>
              </w:rPr>
              <w:t>Leased Facilities:</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ind w:left="420"/>
              <w:spacing w:after="0"/>
              <w:rPr>
                <w:sz w:val="20"/>
                <w:szCs w:val="20"/>
                <w:color w:val="auto"/>
              </w:rPr>
            </w:pPr>
            <w:r>
              <w:rPr>
                <w:rFonts w:ascii="Arial" w:cs="Arial" w:eastAsia="Arial" w:hAnsi="Arial"/>
                <w:sz w:val="18"/>
                <w:szCs w:val="18"/>
                <w:color w:val="auto"/>
              </w:rPr>
              <w:t>Distribution Center</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SP/MC</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Rancho Cucamonga, CA</w:t>
            </w:r>
          </w:p>
        </w:tc>
        <w:tc>
          <w:tcPr>
            <w:tcW w:w="148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SP – Security Products business segment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 – Marine Components business segment</w:t>
      </w:r>
    </w:p>
    <w:p>
      <w:pPr>
        <w:ind w:left="600" w:hanging="592"/>
        <w:spacing w:after="0" w:line="180" w:lineRule="auto"/>
        <w:tabs>
          <w:tab w:leader="none" w:pos="600" w:val="left"/>
        </w:tabs>
        <w:numPr>
          <w:ilvl w:val="0"/>
          <w:numId w:val="8"/>
        </w:numPr>
        <w:rPr>
          <w:rFonts w:ascii="Arial" w:cs="Arial" w:eastAsia="Arial" w:hAnsi="Arial"/>
          <w:sz w:val="26"/>
          <w:szCs w:val="26"/>
          <w:color w:val="auto"/>
          <w:vertAlign w:val="superscript"/>
        </w:rPr>
      </w:pPr>
      <w:r>
        <w:rPr>
          <w:rFonts w:ascii="Arial" w:cs="Arial" w:eastAsia="Arial" w:hAnsi="Arial"/>
          <w:sz w:val="18"/>
          <w:szCs w:val="18"/>
          <w:color w:val="auto"/>
        </w:rPr>
        <w:t>ISO-9001 registered facilities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believe all of our facilities are well maintained and satisfactory for their intended purposes.</w:t>
      </w:r>
    </w:p>
    <w:p>
      <w:pPr>
        <w:spacing w:after="0" w:line="3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We are involved, from time to time, in various environmental, contractual, product liability, patent (or intellectual property), employment and other claims and disputes incidental to our business. See Note 10 to the Consolidated Financial Statements. We currently believe that the disposition of all claims and disputes, individually or in the aggregate, should not have a material adverse effect on our consolidated financial condition, results of operations or liquidity.</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w:t>
      </w:r>
    </w:p>
    <w:p>
      <w:pPr>
        <w:spacing w:after="0" w:line="12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b w:val="1"/>
          <w:bCs w:val="1"/>
          <w:i w:val="1"/>
          <w:iCs w:val="1"/>
          <w:color w:val="auto"/>
        </w:rPr>
        <w:t xml:space="preserve">Common Stock and Dividends. </w:t>
      </w:r>
      <w:r>
        <w:rPr>
          <w:rFonts w:ascii="Arial" w:cs="Arial" w:eastAsia="Arial" w:hAnsi="Arial"/>
          <w:sz w:val="18"/>
          <w:szCs w:val="18"/>
          <w:color w:val="auto"/>
        </w:rPr>
        <w:t>Our Class A common stock is listed and traded on the NYSE MKT (symbol: CIX). As of February 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there were approximately 17 holders of record of CompX Class A common stock. The following table sets forth the high and low closing sales prices per share for our Class A common stock for the periods indicated, according to Bloomberg, and dividends paid during each period. On February 22, 2018, the closing price per share of our Class A common stock was $13.65.</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Dividends</w:t>
            </w:r>
          </w:p>
        </w:tc>
        <w:tc>
          <w:tcPr>
            <w:tcW w:w="0" w:type="dxa"/>
            <w:vAlign w:val="bottom"/>
          </w:tcPr>
          <w:p>
            <w:pPr>
              <w:spacing w:after="0"/>
              <w:rPr>
                <w:sz w:val="1"/>
                <w:szCs w:val="1"/>
                <w:color w:val="auto"/>
              </w:rPr>
            </w:pPr>
          </w:p>
        </w:tc>
      </w:tr>
      <w:tr>
        <w:trPr>
          <w:trHeight w:val="171"/>
        </w:trPr>
        <w:tc>
          <w:tcPr>
            <w:tcW w:w="5900" w:type="dxa"/>
            <w:vAlign w:val="bottom"/>
            <w:vMerge w:val="restart"/>
          </w:tcPr>
          <w:p>
            <w:pPr>
              <w:spacing w:after="0"/>
              <w:rPr>
                <w:sz w:val="20"/>
                <w:szCs w:val="20"/>
                <w:color w:val="auto"/>
              </w:rPr>
            </w:pPr>
            <w:r>
              <w:rPr>
                <w:rFonts w:ascii="Arial" w:cs="Arial" w:eastAsia="Arial" w:hAnsi="Arial"/>
                <w:sz w:val="18"/>
                <w:szCs w:val="18"/>
                <w:i w:val="1"/>
                <w:iCs w:val="1"/>
                <w:color w:val="auto"/>
              </w:rPr>
              <w:t>Year ended December 31, 2016</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59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38"/>
        </w:trPr>
        <w:tc>
          <w:tcPr>
            <w:tcW w:w="5900" w:type="dxa"/>
            <w:vAlign w:val="bottom"/>
          </w:tcPr>
          <w:p>
            <w:pPr>
              <w:spacing w:after="0"/>
              <w:rPr>
                <w:sz w:val="20"/>
                <w:szCs w:val="20"/>
                <w:color w:val="auto"/>
              </w:rPr>
            </w:pPr>
            <w:r>
              <w:rPr>
                <w:rFonts w:ascii="Arial" w:cs="Arial" w:eastAsia="Arial" w:hAnsi="Arial"/>
                <w:sz w:val="18"/>
                <w:szCs w:val="18"/>
                <w:i w:val="1"/>
                <w:iCs w:val="1"/>
                <w:color w:val="auto"/>
              </w:rPr>
              <w:t>Year ended December 31, 2017</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9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15.85</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38"/>
        </w:trPr>
        <w:tc>
          <w:tcPr>
            <w:tcW w:w="5900" w:type="dxa"/>
            <w:vAlign w:val="bottom"/>
          </w:tcPr>
          <w:p>
            <w:pPr>
              <w:spacing w:after="0"/>
              <w:rPr>
                <w:sz w:val="20"/>
                <w:szCs w:val="20"/>
                <w:color w:val="auto"/>
              </w:rPr>
            </w:pPr>
            <w:r>
              <w:rPr>
                <w:rFonts w:ascii="Arial" w:cs="Arial" w:eastAsia="Arial" w:hAnsi="Arial"/>
                <w:sz w:val="18"/>
                <w:szCs w:val="18"/>
                <w:i w:val="1"/>
                <w:iCs w:val="1"/>
                <w:color w:val="auto"/>
              </w:rPr>
              <w:t>January 1, 2018 through February 22, 2018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13.35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In February of 2018, our board of directors declared a first quarter 2018 dividend of $.05 per share, to be paid on March 20, 2018 to CompX stockholders of record as of March 12, 2018. However,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both"/>
        <w:ind w:firstLine="1194"/>
        <w:spacing w:after="0" w:line="302" w:lineRule="auto"/>
        <w:rPr>
          <w:sz w:val="20"/>
          <w:szCs w:val="20"/>
          <w:color w:val="auto"/>
        </w:rPr>
      </w:pPr>
      <w:r>
        <w:rPr>
          <w:rFonts w:ascii="Arial" w:cs="Arial" w:eastAsia="Arial" w:hAnsi="Arial"/>
          <w:sz w:val="16"/>
          <w:szCs w:val="16"/>
          <w:b w:val="1"/>
          <w:bCs w:val="1"/>
          <w:i w:val="1"/>
          <w:iCs w:val="1"/>
          <w:color w:val="auto"/>
        </w:rPr>
        <w:t>Performance Graph</w:t>
      </w:r>
      <w:r>
        <w:rPr>
          <w:rFonts w:ascii="Arial" w:cs="Arial" w:eastAsia="Arial" w:hAnsi="Arial"/>
          <w:sz w:val="16"/>
          <w:szCs w:val="16"/>
          <w:color w:val="auto"/>
        </w:rPr>
        <w:t>. Set forth below is a line graph comparing the yearly change in our cumulative total stockholder returns on our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against the cumulative total return of the Russell 2000 Index and an index of a self-selected peer group of companies for the period from December 31, 2012 through December 31, 2017. The peer group index is comprised of The Eastern Company and Strattec Security Corporation. The graph shows the value at December 31 of each year assuming an original investment of $100 at December 31, 2012 and reinvestment of dividends.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CompX International Inc.</w:t>
            </w:r>
          </w:p>
        </w:tc>
        <w:tc>
          <w:tcPr>
            <w:tcW w:w="1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191" w:lineRule="exact"/>
              <w:rPr>
                <w:sz w:val="20"/>
                <w:szCs w:val="20"/>
                <w:color w:val="auto"/>
              </w:rPr>
            </w:pPr>
            <w:r>
              <w:rPr>
                <w:rFonts w:ascii="Arial" w:cs="Arial" w:eastAsia="Arial" w:hAnsi="Arial"/>
                <w:sz w:val="18"/>
                <w:szCs w:val="18"/>
                <w:color w:val="auto"/>
                <w:w w:val="79"/>
              </w:rPr>
              <w:t>101</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520"/>
              <w:spacing w:after="0" w:line="191" w:lineRule="exact"/>
              <w:rPr>
                <w:sz w:val="20"/>
                <w:szCs w:val="20"/>
                <w:color w:val="auto"/>
              </w:rPr>
            </w:pPr>
            <w:r>
              <w:rPr>
                <w:rFonts w:ascii="Arial" w:cs="Arial" w:eastAsia="Arial" w:hAnsi="Arial"/>
                <w:sz w:val="18"/>
                <w:szCs w:val="18"/>
                <w:color w:val="auto"/>
                <w:w w:val="79"/>
              </w:rPr>
              <w:t>121</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Russell 2000 Index</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308610</wp:posOffset>
            </wp:positionV>
            <wp:extent cx="5231130" cy="3524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3113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976"/>
        <w:spacing w:after="0" w:line="264" w:lineRule="auto"/>
        <w:rPr>
          <w:sz w:val="20"/>
          <w:szCs w:val="20"/>
          <w:color w:val="auto"/>
        </w:rPr>
      </w:pPr>
      <w:r>
        <w:rPr>
          <w:rFonts w:ascii="Arial" w:cs="Arial" w:eastAsia="Arial" w:hAnsi="Arial"/>
          <w:sz w:val="18"/>
          <w:szCs w:val="18"/>
          <w:b w:val="1"/>
          <w:bCs w:val="1"/>
          <w:i w:val="1"/>
          <w:iCs w:val="1"/>
          <w:color w:val="auto"/>
        </w:rPr>
        <w:t xml:space="preserve">Equity compensation plan information. </w:t>
      </w:r>
      <w:r>
        <w:rPr>
          <w:rFonts w:ascii="Arial" w:cs="Arial" w:eastAsia="Arial" w:hAnsi="Arial"/>
          <w:sz w:val="18"/>
          <w:szCs w:val="18"/>
          <w:color w:val="auto"/>
        </w:rPr>
        <w:t>We have a share based incentive compensation plan, approved by our stockholders,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aggregate of 200,000 shares of our common stock can be awarded to non-employee members of our board of directors. At December 31, 2017, 166,000 shares are available for award under this plan. See Note 8 to the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Item 7 - “Management’s Discussion and Analysis of Financial Condition and Results of Operations.”</w:t>
      </w:r>
    </w:p>
    <w:p>
      <w:pPr>
        <w:spacing w:after="0" w:line="170"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Our fiscal year end is always the Sunday closest to December 31, and our operations are reported on a 52 or 53-week fiscal year. 2015 was a 53-week year; all other years shown are 52-week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gridSpan w:val="5"/>
          </w:tcPr>
          <w:p>
            <w:pPr>
              <w:jc w:val="right"/>
              <w:ind w:right="631"/>
              <w:spacing w:after="0"/>
              <w:rPr>
                <w:sz w:val="20"/>
                <w:szCs w:val="20"/>
                <w:color w:val="auto"/>
              </w:rPr>
            </w:pPr>
            <w:r>
              <w:rPr>
                <w:rFonts w:ascii="Arial" w:cs="Arial" w:eastAsia="Arial" w:hAnsi="Arial"/>
                <w:sz w:val="14"/>
                <w:szCs w:val="14"/>
                <w:b w:val="1"/>
                <w:bCs w:val="1"/>
                <w:color w:val="auto"/>
              </w:rPr>
              <w:t>($ in millions, except per share data)</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360" w:type="dxa"/>
            <w:vAlign w:val="bottom"/>
          </w:tcPr>
          <w:p>
            <w:pPr>
              <w:spacing w:after="0"/>
              <w:rPr>
                <w:sz w:val="20"/>
                <w:szCs w:val="20"/>
                <w:color w:val="auto"/>
              </w:rPr>
            </w:pPr>
            <w:r>
              <w:rPr>
                <w:rFonts w:ascii="Arial" w:cs="Arial" w:eastAsia="Arial" w:hAnsi="Arial"/>
                <w:sz w:val="18"/>
                <w:szCs w:val="18"/>
                <w:color w:val="auto"/>
              </w:rPr>
              <w:t>Net sales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103.8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109.0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Non-operating income – interest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73"/>
        </w:trPr>
        <w:tc>
          <w:tcPr>
            <w:tcW w:w="4360" w:type="dxa"/>
            <w:vAlign w:val="bottom"/>
          </w:tcPr>
          <w:p>
            <w:pPr>
              <w:spacing w:after="0"/>
              <w:rPr>
                <w:sz w:val="20"/>
                <w:szCs w:val="20"/>
                <w:color w:val="auto"/>
              </w:rPr>
            </w:pPr>
            <w:r>
              <w:rPr>
                <w:rFonts w:ascii="Arial" w:cs="Arial" w:eastAsia="Arial" w:hAnsi="Arial"/>
                <w:sz w:val="18"/>
                <w:szCs w:val="18"/>
                <w:b w:val="1"/>
                <w:bCs w:val="1"/>
                <w:color w:val="auto"/>
              </w:rPr>
              <w:t>Diluted Earnings Per Share Data:</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.70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dividends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38"/>
        </w:trPr>
        <w:tc>
          <w:tcPr>
            <w:tcW w:w="4360" w:type="dxa"/>
            <w:vAlign w:val="bottom"/>
          </w:tcPr>
          <w:p>
            <w:pPr>
              <w:spacing w:after="0"/>
              <w:rPr>
                <w:sz w:val="20"/>
                <w:szCs w:val="20"/>
                <w:color w:val="auto"/>
              </w:rPr>
            </w:pPr>
            <w:r>
              <w:rPr>
                <w:rFonts w:ascii="Arial" w:cs="Arial" w:eastAsia="Arial" w:hAnsi="Arial"/>
                <w:sz w:val="18"/>
                <w:szCs w:val="18"/>
                <w:b w:val="1"/>
                <w:bCs w:val="1"/>
                <w:color w:val="auto"/>
              </w:rPr>
              <w:t>Balance Sheet Data (at year end):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360" w:type="dxa"/>
            <w:vAlign w:val="bottom"/>
          </w:tcPr>
          <w:p>
            <w:pPr>
              <w:spacing w:after="0"/>
              <w:rPr>
                <w:sz w:val="20"/>
                <w:szCs w:val="20"/>
                <w:color w:val="auto"/>
              </w:rPr>
            </w:pPr>
            <w:r>
              <w:rPr>
                <w:rFonts w:ascii="Arial" w:cs="Arial" w:eastAsia="Arial" w:hAnsi="Arial"/>
                <w:sz w:val="18"/>
                <w:szCs w:val="18"/>
                <w:color w:val="auto"/>
              </w:rPr>
              <w:t>Cash and other current assets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71.7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76.9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59.2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119.2</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129.1</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134.8</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144.0</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111.0</w:t>
            </w:r>
          </w:p>
        </w:tc>
        <w:tc>
          <w:tcPr>
            <w:tcW w:w="3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125.8</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338"/>
        </w:trPr>
        <w:tc>
          <w:tcPr>
            <w:tcW w:w="4360" w:type="dxa"/>
            <w:vAlign w:val="bottom"/>
          </w:tcPr>
          <w:p>
            <w:pPr>
              <w:spacing w:after="0"/>
              <w:rPr>
                <w:sz w:val="20"/>
                <w:szCs w:val="20"/>
                <w:color w:val="auto"/>
              </w:rPr>
            </w:pPr>
            <w:r>
              <w:rPr>
                <w:rFonts w:ascii="Arial" w:cs="Arial" w:eastAsia="Arial" w:hAnsi="Arial"/>
                <w:sz w:val="18"/>
                <w:szCs w:val="18"/>
                <w:b w:val="1"/>
                <w:bCs w:val="1"/>
                <w:color w:val="auto"/>
              </w:rPr>
              <w:t>Statements of Cash Flow Data:</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36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36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and trim tabs for the recreational marine and other industries through our Marine Components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Overview</w:t>
      </w:r>
    </w:p>
    <w:p>
      <w:pPr>
        <w:spacing w:after="0" w:line="121"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We reported operating income of $15.2 million in 2017 compared to operating income of $15.6 million in 2016 and $14.0 million in 2015. Operating income in 2017 was comparable to operating income in 2016. The increase in operating income from 2015 to 2016 primarily resulted from a favorable customer and product mix at Security Products, in addition to higher sales and continued margin improvement for Marine Components.</w:t>
      </w:r>
    </w:p>
    <w:p>
      <w:pPr>
        <w:spacing w:after="0" w:line="166"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1194"/>
        <w:spacing w:after="0" w:line="290" w:lineRule="auto"/>
        <w:rPr>
          <w:sz w:val="20"/>
          <w:szCs w:val="20"/>
          <w:color w:val="auto"/>
        </w:rPr>
      </w:pPr>
      <w:r>
        <w:rPr>
          <w:rFonts w:ascii="Arial" w:cs="Arial" w:eastAsia="Arial" w:hAnsi="Arial"/>
          <w:sz w:val="16"/>
          <w:szCs w:val="16"/>
          <w:color w:val="auto"/>
        </w:rPr>
        <w:t>We have based the accompanying “Management’s Discussion and Analysis of Financial Condition and Results of Operations” upon our Consolidated Financial Statements. We prepared our Consolidated Financial Statements in accordance with GAAP. In preparing our Consolidated Financial Statements, we are required to make estimates and judgments that affect the reported amounts of assets and liabilities and disclosure of contingent assets and liabilities at the date of the financial statements, and the reported amount of revenues and expenses during the reported period. On an on-going basis, we evaluate our estimates, including those related to inventory reserves, the recoverability of long-lived assets (including goodwill and other intangible assets) and the realization of deferred income tax assets. We base our estimates on historical experience and on various other assumptions that we believe are reasonable under the circumstances, the results of which form the basis for making judgments about the reported amounts of assets, liabilities, revenues and expenses. Our actual future results might differ from previously estimated amounts under different assumptions or conditions.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We believe the following critical accounting policies affect our more significant judgments and estimates used in the preparation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and are applicable to all of our operating segments:</w:t>
      </w:r>
    </w:p>
    <w:p>
      <w:pPr>
        <w:spacing w:after="0" w:line="103" w:lineRule="exact"/>
        <w:rPr>
          <w:sz w:val="20"/>
          <w:szCs w:val="20"/>
          <w:color w:val="auto"/>
        </w:rPr>
      </w:pPr>
    </w:p>
    <w:p>
      <w:pPr>
        <w:jc w:val="both"/>
        <w:ind w:left="1200" w:hanging="598"/>
        <w:spacing w:after="0" w:line="293"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Goodwill – </w:t>
      </w:r>
      <w:r>
        <w:rPr>
          <w:rFonts w:ascii="Arial" w:cs="Arial" w:eastAsia="Arial" w:hAnsi="Arial"/>
          <w:sz w:val="16"/>
          <w:szCs w:val="16"/>
          <w:color w:val="auto"/>
        </w:rPr>
        <w:t>Our goodwill totaled $23.7 million at December 31, 2017. We perform a goodwill impairment test annually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Goodwill is also evaluated for impairment at other times whenever an event occurs or circumstances change that would more-likely-than-not reduce the fair value of a reporting unit below its carrying value. All of our net consolidated goodwill at December 31, 2017 is related to our Security Products segment. In 2017, we used the qualitative assessment of ASC 350-20-35 for our annual impairment test and determined it was not necessary to perform the quantitative goodwill impairment test, as we concluded it is more-likely-than-not that the fair value of the Security Products reporting unit exceeded its carrying amount. See Notes 1 and 5 to the Consolidated Financial Statements.</w:t>
      </w:r>
    </w:p>
    <w:p>
      <w:pPr>
        <w:spacing w:after="0" w:line="272" w:lineRule="exact"/>
        <w:rPr>
          <w:rFonts w:ascii="Arial" w:cs="Arial" w:eastAsia="Arial" w:hAnsi="Arial"/>
          <w:sz w:val="16"/>
          <w:szCs w:val="16"/>
          <w:color w:val="auto"/>
        </w:rPr>
      </w:pPr>
    </w:p>
    <w:p>
      <w:pPr>
        <w:jc w:val="both"/>
        <w:ind w:left="1200"/>
        <w:spacing w:after="0" w:line="312" w:lineRule="auto"/>
        <w:rPr>
          <w:rFonts w:ascii="Arial" w:cs="Arial" w:eastAsia="Arial" w:hAnsi="Arial"/>
          <w:sz w:val="16"/>
          <w:szCs w:val="16"/>
          <w:color w:val="auto"/>
        </w:rPr>
      </w:pPr>
      <w:r>
        <w:rPr>
          <w:rFonts w:ascii="Arial" w:cs="Arial" w:eastAsia="Arial" w:hAnsi="Arial"/>
          <w:sz w:val="16"/>
          <w:szCs w:val="16"/>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w:t>
      </w:r>
    </w:p>
    <w:p>
      <w:pPr>
        <w:spacing w:after="0" w:line="146" w:lineRule="exact"/>
        <w:rPr>
          <w:rFonts w:ascii="Arial" w:cs="Arial" w:eastAsia="Arial" w:hAnsi="Arial"/>
          <w:sz w:val="16"/>
          <w:szCs w:val="16"/>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3" w:name="page14"/>
    <w:bookmarkEnd w:id="13"/>
    <w:p>
      <w:pPr>
        <w:ind w:left="1200"/>
        <w:spacing w:after="0" w:line="277" w:lineRule="auto"/>
        <w:rPr>
          <w:sz w:val="20"/>
          <w:szCs w:val="20"/>
          <w:color w:val="auto"/>
        </w:rPr>
      </w:pPr>
      <w:r>
        <w:rPr>
          <w:rFonts w:ascii="Arial" w:cs="Arial" w:eastAsia="Arial" w:hAnsi="Arial"/>
          <w:sz w:val="18"/>
          <w:szCs w:val="18"/>
          <w:color w:val="auto"/>
        </w:rPr>
        <w:t>However, future events and circumstances could result in materially different findings which could result in the recognition of a material goodwill impairment.</w:t>
      </w:r>
    </w:p>
    <w:p>
      <w:pPr>
        <w:spacing w:after="0" w:line="62" w:lineRule="exact"/>
        <w:rPr>
          <w:sz w:val="20"/>
          <w:szCs w:val="20"/>
          <w:color w:val="auto"/>
        </w:rPr>
      </w:pPr>
    </w:p>
    <w:p>
      <w:pPr>
        <w:jc w:val="both"/>
        <w:ind w:left="1200" w:hanging="598"/>
        <w:spacing w:after="0" w:line="312"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Long-lived assets – </w:t>
      </w:r>
      <w:r>
        <w:rPr>
          <w:rFonts w:ascii="Arial" w:cs="Arial" w:eastAsia="Arial" w:hAnsi="Arial"/>
          <w:sz w:val="16"/>
          <w:szCs w:val="16"/>
          <w:color w:val="auto"/>
        </w:rPr>
        <w:t>We assess property and equipment for impairment only when circumstances (as specified in ASC 360-10-35,</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indicate an impairment may exist. Our determination is based upon, among other things, our estimates of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future net cash flows to be generated by the long-lived asset (Level 3 inputs) and our estimates of the current fair value of the asset.</w:t>
      </w:r>
    </w:p>
    <w:p>
      <w:pPr>
        <w:spacing w:after="0" w:line="38" w:lineRule="exact"/>
        <w:rPr>
          <w:rFonts w:ascii="Arial" w:cs="Arial" w:eastAsia="Arial" w:hAnsi="Arial"/>
          <w:sz w:val="16"/>
          <w:szCs w:val="16"/>
          <w:color w:val="auto"/>
        </w:rPr>
      </w:pPr>
    </w:p>
    <w:p>
      <w:pPr>
        <w:jc w:val="both"/>
        <w:ind w:left="1200"/>
        <w:spacing w:after="0" w:line="257" w:lineRule="auto"/>
        <w:rPr>
          <w:rFonts w:ascii="Arial" w:cs="Arial" w:eastAsia="Arial" w:hAnsi="Arial"/>
          <w:sz w:val="16"/>
          <w:szCs w:val="16"/>
          <w:color w:val="auto"/>
        </w:rPr>
      </w:pPr>
      <w:r>
        <w:rPr>
          <w:rFonts w:ascii="Arial" w:cs="Arial" w:eastAsia="Arial" w:hAnsi="Arial"/>
          <w:sz w:val="18"/>
          <w:szCs w:val="18"/>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specified in ASC Topic 360-10-35 are present. We did not evaluate any long-lived assets for impairment during 2017 because no such impairment indicators were present.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- 2017 Compared to 2016 and 2016 Compared to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0"/>
              </w:rPr>
              <w:t>Years ended December 31,</w:t>
            </w: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8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2015-16</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3"/>
              </w:rPr>
              <w:t>2016-17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4"/>
          </w:tcPr>
          <w:p>
            <w:pPr>
              <w:jc w:val="right"/>
              <w:ind w:right="100"/>
              <w:spacing w:after="0" w:line="128" w:lineRule="exact"/>
              <w:rPr>
                <w:sz w:val="20"/>
                <w:szCs w:val="20"/>
                <w:color w:val="auto"/>
              </w:rPr>
            </w:pPr>
            <w:r>
              <w:rPr>
                <w:rFonts w:ascii="Arial" w:cs="Arial" w:eastAsia="Arial" w:hAnsi="Arial"/>
                <w:sz w:val="14"/>
                <w:szCs w:val="14"/>
                <w:b w:val="1"/>
                <w:bCs w:val="1"/>
                <w:color w:val="auto"/>
                <w:w w:val="95"/>
              </w:rPr>
              <w:t>(Dollars in millions)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109.0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108.9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Cost of goods sold</w:t>
            </w:r>
          </w:p>
        </w:tc>
        <w:tc>
          <w:tcPr>
            <w:tcW w:w="1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5"/>
        </w:trPr>
        <w:tc>
          <w:tcPr>
            <w:tcW w:w="396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4"/>
                <w:szCs w:val="2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1"/>
        </w:trPr>
        <w:tc>
          <w:tcPr>
            <w:tcW w:w="39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Percent of net sales:</w:t>
            </w: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9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Cost of goods sold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68.9%</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Gross margin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Operating costs and expenses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approximately $3.1 million in 2017 compared to 2016 primarily due to higher Security Products sales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to government security, electronic lock and other markets, partially offset by a decrease in sales of security products to an original equipment manufacturer of recreational transportation products. Marine Components also contributed with higher sales, primarily to the waterski/wakeboard boat market. Relative changes in selling prices did not have a material impact on net sales comparisons.</w:t>
      </w:r>
    </w:p>
    <w:p>
      <w:pPr>
        <w:spacing w:after="0" w:line="187"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Net sales for 2016 were comparable to 2015 because our Security Products segment was able to substantially replace revenue for a government security end-user project which did not recur in 2016 with a new project with the same customer. Marine Components also contributed with higher sales to the waterski/wakeboard boat market. Relative changes in selling prices did not have a material impact on net sales comparisons.</w:t>
      </w:r>
    </w:p>
    <w:p>
      <w:pPr>
        <w:spacing w:after="0" w:line="166" w:lineRule="exact"/>
        <w:rPr>
          <w:sz w:val="20"/>
          <w:szCs w:val="20"/>
          <w:color w:val="auto"/>
        </w:rPr>
      </w:pPr>
    </w:p>
    <w:p>
      <w:pPr>
        <w:jc w:val="both"/>
        <w:ind w:firstLine="1194"/>
        <w:spacing w:after="0" w:line="276" w:lineRule="auto"/>
        <w:rPr>
          <w:sz w:val="20"/>
          <w:szCs w:val="20"/>
          <w:color w:val="auto"/>
        </w:rPr>
      </w:pPr>
      <w:r>
        <w:rPr>
          <w:rFonts w:ascii="Arial" w:cs="Arial" w:eastAsia="Arial" w:hAnsi="Arial"/>
          <w:sz w:val="17"/>
          <w:szCs w:val="17"/>
          <w:i w:val="1"/>
          <w:iCs w:val="1"/>
          <w:color w:val="auto"/>
        </w:rPr>
        <w:t xml:space="preserve">Cost of Goods Sold and Gross Profit. </w:t>
      </w:r>
      <w:r>
        <w:rPr>
          <w:rFonts w:ascii="Arial" w:cs="Arial" w:eastAsia="Arial" w:hAnsi="Arial"/>
          <w:sz w:val="17"/>
          <w:szCs w:val="17"/>
          <w:color w:val="auto"/>
        </w:rPr>
        <w:t>Cost of goods sold increased from 2016 to 2017 primarily due to increased sales volumes for both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Products and Marine Components segments, and to a lesser extent higher raw material prices (mostly zinc and brass) and increased employee medical costs. Gross profit dollars in 2017 were comparable to 2016. As a percentage of sales, gross profit for 2017 decreased compared to 2016 due primarily to unfavorable relative changes in customer and product mix, higher raw material prices and increased employee medical costs in the Security Products segment, as well as higher manufacturing costs for the Marine Components segment.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4" w:name="page15"/>
    <w:bookmarkEnd w:id="14"/>
    <w:p>
      <w:pPr>
        <w:jc w:val="both"/>
        <w:ind w:firstLine="1194"/>
        <w:spacing w:after="0" w:line="264" w:lineRule="auto"/>
        <w:rPr>
          <w:sz w:val="20"/>
          <w:szCs w:val="20"/>
          <w:color w:val="auto"/>
        </w:rPr>
      </w:pPr>
      <w:r>
        <w:rPr>
          <w:rFonts w:ascii="Arial" w:cs="Arial" w:eastAsia="Arial" w:hAnsi="Arial"/>
          <w:sz w:val="18"/>
          <w:szCs w:val="18"/>
          <w:color w:val="auto"/>
        </w:rPr>
        <w:t>Cost of goods sold for 2016 was down from 2015 on comparable sales, resulting in an increase in gross profit. As a percentage of sales, gross profit for 2016 was favorable to 2015 due primarily to higher variable margins resulting from favorable customer and product mix for both Security Products and Marine Components.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Operating Costs and Expenses</w:t>
      </w:r>
      <w:r>
        <w:rPr>
          <w:rFonts w:ascii="Arial" w:cs="Arial" w:eastAsia="Arial" w:hAnsi="Arial"/>
          <w:sz w:val="18"/>
          <w:szCs w:val="18"/>
          <w:color w:val="auto"/>
        </w:rPr>
        <w:t>. Operating costs and expenses consist primarily of sales and administrative-related personnel costs,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advertising expenses directly related to product sales and administrative costs relating to business unit and corporate management activities, as well as gains and losses on plant, property and equipment. Operating costs and expenses were comparable in 2015, 2016 and 2017 on an absolute basis and as a percentage of sales.</w:t>
      </w:r>
    </w:p>
    <w:p>
      <w:pPr>
        <w:spacing w:after="0" w:line="18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decreased slightly from 2016 to 2017 while operating income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slightly from 2015 to 2016. Operating margins were primarily impacted by the factors impacting cost of goods sold, gross margin and operating costs discussed above.</w:t>
      </w:r>
    </w:p>
    <w:p>
      <w:pPr>
        <w:spacing w:after="0" w:line="181" w:lineRule="exact"/>
        <w:rPr>
          <w:sz w:val="20"/>
          <w:szCs w:val="20"/>
          <w:color w:val="auto"/>
        </w:rPr>
      </w:pPr>
    </w:p>
    <w:p>
      <w:pPr>
        <w:jc w:val="both"/>
        <w:ind w:firstLine="1194"/>
        <w:spacing w:after="0" w:line="26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profitability primarily depends on our ability to utilize our production capacity effectively, which is affected by,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and stainless steel. Total material costs represented approximately 44% of our cost of sales in 2017, with commodity-related raw materials accounting for approximately 11% of our cost of sales. During 2016 and 2017, markets for the primary commodity-related raw materials used in the manufacture of our locking mechanisms, primarily zinc and brass, generally strengthened, resulting in price increases that exceeded general inflation rates. In the case of zinc, our purchases late in 2017 bore unit costs over 50% higher than those acquired two years earlier. The rapid rise in prices for zinc and brass increased our 2017 aggregate purchase cost for these materials by approximately $0.5 million. Over that same period, the market for stainless steel, the primary raw material used for the manufacture of marine exhaust headers and pipes, remained relatively stable. While we expect the markets for our primary commodity-related raw materials to stabilize during 2018, we recognize that anticipated strengthening economic conditions may exert upward price pressure on these and other manufacturing materials.</w:t>
      </w:r>
    </w:p>
    <w:p>
      <w:pPr>
        <w:spacing w:after="0" w:line="183" w:lineRule="exact"/>
        <w:rPr>
          <w:sz w:val="20"/>
          <w:szCs w:val="20"/>
          <w:color w:val="auto"/>
        </w:rPr>
      </w:pPr>
    </w:p>
    <w:p>
      <w:pPr>
        <w:jc w:val="both"/>
        <w:ind w:right="20" w:firstLine="1194"/>
        <w:spacing w:after="0" w:line="277" w:lineRule="auto"/>
        <w:rPr>
          <w:sz w:val="20"/>
          <w:szCs w:val="20"/>
          <w:color w:val="auto"/>
        </w:rPr>
      </w:pPr>
      <w:r>
        <w:rPr>
          <w:rFonts w:ascii="Arial" w:cs="Arial" w:eastAsia="Arial" w:hAnsi="Arial"/>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2017 increased compared to 2016 due to higher average balances on our loan to an affiliate (originated</w:t>
      </w:r>
      <w:r>
        <w:rPr>
          <w:rFonts w:ascii="Arial" w:cs="Arial" w:eastAsia="Arial" w:hAnsi="Arial"/>
          <w:sz w:val="18"/>
          <w:szCs w:val="18"/>
          <w:i w:val="1"/>
          <w:iCs w:val="1"/>
          <w:color w:val="auto"/>
        </w:rPr>
        <w:t xml:space="preserve"> </w:t>
      </w:r>
      <w:r>
        <w:rPr>
          <w:rFonts w:ascii="Arial" w:cs="Arial" w:eastAsia="Arial" w:hAnsi="Arial"/>
          <w:sz w:val="18"/>
          <w:szCs w:val="18"/>
          <w:color w:val="auto"/>
        </w:rPr>
        <w:t>late in 2016) and to a lesser extent higher interest rates in 2017. See Note 9 to the Consolidated Financial Statements.</w:t>
      </w:r>
    </w:p>
    <w:p>
      <w:pPr>
        <w:spacing w:after="0" w:line="170"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of 35% 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Note 7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spacing w:after="0" w:line="187" w:lineRule="exact"/>
        <w:rPr>
          <w:sz w:val="20"/>
          <w:szCs w:val="20"/>
          <w:color w:val="auto"/>
        </w:rPr>
      </w:pPr>
    </w:p>
    <w:p>
      <w:pPr>
        <w:jc w:val="both"/>
        <w:ind w:firstLine="1194"/>
        <w:spacing w:after="0" w:line="269" w:lineRule="auto"/>
        <w:rPr>
          <w:sz w:val="20"/>
          <w:szCs w:val="20"/>
          <w:color w:val="auto"/>
        </w:rPr>
      </w:pPr>
      <w:r>
        <w:rPr>
          <w:rFonts w:ascii="Arial" w:cs="Arial" w:eastAsia="Arial" w:hAnsi="Arial"/>
          <w:sz w:val="17"/>
          <w:szCs w:val="17"/>
          <w:color w:val="auto"/>
        </w:rPr>
        <w:t>Our effective income tax rate was 35% in 2015 and 2016 and 23% in 2017. Our effective income tax rate in 2016 was comparable to our effective tax rate in 2015. Our effective income tax rate was lower in 2017 as compared to 2016 as a result of tax reform legislation signed on December 22, 2017 that lowered the U.S. statutory tax rate from 35% to 21% for tax years beginning after December 31, 2017. H.R.1, formally known as the “Tax Cuts and Jobs Act” (“2017 Tax Act”) was enacted into law on December 22, 2017. This new tax legislation, among other changes, reduces the federal corporate income tax rate from 35% to 21% effective January 1, 2018, eliminates the domestic production activities deduction and allows for the expensing of certain capital expenditures. Following the enactment of the 2017 Tax Act, the Securities and Exchange Commission issued Staff Accounting Bulletin (SAB) 118 to provide guidance on the accounting and reporting impacts of the 2017 Tax Act. SAB 118 states that companies should account for changes related to the 2017 Tax Act in the period of enactment if all information is available and the accounting can be completed. In situations where companies do not have enough information to complete the accounting in the period of enactment, a company must either 1) record an estimated provisional amount if the impact of the change can be reasonably estimated; or 2) continue to apply the accounting guidance that was in effect immediately prior to the 2017 Tax Act if the impact of the change cannot be reasonably estimated. If estimated provisional amounts are recorded,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SAB 118 provides a measurement period of no longer than one year during which companies should adjust those amounts as additional information becomes available.</w:t>
      </w:r>
    </w:p>
    <w:p>
      <w:pPr>
        <w:spacing w:after="0" w:line="170"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6"/>
          <w:szCs w:val="16"/>
          <w:color w:val="auto"/>
        </w:rPr>
        <w:t>Under GAAP, we are required to revalue our net deferred tax liability associated with our net taxable temporary differences in the period in which the new tax legislation is enacted based on deferred tax balances as of the enactment date, to reflect the effect of such reduction in the corporate income tax rate. Our temporary differences as of December 31, 2017 are not materially different from our temporary differences as of the enactment date. Accordingly, revaluation of our net taxable temporary differences is based on our net deferred tax liability as of December 31, 2017. Such revaluation resulted in a non-cash deferred income tax benefit of $1.9 million recognized in continuing operations, reducing our net deferred tax liability. See Notes 7 and 10 to the Consolidated Financial Statements. We currently expect our effective income tax rate for 2018 to be approximately 25%, reflecting the reduction in the U.S. statutory tax rate from 35% to 21% and the elimination of the domestic production activities deduction for tax years beginning after December 31, 2017. The amounts recorded as of December 31, 2017 as a result of the 2017 Tax Act represent estimates based on information currently available and, in accordance with the guidance in SAB 118, these amounts are provisional and subject to adjustment as we obtain additional information and complete our analysis in 2018. If the underlying guidance or tax laws change and such change impacts the income tax effects of the new legislation recognized at December 31, 2017, or we determine we have additional tax liabilities under other provisions of the 2017 Tax Act</w:t>
      </w:r>
      <w:r>
        <w:rPr>
          <w:rFonts w:ascii="Arial" w:cs="Arial" w:eastAsia="Arial" w:hAnsi="Arial"/>
          <w:sz w:val="19"/>
          <w:szCs w:val="19"/>
          <w:color w:val="auto"/>
        </w:rPr>
        <w:t>,</w:t>
      </w:r>
      <w:r>
        <w:rPr>
          <w:rFonts w:ascii="Arial" w:cs="Arial" w:eastAsia="Arial" w:hAnsi="Arial"/>
          <w:sz w:val="16"/>
          <w:szCs w:val="16"/>
          <w:color w:val="auto"/>
        </w:rPr>
        <w:t xml:space="preserve"> we will recognize an adjustment in the reporting period within the measurement period, which period ends December 22, 2018, in which such adjustment is determined.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The key performance indicator for our segments is the level of their operating income (see discussion below). For additional information regarding our segments refer to Note 2 to the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Years ended December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160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rPr>
              <w:t>2015 – 2016</w:t>
            </w:r>
          </w:p>
        </w:tc>
        <w:tc>
          <w:tcPr>
            <w:tcW w:w="9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 – 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(In millions)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95.6</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94.7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w:t>
            </w:r>
          </w:p>
        </w:tc>
        <w:tc>
          <w:tcPr>
            <w:tcW w:w="420" w:type="dxa"/>
            <w:vAlign w:val="bottom"/>
          </w:tcPr>
          <w:p>
            <w:pPr>
              <w:spacing w:after="0"/>
              <w:rPr>
                <w:sz w:val="18"/>
                <w:szCs w:val="18"/>
                <w:color w:val="auto"/>
              </w:rPr>
            </w:pPr>
          </w:p>
        </w:tc>
        <w:tc>
          <w:tcPr>
            <w:tcW w:w="1600" w:type="dxa"/>
            <w:vAlign w:val="bottom"/>
          </w:tcPr>
          <w:p>
            <w:pPr>
              <w:jc w:val="right"/>
              <w:ind w:right="333"/>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240" w:type="dxa"/>
            <w:vAlign w:val="bottom"/>
          </w:tcPr>
          <w:p>
            <w:pPr>
              <w:spacing w:after="0"/>
              <w:rPr>
                <w:sz w:val="20"/>
                <w:szCs w:val="20"/>
                <w:color w:val="auto"/>
              </w:rPr>
            </w:pP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420" w:type="dxa"/>
            <w:vAlign w:val="bottom"/>
          </w:tcPr>
          <w:p>
            <w:pPr>
              <w:spacing w:after="0"/>
              <w:rPr>
                <w:sz w:val="20"/>
                <w:szCs w:val="20"/>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460" w:type="dxa"/>
            <w:vAlign w:val="bottom"/>
          </w:tcPr>
          <w:p>
            <w:pPr>
              <w:ind w:left="88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42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29.9</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240" w:type="dxa"/>
            <w:vAlign w:val="bottom"/>
          </w:tcPr>
          <w:p>
            <w:pPr>
              <w:spacing w:after="0"/>
              <w:rPr>
                <w:sz w:val="20"/>
                <w:szCs w:val="20"/>
                <w:color w:val="auto"/>
              </w:rPr>
            </w:pP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0"/>
                <w:szCs w:val="20"/>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460" w:type="dxa"/>
            <w:vAlign w:val="bottom"/>
          </w:tcPr>
          <w:p>
            <w:pPr>
              <w:ind w:left="88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18.6</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240" w:type="dxa"/>
            <w:vAlign w:val="bottom"/>
          </w:tcPr>
          <w:p>
            <w:pPr>
              <w:spacing w:after="0"/>
              <w:rPr>
                <w:sz w:val="18"/>
                <w:szCs w:val="18"/>
                <w:color w:val="auto"/>
              </w:rPr>
            </w:pP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Corporate operating expenses</w:t>
            </w:r>
          </w:p>
        </w:tc>
        <w:tc>
          <w:tcPr>
            <w:tcW w:w="240" w:type="dxa"/>
            <w:vAlign w:val="bottom"/>
          </w:tcPr>
          <w:p>
            <w:pPr>
              <w:spacing w:after="0"/>
              <w:rPr>
                <w:sz w:val="20"/>
                <w:szCs w:val="20"/>
                <w:color w:val="auto"/>
              </w:rPr>
            </w:pPr>
          </w:p>
        </w:tc>
        <w:tc>
          <w:tcPr>
            <w:tcW w:w="1220" w:type="dxa"/>
            <w:vAlign w:val="bottom"/>
            <w:gridSpan w:val="2"/>
          </w:tcPr>
          <w:p>
            <w:pPr>
              <w:jc w:val="right"/>
              <w:ind w:right="308"/>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460" w:type="dxa"/>
            <w:vAlign w:val="bottom"/>
          </w:tcPr>
          <w:p>
            <w:pPr>
              <w:ind w:left="88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Operating income margin:</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240" w:type="dxa"/>
            <w:vAlign w:val="bottom"/>
          </w:tcPr>
          <w:p>
            <w:pPr>
              <w:spacing w:after="0"/>
              <w:rPr>
                <w:sz w:val="18"/>
                <w:szCs w:val="18"/>
                <w:color w:val="auto"/>
              </w:rPr>
            </w:pP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240" w:type="dxa"/>
            <w:vAlign w:val="bottom"/>
          </w:tcPr>
          <w:p>
            <w:pPr>
              <w:spacing w:after="0"/>
              <w:rPr>
                <w:sz w:val="18"/>
                <w:szCs w:val="18"/>
                <w:color w:val="auto"/>
              </w:rPr>
            </w:pP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Total operating income margin</w:t>
            </w:r>
          </w:p>
        </w:tc>
        <w:tc>
          <w:tcPr>
            <w:tcW w:w="240" w:type="dxa"/>
            <w:vAlign w:val="bottom"/>
          </w:tcPr>
          <w:p>
            <w:pPr>
              <w:spacing w:after="0"/>
              <w:rPr>
                <w:sz w:val="20"/>
                <w:szCs w:val="20"/>
                <w:color w:val="auto"/>
              </w:rPr>
            </w:pPr>
          </w:p>
        </w:tc>
        <w:tc>
          <w:tcPr>
            <w:tcW w:w="1220" w:type="dxa"/>
            <w:vAlign w:val="bottom"/>
            <w:gridSpan w:val="2"/>
          </w:tcPr>
          <w:p>
            <w:pPr>
              <w:jc w:val="right"/>
              <w:ind w:right="368"/>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i w:val="1"/>
          <w:iCs w:val="1"/>
          <w:color w:val="auto"/>
        </w:rPr>
        <w:t xml:space="preserve">Security Products. </w:t>
      </w:r>
      <w:r>
        <w:rPr>
          <w:rFonts w:ascii="Arial" w:cs="Arial" w:eastAsia="Arial" w:hAnsi="Arial"/>
          <w:sz w:val="17"/>
          <w:szCs w:val="17"/>
          <w:color w:val="auto"/>
        </w:rPr>
        <w:t>Security Products net sales increased 2% to $96.6 million in 2017 compared to $94.7 million in 2016, as improved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to government security, electronic lock and other markets more than offset a decrease of approximately $2.9 million in sales to a customer serving the recreational transportation market. As a percentage of sales, gross profit for 2017 decreased compared to 2016 primarily due to unfavorable relative changes in customer and product mix, and to a lesser extent higher raw material prices (mostly zinc and brass) and increased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employee medical costs. Operating costs and expenses for 2017 were comparable to 2016. As a result, Security Products operating income as a percentage of net sales for 2017 was below 2016.</w:t>
      </w:r>
    </w:p>
    <w:p>
      <w:pPr>
        <w:spacing w:after="0" w:line="170" w:lineRule="exact"/>
        <w:rPr>
          <w:sz w:val="20"/>
          <w:szCs w:val="20"/>
          <w:color w:val="auto"/>
        </w:rPr>
      </w:pPr>
    </w:p>
    <w:p>
      <w:pPr>
        <w:jc w:val="both"/>
        <w:ind w:firstLine="1194"/>
        <w:spacing w:after="0" w:line="293" w:lineRule="auto"/>
        <w:rPr>
          <w:sz w:val="20"/>
          <w:szCs w:val="20"/>
          <w:color w:val="auto"/>
        </w:rPr>
      </w:pPr>
      <w:r>
        <w:rPr>
          <w:rFonts w:ascii="Arial" w:cs="Arial" w:eastAsia="Arial" w:hAnsi="Arial"/>
          <w:sz w:val="16"/>
          <w:szCs w:val="16"/>
          <w:color w:val="auto"/>
        </w:rPr>
        <w:t>Security Products net sales decreased 1% to $94.7 million in 2016 compared to $95.6 million in 2015. Sales for 2015 included approximately $6.3 million for a government security end-user project which did not recur in 2016. During the second half of 2016, we were awarded a substantial new project for the same customer which began to ship in August and was completed in December 2016, totaling $5.8 million in net sales. Gross profit margins for 2016 increased compared to 2015 on favorable variable margins resulting from relative changes in product and customer mix particularly in the fourth quarter. Operating costs and expenses for 2016 were comparable to 2015. Security Products operating income as a percentage of net sales for 2016 increased compared to 2015 primarily as a result of the factors impacting gross profit and operating costs and expenses discussed above.</w:t>
      </w:r>
    </w:p>
    <w:p>
      <w:pPr>
        <w:spacing w:after="0" w:line="165"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Marine Components. </w:t>
      </w:r>
      <w:r>
        <w:rPr>
          <w:rFonts w:ascii="Arial" w:cs="Arial" w:eastAsia="Arial" w:hAnsi="Arial"/>
          <w:sz w:val="18"/>
          <w:szCs w:val="18"/>
          <w:color w:val="auto"/>
        </w:rPr>
        <w:t>Marine Components net sales increased 8% in 2017 as compared to 2016 as a result of continued strong demand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particularly those sold to the ski/wakeboard boat market. Gross profit margin and operating income as a percentage of net sales decreased in 2017 compared to 2016 principally due to unfavorable relative changes in customer and product mix and higher manufacturing costs, including the impact of personnel turnover in key manufacturing departments.</w:t>
      </w:r>
    </w:p>
    <w:p>
      <w:pPr>
        <w:spacing w:after="0" w:line="187"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Marine Component sales increased 6% in 2016 over 2015 primarily due to improved demand for products sold to the ski/wakeboard boat market, including the continuing introduction of new product lines to that market. As a percentage of net sales, gross margin and the operating income percentage improved due to improved pricing, changes in customer and product mix, improved manufacturing efficiencies and increased leverage of fixed costs as a result of higher production volumes.</w:t>
      </w:r>
    </w:p>
    <w:p>
      <w:pPr>
        <w:spacing w:after="0" w:line="29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color w:val="auto"/>
        </w:rPr>
        <w:t>The strong demand for our products in 2017, like the previous two years, was supported by continued high demand from existing customers for government security applications, as well as continued growth in electronic lock sales. In 2017, the impact of strong demand for these products was somewhat offset by lower sales to the transportation market, where a significant customer of the segment experienced weakened sales in 2017, which is expected to continue into 2018. We also continue to benefit from innovation and diversification in our product offerings to the recreational boat markets served by our Marine Components segment. In 2018, we will seek to capitalize on positive momentum in each of our business segments and on generally improving economic conditions to grow sales and profitability. We will continue to monitor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Trends in cash flows from operating activities, excluding changes in assets and liabilities, for the last three years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similar to the trends in our earnings. Depreciation and amortization was comparable in each of 2017, 2016 and 2015. See Note 1 to the Consolidated Financial Statements.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$12.6 million in 2017 compared to $13.9 million in 2016. The $1.3 million decrease in cash provided by operating activities is primarily the net result of:</w:t>
      </w:r>
    </w:p>
    <w:p>
      <w:pPr>
        <w:spacing w:after="0" w:line="79" w:lineRule="exact"/>
        <w:rPr>
          <w:sz w:val="20"/>
          <w:szCs w:val="20"/>
          <w:color w:val="auto"/>
        </w:rPr>
      </w:pPr>
    </w:p>
    <w:p>
      <w:pPr>
        <w:ind w:left="1180" w:hanging="42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operating income of $0.4 million in 2017,</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interest income received of $1.5 million in 2017,</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cash paid for taxes of $2.1 million in 2017 due to the relative timing of payments and increased profits,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inventories, receivables, payables and non-tax accruals of $0.3 million.</w:t>
      </w:r>
    </w:p>
    <w:p>
      <w:pPr>
        <w:spacing w:after="0" w:line="225"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Cash provided by operating activities was comparable in 2016 and 2015 at $13.9 million and $13.5 million, respectively, as higher operating income of $1.6 million in 2016 was offset by a higher amount of net cash used by relative changes in inventories, receivables, payables and non-tax accruals of $1.9 million.</w:t>
      </w:r>
    </w:p>
    <w:p>
      <w:pPr>
        <w:spacing w:after="0" w:line="18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our total average days sales outstanding increased from December 31, 2016 to December 31, 2017 primarily as a result of the timing of sales and collections in the last month of 2017 as compared to 2016. For comparative purposes, we have provided 2015 numbers below.</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Days Sales Outstanding:</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December 31,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56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5"/>
        </w:trPr>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Security Products</w:t>
            </w:r>
          </w:p>
        </w:tc>
        <w:tc>
          <w:tcPr>
            <w:tcW w:w="1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32 Days</w:t>
            </w:r>
          </w:p>
        </w:tc>
        <w:tc>
          <w:tcPr>
            <w:tcW w:w="2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36 Days</w:t>
            </w:r>
          </w:p>
        </w:tc>
        <w:tc>
          <w:tcPr>
            <w:tcW w:w="1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39 Days</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26 Days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33 Days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31 Days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31 Days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36 Days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38 Days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ind w:firstLine="1194"/>
        <w:spacing w:after="0" w:line="264" w:lineRule="auto"/>
        <w:rPr>
          <w:sz w:val="20"/>
          <w:szCs w:val="20"/>
          <w:color w:val="auto"/>
        </w:rPr>
      </w:pPr>
      <w:r>
        <w:rPr>
          <w:rFonts w:ascii="Arial" w:cs="Arial" w:eastAsia="Arial" w:hAnsi="Arial"/>
          <w:sz w:val="18"/>
          <w:szCs w:val="18"/>
          <w:color w:val="auto"/>
        </w:rPr>
        <w:t>As shown below, our average number of days in inventory at December 31, 2017 is comparable to December 31, 2016. The variability in days in inventory among our segments primarily relates to the complexity of the production processes, and therefore the length of time it takes to produce end products, as well as seasonal cycles. For comparative purposes, we have provided 2015 numbers below.</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Days in Inventory:</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December 31,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56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5"/>
        </w:trPr>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70 Days</w:t>
            </w:r>
          </w:p>
        </w:tc>
        <w:tc>
          <w:tcPr>
            <w:tcW w:w="2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73 Days</w:t>
            </w:r>
          </w:p>
        </w:tc>
        <w:tc>
          <w:tcPr>
            <w:tcW w:w="1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76 Days</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120 Days</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122 Days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96 Days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76 Days</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79 Days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79 Days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7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Capital expenditures have primarily emphasized improving our manufacturing facilities and investing in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utilizing new technologies and increased automation of the manufacturing process, to provide for increased productivity and efficiency in order to meet expected customer demand and properly maintain our facilities and technology infrastructure. Capital expenditures were $4.2 million in 2015, $3.2 million in 2016 and $2.8 million in 2017. See Note 2 to our Consolidated Financial Statements. Capital expenditures in 2015 and 2016 include approximately $0.5 million and $1.0 million, respectively, for an expansion to our Grayslake facility which was completed in April 2016.</w:t>
      </w:r>
    </w:p>
    <w:p>
      <w:pPr>
        <w:spacing w:after="0" w:line="173" w:lineRule="exact"/>
        <w:rPr>
          <w:sz w:val="20"/>
          <w:szCs w:val="20"/>
          <w:color w:val="auto"/>
        </w:rPr>
      </w:pPr>
    </w:p>
    <w:p>
      <w:pPr>
        <w:jc w:val="both"/>
        <w:ind w:firstLine="1194"/>
        <w:spacing w:after="0" w:line="308" w:lineRule="auto"/>
        <w:rPr>
          <w:sz w:val="20"/>
          <w:szCs w:val="20"/>
          <w:color w:val="auto"/>
        </w:rPr>
      </w:pPr>
      <w:r>
        <w:rPr>
          <w:rFonts w:ascii="Arial" w:cs="Arial" w:eastAsia="Arial" w:hAnsi="Arial"/>
          <w:sz w:val="17"/>
          <w:szCs w:val="17"/>
          <w:color w:val="auto"/>
        </w:rPr>
        <w:t>Capital expenditures for 2018 are estimated at approximately $3.8 million primarily to maintain and improve the cost-effectiveness of our facilities and equipment. Capital spending for 2018 is expected to be funded through cash on hand and cash generated from operations.</w:t>
      </w:r>
    </w:p>
    <w:p>
      <w:pPr>
        <w:spacing w:after="0" w:line="147" w:lineRule="exact"/>
        <w:rPr>
          <w:sz w:val="20"/>
          <w:szCs w:val="20"/>
          <w:color w:val="auto"/>
        </w:rPr>
      </w:pPr>
    </w:p>
    <w:p>
      <w:pPr>
        <w:jc w:val="both"/>
        <w:ind w:firstLine="1194"/>
        <w:spacing w:after="0" w:line="273" w:lineRule="auto"/>
        <w:rPr>
          <w:sz w:val="20"/>
          <w:szCs w:val="20"/>
          <w:color w:val="auto"/>
        </w:rPr>
      </w:pPr>
      <w:r>
        <w:rPr>
          <w:rFonts w:ascii="Arial" w:cs="Arial" w:eastAsia="Arial" w:hAnsi="Arial"/>
          <w:sz w:val="17"/>
          <w:szCs w:val="17"/>
          <w:color w:val="auto"/>
        </w:rPr>
        <w:t>In August 2016, we entered into an unsecured revolving demand promissory note with Valhi whereby we have agreed to loan Valhi up to $40 million. Our loan to Valhi bears interest at prime rate plus 1.00%, payable quarterly, with all principal due on demand, but in any event no earlier than December 31, 2019. Loans made to Valhi at any time under the agreement is at our discretion. During the third and fourth quarters of 2016, Valhi had borrowed a net $27.4 million under the promissory note ($36.6 million of gross borrowings and $9.2 million of gross repayments). During 2017, Valhi had borrowed a net $10.8 million under the promissory note for an outstanding balance of $38.2 million at December 31, 2017 ($52.1 million of gross borrowings and $41.3 million of gross repayments). See Note 9 to the Consolidated Financial Statements.</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dividends paid totaled $2.5 million ($.20 per share) in each of 2015,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Requirements</w:t>
      </w:r>
    </w:p>
    <w:p>
      <w:pPr>
        <w:spacing w:after="0" w:line="117"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All of our $29.7 million aggregate cash and cash equivalents at December 31, 2017 were held in the U.S.</w:t>
      </w:r>
    </w:p>
    <w:p>
      <w:pPr>
        <w:spacing w:after="0" w:line="225" w:lineRule="exact"/>
        <w:rPr>
          <w:sz w:val="20"/>
          <w:szCs w:val="20"/>
          <w:color w:val="auto"/>
        </w:rPr>
      </w:pPr>
    </w:p>
    <w:p>
      <w:pPr>
        <w:jc w:val="both"/>
        <w:ind w:firstLine="1194"/>
        <w:spacing w:after="0" w:line="293" w:lineRule="auto"/>
        <w:rPr>
          <w:sz w:val="20"/>
          <w:szCs w:val="20"/>
          <w:color w:val="auto"/>
        </w:rPr>
      </w:pPr>
      <w:r>
        <w:rPr>
          <w:rFonts w:ascii="Arial" w:cs="Arial" w:eastAsia="Arial" w:hAnsi="Arial"/>
          <w:sz w:val="16"/>
          <w:szCs w:val="16"/>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Off balance sheet financing arrangements</w:t>
      </w:r>
    </w:p>
    <w:p>
      <w:pPr>
        <w:spacing w:after="0" w:line="225"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Other than certain operating leases discussed in Note 10 to the Consolidated Financial Statements, neither we nor any of our subsidiaries or affiliates are parties to any off-balance sheet financing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As more fully described in the notes to the Consolidated Financial Statements, we are a party to various leases and other agreements that contractually and unconditionally commit us to pay certain amounts in the future. See Note 10 to the Consolidated Financial Statements. The following table summarizes such contractual commitments as of December 31, 2017 by the type and date of payment.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2019–2020</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2021–2022</w:t>
            </w:r>
          </w:p>
        </w:tc>
        <w:tc>
          <w:tcPr>
            <w:tcW w:w="140" w:type="dxa"/>
            <w:vAlign w:val="bottom"/>
          </w:tcPr>
          <w:p>
            <w:pPr>
              <w:spacing w:after="0"/>
              <w:rPr>
                <w:sz w:val="10"/>
                <w:szCs w:val="10"/>
                <w:color w:val="auto"/>
              </w:rPr>
            </w:pPr>
          </w:p>
        </w:tc>
        <w:tc>
          <w:tcPr>
            <w:tcW w:w="84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rPr>
              <w:t>2023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after</w:t>
            </w: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spacing w:after="0" w:line="128"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leases</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Purchase obligations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9,222</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8,999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Income taxes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Fixed asset acquisitions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10,507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9,994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94"/>
        <w:spacing w:after="0" w:line="297" w:lineRule="auto"/>
        <w:rPr>
          <w:sz w:val="20"/>
          <w:szCs w:val="20"/>
          <w:color w:val="auto"/>
        </w:rPr>
      </w:pPr>
      <w:r>
        <w:rPr>
          <w:rFonts w:ascii="Arial" w:cs="Arial" w:eastAsia="Arial" w:hAnsi="Arial"/>
          <w:sz w:val="16"/>
          <w:szCs w:val="16"/>
          <w:color w:val="auto"/>
        </w:rPr>
        <w:t>The timing and amount shown for our commitments related to operating leases and fixed asset acquisitions are based upon the contractual payment amount and the contractual payment date for those commitments. The timing and amount shown for purchase obligations, which consist of all open purchase orders and contractual obligations (primarily commitments to purchase raw materials) is also based on the contractual payment amount and the contractual payment date for those commitments. The amount shown for income taxes is the consolidated amount of income taxes payable at December 31, 2017, which is assumed to be paid during 2018. Fixed asset acquisitions include firm purchase commitments for capital projects.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 Note 12 to the Consolidated Financial Statements.</w:t>
      </w:r>
    </w:p>
    <w:p>
      <w:pPr>
        <w:spacing w:after="0" w:line="3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are exposed to market risk from changes in raw materials prices.</w:t>
      </w:r>
    </w:p>
    <w:p>
      <w:pPr>
        <w:spacing w:after="0" w:line="225"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i w:val="1"/>
          <w:iCs w:val="1"/>
          <w:color w:val="auto"/>
        </w:rPr>
        <w:t xml:space="preserve">Raw materials. </w:t>
      </w:r>
      <w:r>
        <w:rPr>
          <w:rFonts w:ascii="Arial" w:cs="Arial" w:eastAsia="Arial" w:hAnsi="Arial"/>
          <w:sz w:val="17"/>
          <w:szCs w:val="17"/>
          <w:color w:val="auto"/>
        </w:rPr>
        <w:t>We will occasionally enter into short term commodity-related raw material supply arrangements to mitigate the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3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information called for by this Item is contained in a separate section of this Annual Report. See “Index of Financial Statements”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pacing w:after="0" w:line="34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December 31, 2017. Based upon their evaluation, these executive officers have concluded that our disclosure controls and procedures are effective as of the date of such evaluation.</w:t>
      </w:r>
    </w:p>
    <w:p>
      <w:pPr>
        <w:spacing w:after="0" w:line="191" w:lineRule="exact"/>
        <w:rPr>
          <w:sz w:val="20"/>
          <w:szCs w:val="20"/>
          <w:color w:val="auto"/>
        </w:rPr>
      </w:pPr>
    </w:p>
    <w:p>
      <w:pPr>
        <w:jc w:val="both"/>
        <w:ind w:firstLine="1194"/>
        <w:spacing w:after="0" w:line="298" w:lineRule="auto"/>
        <w:rPr>
          <w:sz w:val="20"/>
          <w:szCs w:val="20"/>
          <w:color w:val="auto"/>
        </w:rPr>
      </w:pPr>
      <w:r>
        <w:rPr>
          <w:rFonts w:ascii="Arial" w:cs="Arial" w:eastAsia="Arial" w:hAnsi="Arial"/>
          <w:sz w:val="16"/>
          <w:szCs w:val="16"/>
          <w:b w:val="1"/>
          <w:b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266"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880" w:hanging="440"/>
        <w:spacing w:after="0" w:line="265"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ind w:left="880" w:right="20" w:hanging="440"/>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8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2017.</w:t>
      </w:r>
    </w:p>
    <w:p>
      <w:pPr>
        <w:spacing w:after="0" w:line="18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77" w:lineRule="exact"/>
        <w:rPr>
          <w:sz w:val="20"/>
          <w:szCs w:val="20"/>
          <w:color w:val="auto"/>
        </w:rPr>
      </w:pPr>
    </w:p>
    <w:p>
      <w:pPr>
        <w:jc w:val="both"/>
        <w:ind w:firstLine="1194"/>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quarter ended December 31, 2017 that have materially affected, or are reasonably likely to materially affect, our internal control over financial reporting.</w:t>
      </w:r>
    </w:p>
    <w:p>
      <w:pPr>
        <w:spacing w:after="0" w:line="176" w:lineRule="exact"/>
        <w:rPr>
          <w:sz w:val="20"/>
          <w:szCs w:val="20"/>
          <w:color w:val="auto"/>
        </w:rPr>
      </w:pPr>
    </w:p>
    <w:p>
      <w:pPr>
        <w:jc w:val="both"/>
        <w:ind w:firstLine="1194"/>
        <w:spacing w:after="0" w:line="266" w:lineRule="auto"/>
        <w:rPr>
          <w:sz w:val="20"/>
          <w:szCs w:val="20"/>
          <w:color w:val="auto"/>
        </w:rPr>
      </w:pPr>
      <w:r>
        <w:rPr>
          <w:rFonts w:ascii="Arial" w:cs="Arial" w:eastAsia="Arial" w:hAnsi="Arial"/>
          <w:sz w:val="18"/>
          <w:szCs w:val="18"/>
          <w:b w:val="1"/>
          <w:bCs w:val="1"/>
          <w:color w:val="auto"/>
        </w:rPr>
        <w:t xml:space="preserve">Certifications. </w:t>
      </w:r>
      <w:r>
        <w:rPr>
          <w:rFonts w:ascii="Arial" w:cs="Arial" w:eastAsia="Arial" w:hAnsi="Arial"/>
          <w:sz w:val="18"/>
          <w:szCs w:val="18"/>
          <w:color w:val="auto"/>
        </w:rPr>
        <w:t>Our chief executive officer and chief financial officer are required to, among other things, quarterly file a certification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 regarding the quality of our public disclosures, as required by Section 302 of the Sarbanes-Oxley Act of 2002. We have filed the certifications for the quarter ended December 31, 2017 as exhibits 31.1 and 31.2 to this Annual Report on Form 10-K.</w:t>
      </w:r>
    </w:p>
    <w:p>
      <w:pPr>
        <w:spacing w:after="0" w:line="3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0" w:firstLine="1194"/>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27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MATTERS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information required by this Item is incorporated by reference to our Proxy Statement.  See also Note 9 to the Consolidated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34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ind w:left="536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(c) Financial Statements</w:t>
      </w:r>
    </w:p>
    <w:p>
      <w:pPr>
        <w:spacing w:after="0" w:line="117"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The consolidated financial statements listed on the accompanying Index of Financial Statements (see page F-1) are filed as part of this Annual Report.</w:t>
      </w:r>
    </w:p>
    <w:p>
      <w:pPr>
        <w:spacing w:after="0" w:line="62"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70"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jc w:val="both"/>
        <w:ind w:left="600" w:right="20"/>
        <w:spacing w:after="0" w:line="276" w:lineRule="auto"/>
        <w:rPr>
          <w:rFonts w:ascii="Arial" w:cs="Arial" w:eastAsia="Arial" w:hAnsi="Arial"/>
          <w:sz w:val="18"/>
          <w:szCs w:val="18"/>
          <w:color w:val="auto"/>
        </w:rPr>
      </w:pPr>
      <w:r>
        <w:rPr>
          <w:rFonts w:ascii="Arial" w:cs="Arial" w:eastAsia="Arial" w:hAnsi="Arial"/>
          <w:sz w:val="17"/>
          <w:szCs w:val="17"/>
          <w:color w:val="auto"/>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gridSpan w:val="3"/>
          </w:tcPr>
          <w:p>
            <w:pPr>
              <w:ind w:left="220"/>
              <w:spacing w:after="0"/>
              <w:rPr>
                <w:sz w:val="20"/>
                <w:szCs w:val="20"/>
                <w:color w:val="auto"/>
              </w:rPr>
            </w:pPr>
            <w:r>
              <w:rPr>
                <w:rFonts w:ascii="Arial" w:cs="Arial" w:eastAsia="Arial" w:hAnsi="Arial"/>
                <w:sz w:val="14"/>
                <w:szCs w:val="14"/>
                <w:color w:val="auto"/>
              </w:rPr>
              <w:t>Item No.</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20" w:type="dxa"/>
            <w:vAlign w:val="bottom"/>
            <w:gridSpan w:val="9"/>
          </w:tcPr>
          <w:p>
            <w:pPr>
              <w:spacing w:after="0"/>
              <w:rPr>
                <w:sz w:val="20"/>
                <w:szCs w:val="20"/>
                <w:color w:val="auto"/>
              </w:rPr>
            </w:pPr>
            <w:r>
              <w:rPr>
                <w:rFonts w:ascii="Arial" w:cs="Arial" w:eastAsia="Arial" w:hAnsi="Arial"/>
                <w:sz w:val="14"/>
                <w:szCs w:val="14"/>
                <w:color w:val="auto"/>
              </w:rPr>
              <w:t>Exhibit Item</w:t>
            </w:r>
          </w:p>
        </w:tc>
      </w:tr>
      <w:tr>
        <w:trPr>
          <w:trHeight w:val="27"/>
        </w:trPr>
        <w:tc>
          <w:tcPr>
            <w:tcW w:w="7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3"/>
              </w:rPr>
            </w:pPr>
            <w:hyperlink r:id="rId42">
              <w:r>
                <w:rPr>
                  <w:rFonts w:ascii="Arial" w:cs="Arial" w:eastAsia="Arial" w:hAnsi="Arial"/>
                  <w:sz w:val="18"/>
                  <w:szCs w:val="18"/>
                  <w:color w:val="0000EE"/>
                  <w:w w:val="93"/>
                </w:rPr>
                <w:t>Restated Certificate of Incorporation of Registrant – incorporated by reference to Exhibit 3.1 of the Registrant’s Registration Statement on</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Form S-1/A (File No. 333-42643) filed on February 5,1998.</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3.2</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Amended and Restated Bylaws of Registrant, adopted by the Board of Directors October 24, 2007 – incorporated by reference to Exhibit 3.1</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of the Registrant’s Current Report on Form 8-K filed October 30, 2007 (File No 1-13905).</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6"/>
              </w:rPr>
            </w:pPr>
            <w:hyperlink r:id="rId44">
              <w:r>
                <w:rPr>
                  <w:rFonts w:ascii="Arial" w:cs="Arial" w:eastAsia="Arial" w:hAnsi="Arial"/>
                  <w:sz w:val="18"/>
                  <w:szCs w:val="18"/>
                  <w:color w:val="0000EE"/>
                  <w:w w:val="96"/>
                </w:rPr>
                <w:t>Intercorporate Services Agreement between the Registrant and Contran Corporation effective as of January 1, 2004 – incorporated by</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reference to Exhibit 10.2 of the Registrant’s Annual Report on Form 10-K for the year ended December 31, 2003 (File No. 1-13905) filed on</w:t>
              </w:r>
            </w:hyperlink>
          </w:p>
        </w:tc>
        <w:tc>
          <w:tcPr>
            <w:tcW w:w="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March 4, 2004.</w:t>
              </w:r>
            </w:hyperlink>
          </w:p>
        </w:tc>
        <w:tc>
          <w:tcPr>
            <w:tcW w:w="9180" w:type="dxa"/>
            <w:vAlign w:val="bottom"/>
            <w:gridSpan w:val="12"/>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10.2*</w:t>
            </w:r>
          </w:p>
        </w:tc>
        <w:tc>
          <w:tcPr>
            <w:tcW w:w="440" w:type="dxa"/>
            <w:vAlign w:val="bottom"/>
          </w:tcPr>
          <w:p>
            <w:pPr>
              <w:spacing w:after="0"/>
              <w:rPr>
                <w:sz w:val="24"/>
                <w:szCs w:val="24"/>
                <w:color w:val="auto"/>
              </w:rPr>
            </w:pPr>
          </w:p>
        </w:tc>
        <w:tc>
          <w:tcPr>
            <w:tcW w:w="10280" w:type="dxa"/>
            <w:vAlign w:val="bottom"/>
            <w:gridSpan w:val="13"/>
          </w:tcPr>
          <w:p>
            <w:pPr>
              <w:spacing w:after="0"/>
              <w:rPr>
                <w:rFonts w:ascii="Arial" w:cs="Arial" w:eastAsia="Arial" w:hAnsi="Arial"/>
                <w:sz w:val="18"/>
                <w:szCs w:val="18"/>
                <w:color w:val="0000EE"/>
                <w:w w:val="94"/>
              </w:rPr>
            </w:pPr>
            <w:hyperlink r:id="rId45">
              <w:r>
                <w:rPr>
                  <w:rFonts w:ascii="Arial" w:cs="Arial" w:eastAsia="Arial" w:hAnsi="Arial"/>
                  <w:sz w:val="18"/>
                  <w:szCs w:val="18"/>
                  <w:color w:val="0000EE"/>
                  <w:w w:val="94"/>
                </w:rPr>
                <w:t>CompX International Inc. 2012 Director Stock Plan – incorporated by reference to Exhibit 10.2 of the Registrant’s Annual Report on Form</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10-K for the year ended December 31, 2012 (File No. 1-13905) filed on March 6, 2013.</w:t>
              </w:r>
            </w:hyperlink>
          </w:p>
        </w:tc>
        <w:tc>
          <w:tcPr>
            <w:tcW w:w="39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10.3</w:t>
            </w:r>
          </w:p>
        </w:tc>
        <w:tc>
          <w:tcPr>
            <w:tcW w:w="440" w:type="dxa"/>
            <w:vAlign w:val="bottom"/>
          </w:tcPr>
          <w:p>
            <w:pPr>
              <w:spacing w:after="0"/>
              <w:rPr>
                <w:sz w:val="24"/>
                <w:szCs w:val="24"/>
                <w:color w:val="auto"/>
              </w:rPr>
            </w:pPr>
          </w:p>
        </w:tc>
        <w:tc>
          <w:tcPr>
            <w:tcW w:w="10280" w:type="dxa"/>
            <w:vAlign w:val="bottom"/>
            <w:gridSpan w:val="13"/>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Tax Sharing Agreement between the Registrant, NL Industries, Inc. and Contran Corporation dated as of December 1, 2012 - incorporated by</w:t>
              </w:r>
            </w:hyperlink>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4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reference to Exhibit 10.3 of the Registrant’s Annual Report on Form 10-K for the year ended December 31, 2012 (File No. 1-13905) filed on</w:t>
              </w:r>
            </w:hyperlink>
          </w:p>
        </w:tc>
        <w:tc>
          <w:tcPr>
            <w:tcW w:w="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March 6, 2013.</w:t>
              </w:r>
            </w:hyperlink>
          </w:p>
        </w:tc>
        <w:tc>
          <w:tcPr>
            <w:tcW w:w="9180" w:type="dxa"/>
            <w:vAlign w:val="bottom"/>
            <w:gridSpan w:val="12"/>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10.4</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First Amended and Restated Agreement Regarding Shared Insurance among the Registrant, Contran Corporation, Keystone Consolidated</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Industries, Inc., Kronos Worldwide, Inc., NL Industries, Inc., and Valhi, Inc. dated October 15, 2015 - incorporated by reference to Exhibit</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r>
                <w:rPr>
                  <w:rFonts w:ascii="Arial" w:cs="Arial" w:eastAsia="Arial" w:hAnsi="Arial"/>
                  <w:sz w:val="18"/>
                  <w:szCs w:val="18"/>
                  <w:color w:val="0000EE"/>
                  <w:w w:val="91"/>
                </w:rPr>
                <w:t xml:space="preserve"> of the Registrant’s Annual Report on Form 10-K for the year ended December 31, 2015 (File No. 1-13905) filed on March 3, 2016.</w:t>
              </w:r>
            </w:hyperlink>
          </w:p>
        </w:tc>
        <w:tc>
          <w:tcPr>
            <w:tcW w:w="420" w:type="dxa"/>
            <w:vAlign w:val="bottom"/>
            <w:tcBorders>
              <w:top w:val="single" w:sz="8" w:color="0000EE"/>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Second Amended and Restated Unsecured Revolving Demand Promissory Note dated December 31, 2017 in the original principal amount of</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u w:val="single" w:color="auto"/>
                  <w:color w:val="0000EE"/>
                  <w:w w:val="90"/>
                </w:rPr>
                <w:t>$</w:t>
              </w:r>
              <w:r>
                <w:rPr>
                  <w:rFonts w:ascii="Arial" w:cs="Arial" w:eastAsia="Arial" w:hAnsi="Arial"/>
                  <w:sz w:val="18"/>
                  <w:szCs w:val="18"/>
                  <w:color w:val="0000EE"/>
                  <w:w w:val="90"/>
                </w:rPr>
                <w:t>40.0 million executed by Valhi, Inc. and payable to the Registrant.</w:t>
              </w:r>
            </w:hyperlink>
          </w:p>
        </w:tc>
        <w:tc>
          <w:tcPr>
            <w:tcW w:w="5420" w:type="dxa"/>
            <w:vAlign w:val="bottom"/>
            <w:gridSpan w:val="8"/>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10.6*</w:t>
            </w:r>
          </w:p>
        </w:tc>
        <w:tc>
          <w:tcPr>
            <w:tcW w:w="440" w:type="dxa"/>
            <w:vAlign w:val="bottom"/>
          </w:tcPr>
          <w:p>
            <w:pPr>
              <w:spacing w:after="0"/>
              <w:rPr>
                <w:sz w:val="24"/>
                <w:szCs w:val="24"/>
                <w:color w:val="auto"/>
              </w:rPr>
            </w:pPr>
          </w:p>
        </w:tc>
        <w:tc>
          <w:tcPr>
            <w:tcW w:w="10000" w:type="dxa"/>
            <w:vAlign w:val="bottom"/>
            <w:tcBorders>
              <w:bottom w:val="single" w:sz="8" w:color="0000EE"/>
            </w:tcBorders>
            <w:gridSpan w:val="10"/>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Form of Indemnification Agreement – incorporated by reference to Exhibit 10.1 of the Registrant’s Current Report on Form 8-K filed May</w:t>
              </w:r>
            </w:hyperlink>
          </w:p>
        </w:tc>
        <w:tc>
          <w:tcPr>
            <w:tcW w:w="280" w:type="dxa"/>
            <w:vAlign w:val="bottom"/>
            <w:gridSpan w:val="3"/>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26, 2016 (File No 1-13905).</w:t>
              </w:r>
            </w:hyperlink>
          </w:p>
        </w:tc>
      </w:tr>
      <w:tr>
        <w:trPr>
          <w:trHeight w:val="88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Borders>
              <w:top w:val="single" w:sz="8" w:color="0000EE"/>
            </w:tcBorders>
            <w:gridSpan w:val="2"/>
          </w:tcPr>
          <w:p>
            <w:pPr>
              <w:spacing w:after="0"/>
              <w:rPr>
                <w:sz w:val="24"/>
                <w:szCs w:val="24"/>
                <w:color w:val="auto"/>
              </w:rPr>
            </w:pP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- 23 -</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 w:name="page24"/>
    <w:bookmarkEnd w:id="23"/>
    <w:p>
      <w:pPr>
        <w:spacing w:after="0" w:line="5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Item No.</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12"/>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Subsidiaries of the Registrant.</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Consent of PricewaterhouseCoopers LLP.</w:t>
              </w:r>
            </w:hyperlink>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3000" w:type="dxa"/>
            <w:vAlign w:val="bottom"/>
            <w:tcBorders>
              <w:top w:val="single" w:sz="8" w:color="0000EE"/>
            </w:tcBorders>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w:t>
              </w:r>
            </w:hyperlink>
          </w:p>
        </w:tc>
        <w:tc>
          <w:tcPr>
            <w:tcW w:w="78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w:t>
              </w:r>
            </w:hyperlink>
          </w:p>
        </w:tc>
      </w:tr>
      <w:tr>
        <w:trPr>
          <w:trHeight w:val="20"/>
        </w:trPr>
        <w:tc>
          <w:tcPr>
            <w:tcW w:w="102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5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rPr>
              <w:t>101.INS**</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rPr>
              <w:t>XBRL Instance Document</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6"/>
              </w:rPr>
              <w:t>101.SCH**</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101.CAL**</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101.DEF**</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rPr>
              <w:t>101.LAB**</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101.PRE**</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w w:val="90"/>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contract, compensatory plan or agreement.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3"/>
          <w:szCs w:val="13"/>
          <w:u w:val="single" w:color="auto"/>
          <w:color w:val="auto"/>
        </w:rPr>
        <w:t xml:space="preserve">Exhibit Item </w:t>
      </w:r>
      <w:r>
        <w:rPr>
          <w:rFonts w:ascii="Arial" w:cs="Arial" w:eastAsia="Arial" w:hAnsi="Arial"/>
          <w:sz w:val="16"/>
          <w:szCs w:val="16"/>
          <w:u w:val="single" w:color="auto"/>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980" w:space="540"/>
            <w:col w:w="4699"/>
          </w:cols>
          <w:pgMar w:left="240" w:top="584"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119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40" w:type="dxa"/>
            <w:vAlign w:val="bottom"/>
            <w:gridSpan w:val="2"/>
          </w:tcPr>
          <w:p>
            <w:pPr>
              <w:ind w:left="2200"/>
              <w:spacing w:after="0"/>
              <w:rPr>
                <w:sz w:val="20"/>
                <w:szCs w:val="20"/>
                <w:color w:val="auto"/>
              </w:rPr>
            </w:pPr>
            <w:r>
              <w:rPr>
                <w:rFonts w:ascii="Arial" w:cs="Arial" w:eastAsia="Arial" w:hAnsi="Arial"/>
                <w:sz w:val="18"/>
                <w:szCs w:val="18"/>
                <w:b w:val="1"/>
                <w:bCs w:val="1"/>
                <w:color w:val="auto"/>
              </w:rPr>
              <w:t>COMPX INTERNATIONAL INC.</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Date: February 28, 2018</w:t>
            </w:r>
          </w:p>
        </w:tc>
        <w:tc>
          <w:tcPr>
            <w:tcW w:w="2880" w:type="dxa"/>
            <w:vAlign w:val="bottom"/>
          </w:tcPr>
          <w:p>
            <w:pPr>
              <w:ind w:left="2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James</w:t>
            </w:r>
          </w:p>
        </w:tc>
      </w:tr>
      <w:tr>
        <w:trPr>
          <w:trHeight w:val="195"/>
        </w:trPr>
        <w:tc>
          <w:tcPr>
            <w:tcW w:w="3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Scott C. James</w:t>
            </w:r>
          </w:p>
        </w:tc>
      </w:tr>
      <w:tr>
        <w:trPr>
          <w:trHeight w:val="216"/>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gridSpan w:val="3"/>
          </w:tcPr>
          <w:p>
            <w:pPr>
              <w:ind w:left="1840"/>
              <w:spacing w:after="0"/>
              <w:rPr>
                <w:sz w:val="20"/>
                <w:szCs w:val="20"/>
                <w:color w:val="auto"/>
              </w:rPr>
            </w:pPr>
            <w:r>
              <w:rPr>
                <w:rFonts w:ascii="Arial" w:cs="Arial" w:eastAsia="Arial" w:hAnsi="Arial"/>
                <w:sz w:val="14"/>
                <w:szCs w:val="14"/>
                <w:b w:val="1"/>
                <w:bCs w:val="1"/>
                <w:color w:val="auto"/>
              </w:rPr>
              <w:t>Signature</w:t>
            </w:r>
          </w:p>
        </w:tc>
        <w:tc>
          <w:tcPr>
            <w:tcW w:w="2400" w:type="dxa"/>
            <w:vAlign w:val="bottom"/>
          </w:tcPr>
          <w:p>
            <w:pPr>
              <w:spacing w:after="0"/>
              <w:rPr>
                <w:sz w:val="15"/>
                <w:szCs w:val="15"/>
                <w:color w:val="auto"/>
              </w:rPr>
            </w:pPr>
          </w:p>
        </w:tc>
        <w:tc>
          <w:tcPr>
            <w:tcW w:w="240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97"/>
              </w:rPr>
              <w:t>Title</w:t>
            </w:r>
          </w:p>
        </w:tc>
        <w:tc>
          <w:tcPr>
            <w:tcW w:w="1140" w:type="dxa"/>
            <w:vAlign w:val="bottom"/>
          </w:tcPr>
          <w:p>
            <w:pPr>
              <w:spacing w:after="0"/>
              <w:rPr>
                <w:sz w:val="15"/>
                <w:szCs w:val="15"/>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Date</w:t>
            </w:r>
          </w:p>
        </w:tc>
      </w:tr>
      <w:tr>
        <w:trPr>
          <w:trHeight w:val="27"/>
        </w:trPr>
        <w:tc>
          <w:tcPr>
            <w:tcW w:w="4280" w:type="dxa"/>
            <w:vAlign w:val="bottom"/>
            <w:gridSpan w:val="3"/>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432"/>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Loretta J. Feehan</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3"/>
              </w:rPr>
              <w:t>Chair of the Board</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Loretta J. Feehan</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37"/>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A. Bowers</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Vice Chairman of the Board</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David A. Bowers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W. Brown</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Vice President,</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195"/>
        </w:trPr>
        <w:tc>
          <w:tcPr>
            <w:tcW w:w="4280" w:type="dxa"/>
            <w:vAlign w:val="bottom"/>
            <w:gridSpan w:val="3"/>
          </w:tcPr>
          <w:p>
            <w:pPr>
              <w:spacing w:after="0" w:line="195" w:lineRule="exact"/>
              <w:rPr>
                <w:sz w:val="20"/>
                <w:szCs w:val="20"/>
                <w:color w:val="auto"/>
              </w:rPr>
            </w:pPr>
            <w:r>
              <w:rPr>
                <w:rFonts w:ascii="Arial" w:cs="Arial" w:eastAsia="Arial" w:hAnsi="Arial"/>
                <w:sz w:val="18"/>
                <w:szCs w:val="18"/>
                <w:color w:val="auto"/>
              </w:rPr>
              <w:t>James W. Brown</w:t>
            </w:r>
          </w:p>
        </w:tc>
        <w:tc>
          <w:tcPr>
            <w:tcW w:w="4800" w:type="dxa"/>
            <w:vAlign w:val="bottom"/>
            <w:gridSpan w:val="3"/>
          </w:tcPr>
          <w:p>
            <w:pPr>
              <w:jc w:val="center"/>
              <w:ind w:left="190"/>
              <w:spacing w:after="0" w:line="195" w:lineRule="exact"/>
              <w:rPr>
                <w:sz w:val="20"/>
                <w:szCs w:val="20"/>
                <w:color w:val="auto"/>
              </w:rPr>
            </w:pPr>
            <w:r>
              <w:rPr>
                <w:rFonts w:ascii="Arial" w:cs="Arial" w:eastAsia="Arial" w:hAnsi="Arial"/>
                <w:sz w:val="18"/>
                <w:szCs w:val="18"/>
                <w:color w:val="auto"/>
                <w:w w:val="94"/>
              </w:rPr>
              <w:t>Chief Financial Officer</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1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and Controller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3"/>
              </w:rPr>
              <w:t>(Principal Financial and Accounting Officer)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E. Barry</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Thomas E. Barry</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Elisabeth C. Fisher</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Elisabeth C. Fisher</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D. Graham</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Robert D. Graham</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Ann Manix</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Ann Manix</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Cecil H. Moore, Jr.</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Cecil H. Moore, Jr.</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Mary A. Tidlund</w:t>
            </w:r>
          </w:p>
        </w:tc>
        <w:tc>
          <w:tcPr>
            <w:tcW w:w="480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February 28,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Mary A. Tidlund</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8 and 15(a)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Financial Statements</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91"/>
        </w:trPr>
        <w:tc>
          <w:tcPr>
            <w:tcW w:w="1106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Report of Independent Registered Public Accounting Firm</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90"/>
              </w:rPr>
              <w:t>F</w:t>
            </w:r>
            <w:r>
              <w:rPr>
                <w:rFonts w:ascii="Arial" w:cs="Arial" w:eastAsia="Arial" w:hAnsi="Arial"/>
                <w:sz w:val="10"/>
                <w:szCs w:val="10"/>
                <w:color w:val="auto"/>
                <w:w w:val="90"/>
              </w:rPr>
              <w:t>–</w:t>
            </w:r>
            <w:r>
              <w:rPr>
                <w:rFonts w:ascii="Arial" w:cs="Arial" w:eastAsia="Arial" w:hAnsi="Arial"/>
                <w:sz w:val="18"/>
                <w:szCs w:val="18"/>
                <w:color w:val="auto"/>
                <w:w w:val="90"/>
              </w:rPr>
              <w:t>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8"/>
        </w:trPr>
        <w:tc>
          <w:tcPr>
            <w:tcW w:w="1106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Consolidated Balance Sheets—December 31, 2016 and 2017</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90"/>
              </w:rPr>
              <w:t>F</w:t>
            </w:r>
            <w:r>
              <w:rPr>
                <w:rFonts w:ascii="Arial" w:cs="Arial" w:eastAsia="Arial" w:hAnsi="Arial"/>
                <w:sz w:val="10"/>
                <w:szCs w:val="10"/>
                <w:color w:val="auto"/>
                <w:w w:val="90"/>
              </w:rPr>
              <w:t>–</w:t>
            </w:r>
            <w:r>
              <w:rPr>
                <w:rFonts w:ascii="Arial" w:cs="Arial" w:eastAsia="Arial" w:hAnsi="Arial"/>
                <w:sz w:val="18"/>
                <w:szCs w:val="18"/>
                <w:color w:val="auto"/>
                <w:w w:val="90"/>
              </w:rPr>
              <w:t>3</w:t>
            </w:r>
          </w:p>
        </w:tc>
      </w:tr>
      <w:tr>
        <w:trPr>
          <w:trHeight w:val="20"/>
        </w:trPr>
        <w:tc>
          <w:tcPr>
            <w:tcW w:w="3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8"/>
        </w:trPr>
        <w:tc>
          <w:tcPr>
            <w:tcW w:w="1106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Statements of Income—Years ended December 31, 2015, 2016 and 2017</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90"/>
              </w:rPr>
              <w:t>F</w:t>
            </w:r>
            <w:r>
              <w:rPr>
                <w:rFonts w:ascii="Arial" w:cs="Arial" w:eastAsia="Arial" w:hAnsi="Arial"/>
                <w:sz w:val="10"/>
                <w:szCs w:val="10"/>
                <w:color w:val="auto"/>
                <w:w w:val="90"/>
              </w:rPr>
              <w:t>–</w:t>
            </w:r>
            <w:r>
              <w:rPr>
                <w:rFonts w:ascii="Arial" w:cs="Arial" w:eastAsia="Arial" w:hAnsi="Arial"/>
                <w:sz w:val="18"/>
                <w:szCs w:val="18"/>
                <w:color w:val="auto"/>
                <w:w w:val="90"/>
              </w:rPr>
              <w:t>5</w:t>
            </w:r>
          </w:p>
        </w:tc>
      </w:tr>
      <w:tr>
        <w:trPr>
          <w:trHeight w:val="20"/>
        </w:trPr>
        <w:tc>
          <w:tcPr>
            <w:tcW w:w="31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8"/>
        </w:trPr>
        <w:tc>
          <w:tcPr>
            <w:tcW w:w="65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Consolidated Statements of Cash Flows—Years ended December 31, 2015, 2016 and 2017</w:t>
              </w:r>
            </w:hyperlink>
          </w:p>
        </w:tc>
        <w:tc>
          <w:tcPr>
            <w:tcW w:w="4500" w:type="dxa"/>
            <w:vAlign w:val="bottom"/>
            <w:gridSpan w:val="3"/>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F</w:t>
            </w:r>
            <w:r>
              <w:rPr>
                <w:rFonts w:ascii="Arial" w:cs="Arial" w:eastAsia="Arial" w:hAnsi="Arial"/>
                <w:sz w:val="10"/>
                <w:szCs w:val="10"/>
                <w:color w:val="auto"/>
                <w:w w:val="90"/>
              </w:rPr>
              <w:t>–</w:t>
            </w:r>
            <w:r>
              <w:rPr>
                <w:rFonts w:ascii="Arial" w:cs="Arial" w:eastAsia="Arial" w:hAnsi="Arial"/>
                <w:sz w:val="18"/>
                <w:szCs w:val="18"/>
                <w:color w:val="auto"/>
                <w:w w:val="90"/>
              </w:rPr>
              <w:t>6</w:t>
            </w:r>
          </w:p>
        </w:tc>
      </w:tr>
      <w:tr>
        <w:trPr>
          <w:trHeight w:val="318"/>
        </w:trPr>
        <w:tc>
          <w:tcPr>
            <w:tcW w:w="7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Consolidated Statements of Stockholders’ Equity—Years ended December 31, 2015, 2016 and 2017</w:t>
              </w:r>
            </w:hyperlink>
          </w:p>
        </w:tc>
        <w:tc>
          <w:tcPr>
            <w:tcW w:w="3820" w:type="dxa"/>
            <w:vAlign w:val="bottom"/>
            <w:gridSpan w:val="2"/>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F</w:t>
            </w:r>
            <w:r>
              <w:rPr>
                <w:rFonts w:ascii="Arial" w:cs="Arial" w:eastAsia="Arial" w:hAnsi="Arial"/>
                <w:sz w:val="10"/>
                <w:szCs w:val="10"/>
                <w:color w:val="auto"/>
                <w:w w:val="90"/>
              </w:rPr>
              <w:t>–</w:t>
            </w:r>
            <w:r>
              <w:rPr>
                <w:rFonts w:ascii="Arial" w:cs="Arial" w:eastAsia="Arial" w:hAnsi="Arial"/>
                <w:sz w:val="18"/>
                <w:szCs w:val="18"/>
                <w:color w:val="auto"/>
                <w:w w:val="90"/>
              </w:rPr>
              <w:t>7</w:t>
            </w:r>
          </w:p>
        </w:tc>
      </w:tr>
      <w:tr>
        <w:trPr>
          <w:trHeight w:val="318"/>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Notes to Consolidated Financial Statements</w:t>
              </w:r>
            </w:hyperlink>
          </w:p>
        </w:tc>
        <w:tc>
          <w:tcPr>
            <w:tcW w:w="7900" w:type="dxa"/>
            <w:vAlign w:val="bottom"/>
            <w:gridSpan w:val="7"/>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F</w:t>
            </w:r>
            <w:r>
              <w:rPr>
                <w:rFonts w:ascii="Arial" w:cs="Arial" w:eastAsia="Arial" w:hAnsi="Arial"/>
                <w:sz w:val="10"/>
                <w:szCs w:val="10"/>
                <w:color w:val="auto"/>
                <w:w w:val="90"/>
              </w:rPr>
              <w:t>–</w:t>
            </w:r>
            <w:r>
              <w:rPr>
                <w:rFonts w:ascii="Arial" w:cs="Arial" w:eastAsia="Arial" w:hAnsi="Arial"/>
                <w:sz w:val="18"/>
                <w:szCs w:val="18"/>
                <w:color w:val="auto"/>
                <w:w w:val="90"/>
              </w:rPr>
              <w:t>8</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CompX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CompX International Inc. and its subsidiaries as of December 31, 2017 and January 1, 2017, and the related consolidated statements of income, stockholders’ equity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January 1, 2017, and the results of their operations and their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452"/>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33,153</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29,655</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10,347</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14,974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15,382</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r>
      <w:tr>
        <w:trPr>
          <w:trHeight w:val="453"/>
        </w:trPr>
        <w:tc>
          <w:tcPr>
            <w:tcW w:w="40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59,175</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56,362</w:t>
            </w:r>
          </w:p>
        </w:tc>
        <w:tc>
          <w:tcPr>
            <w:tcW w:w="120" w:type="dxa"/>
            <w:vAlign w:val="bottom"/>
          </w:tcPr>
          <w:p>
            <w:pPr>
              <w:spacing w:after="0"/>
              <w:rPr>
                <w:sz w:val="24"/>
                <w:szCs w:val="24"/>
                <w:color w:val="auto"/>
              </w:rPr>
            </w:pPr>
          </w:p>
        </w:tc>
      </w:tr>
      <w:tr>
        <w:trPr>
          <w:trHeight w:val="452"/>
        </w:trPr>
        <w:tc>
          <w:tcPr>
            <w:tcW w:w="4000" w:type="dxa"/>
            <w:vAlign w:val="bottom"/>
          </w:tcPr>
          <w:p>
            <w:pPr>
              <w:spacing w:after="0"/>
              <w:rPr>
                <w:sz w:val="20"/>
                <w:szCs w:val="20"/>
                <w:color w:val="auto"/>
              </w:rPr>
            </w:pPr>
            <w:r>
              <w:rPr>
                <w:rFonts w:ascii="Arial" w:cs="Arial" w:eastAsia="Arial" w:hAnsi="Arial"/>
                <w:sz w:val="18"/>
                <w:szCs w:val="18"/>
                <w:color w:val="auto"/>
              </w:rPr>
              <w:t>Other assets:</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Note receivable from affiliate</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27,400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38,200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23,742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23,742</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r>
      <w:tr>
        <w:trPr>
          <w:trHeight w:val="453"/>
        </w:trPr>
        <w:tc>
          <w:tcPr>
            <w:tcW w:w="400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62,532</w:t>
            </w:r>
          </w:p>
        </w:tc>
        <w:tc>
          <w:tcPr>
            <w:tcW w:w="120" w:type="dxa"/>
            <w:vAlign w:val="bottom"/>
          </w:tcPr>
          <w:p>
            <w:pPr>
              <w:spacing w:after="0"/>
              <w:rPr>
                <w:sz w:val="24"/>
                <w:szCs w:val="24"/>
                <w:color w:val="auto"/>
              </w:rPr>
            </w:pPr>
          </w:p>
        </w:tc>
      </w:tr>
      <w:tr>
        <w:trPr>
          <w:trHeight w:val="452"/>
        </w:trPr>
        <w:tc>
          <w:tcPr>
            <w:tcW w:w="4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Land</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4,935</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Buildings</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22,541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22,774</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65,570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67,373</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Construction in progress</w:t>
            </w: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0"/>
                <w:szCs w:val="20"/>
                <w:color w:val="auto"/>
              </w:rPr>
            </w:pPr>
          </w:p>
        </w:tc>
      </w:tr>
      <w:tr>
        <w:trPr>
          <w:trHeight w:val="224"/>
        </w:trPr>
        <w:tc>
          <w:tcPr>
            <w:tcW w:w="40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94,144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95,651</w:t>
            </w:r>
          </w:p>
        </w:tc>
        <w:tc>
          <w:tcPr>
            <w:tcW w:w="120" w:type="dxa"/>
            <w:vAlign w:val="bottom"/>
          </w:tcPr>
          <w:p>
            <w:pPr>
              <w:spacing w:after="0"/>
              <w:rPr>
                <w:sz w:val="19"/>
                <w:szCs w:val="19"/>
                <w:color w:val="auto"/>
              </w:rPr>
            </w:pPr>
          </w:p>
        </w:tc>
      </w:tr>
      <w:tr>
        <w:trPr>
          <w:trHeight w:val="458"/>
        </w:trPr>
        <w:tc>
          <w:tcPr>
            <w:tcW w:w="4000" w:type="dxa"/>
            <w:vAlign w:val="bottom"/>
          </w:tcPr>
          <w:p>
            <w:pPr>
              <w:ind w:left="140"/>
              <w:spacing w:after="0"/>
              <w:rPr>
                <w:sz w:val="20"/>
                <w:szCs w:val="20"/>
                <w:color w:val="auto"/>
              </w:rPr>
            </w:pPr>
            <w:r>
              <w:rPr>
                <w:rFonts w:ascii="Arial" w:cs="Arial" w:eastAsia="Arial" w:hAnsi="Arial"/>
                <w:sz w:val="18"/>
                <w:szCs w:val="18"/>
                <w:color w:val="auto"/>
              </w:rPr>
              <w:t>Less accumulated depreciation</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61,071</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63,586</w:t>
            </w:r>
          </w:p>
        </w:tc>
        <w:tc>
          <w:tcPr>
            <w:tcW w:w="120" w:type="dxa"/>
            <w:vAlign w:val="bottom"/>
          </w:tcPr>
          <w:p>
            <w:pPr>
              <w:spacing w:after="0"/>
              <w:rPr>
                <w:sz w:val="24"/>
                <w:szCs w:val="24"/>
                <w:color w:val="auto"/>
              </w:rPr>
            </w:pPr>
          </w:p>
        </w:tc>
      </w:tr>
      <w:tr>
        <w:trPr>
          <w:trHeight w:val="453"/>
        </w:trPr>
        <w:tc>
          <w:tcPr>
            <w:tcW w:w="400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33,073</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c>
          <w:tcPr>
            <w:tcW w:w="120" w:type="dxa"/>
            <w:vAlign w:val="bottom"/>
          </w:tcPr>
          <w:p>
            <w:pPr>
              <w:spacing w:after="0"/>
              <w:rPr>
                <w:sz w:val="24"/>
                <w:szCs w:val="24"/>
                <w:color w:val="auto"/>
              </w:rPr>
            </w:pPr>
          </w:p>
        </w:tc>
      </w:tr>
      <w:tr>
        <w:trPr>
          <w:trHeight w:val="453"/>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3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143,980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150,959</w:t>
            </w:r>
          </w:p>
        </w:tc>
        <w:tc>
          <w:tcPr>
            <w:tcW w:w="12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3520" w:type="dxa"/>
            <w:vAlign w:val="bottom"/>
            <w:gridSpan w:val="2"/>
          </w:tcPr>
          <w:p>
            <w:pPr>
              <w:jc w:val="right"/>
              <w:ind w:right="1680"/>
              <w:spacing w:after="0"/>
              <w:rPr>
                <w:sz w:val="20"/>
                <w:szCs w:val="20"/>
                <w:color w:val="auto"/>
              </w:rPr>
            </w:pPr>
            <w:r>
              <w:rPr>
                <w:rFonts w:ascii="Arial" w:cs="Arial" w:eastAsia="Arial" w:hAnsi="Arial"/>
                <w:sz w:val="18"/>
                <w:szCs w:val="18"/>
                <w:color w:val="auto"/>
              </w:rPr>
              <w:t>F-3</w:t>
            </w: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11,882</w:t>
            </w:r>
          </w:p>
        </w:tc>
        <w:tc>
          <w:tcPr>
            <w:tcW w:w="5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10,792</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Income taxes payable to affiliate</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453"/>
        </w:trPr>
        <w:tc>
          <w:tcPr>
            <w:tcW w:w="71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rPr>
              <w:t>Noncurrent liabilities -</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Preferred stock, $.01 par value; 1,000 shares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authorized, none issued</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Class A common stock, $.01 par value;</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20,000,000 shares authorized; 2,419,107 and</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2,426,107 shares issued and outstanding</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Class B common stock, $.01 par value;</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10,000,000 shares authorized, issued and outstanding</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55,515</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55,612</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70,131</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80,849</w:t>
            </w:r>
          </w:p>
        </w:tc>
      </w:tr>
      <w:tr>
        <w:trPr>
          <w:trHeight w:val="453"/>
        </w:trPr>
        <w:tc>
          <w:tcPr>
            <w:tcW w:w="71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125,770</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136,585</w:t>
            </w:r>
          </w:p>
        </w:tc>
      </w:tr>
      <w:tr>
        <w:trPr>
          <w:trHeight w:val="453"/>
        </w:trPr>
        <w:tc>
          <w:tcPr>
            <w:tcW w:w="71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143,980</w:t>
            </w:r>
          </w:p>
        </w:tc>
        <w:tc>
          <w:tcPr>
            <w:tcW w:w="52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150,959</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Years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52"/>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108,994</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108,920</w:t>
            </w:r>
          </w:p>
        </w:tc>
        <w:tc>
          <w:tcPr>
            <w:tcW w:w="4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112,035</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75,593</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73,753</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77,210</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33,401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35,167</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34,825</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19,590</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13,971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14,021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15,964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17,164</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453"/>
        </w:trPr>
        <w:tc>
          <w:tcPr>
            <w:tcW w:w="430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24"/>
                <w:szCs w:val="24"/>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10,457</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0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1000" w:type="dxa"/>
            <w:vAlign w:val="bottom"/>
          </w:tcPr>
          <w:p>
            <w:pPr>
              <w:spacing w:after="0"/>
              <w:rPr>
                <w:sz w:val="24"/>
                <w:szCs w:val="24"/>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0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20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0.20</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0.20</w:t>
            </w:r>
          </w:p>
        </w:tc>
        <w:tc>
          <w:tcPr>
            <w:tcW w:w="4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w:t>
            </w:r>
          </w:p>
        </w:tc>
        <w:tc>
          <w:tcPr>
            <w:tcW w:w="1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4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shares outstanding</w:t>
            </w: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12,408</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12,416</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9"/>
              </w:rPr>
              <w:t>Years ended 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10,457</w:t>
            </w:r>
          </w:p>
        </w:tc>
        <w:tc>
          <w:tcPr>
            <w:tcW w:w="3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Provision for inventory reserves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Accounts with affiliates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453"/>
        </w:trPr>
        <w:tc>
          <w:tcPr>
            <w:tcW w:w="598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13,476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Note receivable from affiliate: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Collections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Advances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(30,575)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Cash flows from financing activities -</w:t>
            </w: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9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8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(2,481)</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Net increase (decrease)</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(19,194)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45,570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52,347</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33,153</w:t>
            </w:r>
          </w:p>
        </w:tc>
        <w:tc>
          <w:tcPr>
            <w:tcW w:w="3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4,646</w:t>
            </w:r>
          </w:p>
        </w:tc>
        <w:tc>
          <w:tcPr>
            <w:tcW w:w="3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2015, 2016 and 2017</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34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paid-in</w:t>
            </w: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Class B</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60" w:type="dxa"/>
            <w:vAlign w:val="bottom"/>
          </w:tcPr>
          <w:p>
            <w:pPr>
              <w:spacing w:after="0"/>
              <w:rPr>
                <w:sz w:val="19"/>
                <w:szCs w:val="19"/>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20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55,342</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55,520</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110,986</w:t>
            </w:r>
          </w:p>
        </w:tc>
        <w:tc>
          <w:tcPr>
            <w:tcW w:w="60" w:type="dxa"/>
            <w:vAlign w:val="bottom"/>
          </w:tcPr>
          <w:p>
            <w:pPr>
              <w:spacing w:after="0"/>
              <w:rPr>
                <w:sz w:val="24"/>
                <w:szCs w:val="24"/>
                <w:color w:val="auto"/>
              </w:rPr>
            </w:pPr>
          </w:p>
        </w:tc>
      </w:tr>
      <w:tr>
        <w:trPr>
          <w:trHeight w:val="458"/>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9,118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9,118</w:t>
            </w:r>
          </w:p>
        </w:tc>
        <w:tc>
          <w:tcPr>
            <w:tcW w:w="6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Cash dividends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55,422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62,157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117,703</w:t>
            </w:r>
          </w:p>
        </w:tc>
        <w:tc>
          <w:tcPr>
            <w:tcW w:w="60" w:type="dxa"/>
            <w:vAlign w:val="bottom"/>
          </w:tcPr>
          <w:p>
            <w:pPr>
              <w:spacing w:after="0"/>
              <w:rPr>
                <w:sz w:val="24"/>
                <w:szCs w:val="24"/>
                <w:color w:val="auto"/>
              </w:rPr>
            </w:pPr>
          </w:p>
        </w:tc>
      </w:tr>
      <w:tr>
        <w:trPr>
          <w:trHeight w:val="458"/>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10,457</w:t>
            </w:r>
          </w:p>
        </w:tc>
        <w:tc>
          <w:tcPr>
            <w:tcW w:w="6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Cash dividends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(2,483)</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125,770</w:t>
            </w:r>
          </w:p>
        </w:tc>
        <w:tc>
          <w:tcPr>
            <w:tcW w:w="60" w:type="dxa"/>
            <w:vAlign w:val="bottom"/>
          </w:tcPr>
          <w:p>
            <w:pPr>
              <w:spacing w:after="0"/>
              <w:rPr>
                <w:sz w:val="24"/>
                <w:szCs w:val="24"/>
                <w:color w:val="auto"/>
              </w:rPr>
            </w:pPr>
          </w:p>
        </w:tc>
      </w:tr>
      <w:tr>
        <w:trPr>
          <w:trHeight w:val="458"/>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13,203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13,203</w:t>
            </w:r>
          </w:p>
        </w:tc>
        <w:tc>
          <w:tcPr>
            <w:tcW w:w="6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Cash dividends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(2,485)</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20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136,585</w:t>
            </w:r>
          </w:p>
        </w:tc>
        <w:tc>
          <w:tcPr>
            <w:tcW w:w="60" w:type="dxa"/>
            <w:vAlign w:val="bottom"/>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62"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b w:val="1"/>
          <w:bCs w:val="1"/>
          <w:i w:val="1"/>
          <w:iCs w:val="1"/>
          <w:color w:val="auto"/>
        </w:rPr>
        <w:t xml:space="preserve">Organization. </w:t>
      </w:r>
      <w:r>
        <w:rPr>
          <w:rFonts w:ascii="Arial" w:cs="Arial" w:eastAsia="Arial" w:hAnsi="Arial"/>
          <w:sz w:val="18"/>
          <w:szCs w:val="18"/>
          <w:color w:val="auto"/>
        </w:rPr>
        <w:t>We (NYSE MKT: CIX) are 87% owned by NL Industries, Inc. (NYSE: NL) at December 31, 2017. We manufacture and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products (security products and recreational marine components). At December 31, 2017, Valhi, Inc. (NYSE: VHI) owns 83% of NL’s outstanding common stock and a wholly-owned subsidiary of Contran Corporation owns 93%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Unless otherwise indicated, references in this report to “we,” “us,” or “our” refer to CompX International Inc. and its subsidiaries, taken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b w:val="1"/>
          <w:bCs w:val="1"/>
          <w:i w:val="1"/>
          <w:iCs w:val="1"/>
          <w:color w:val="auto"/>
        </w:rPr>
        <w:t xml:space="preserve">Management estimates. </w:t>
      </w:r>
      <w:r>
        <w:rPr>
          <w:rFonts w:ascii="Arial" w:cs="Arial" w:eastAsia="Arial" w:hAnsi="Arial"/>
          <w:sz w:val="17"/>
          <w:szCs w:val="17"/>
          <w:color w:val="auto"/>
        </w:rPr>
        <w:t>In preparing our financial statements in conformity with accounting principles generally accepted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67" w:lineRule="exact"/>
        <w:rPr>
          <w:sz w:val="20"/>
          <w:szCs w:val="20"/>
          <w:color w:val="auto"/>
        </w:rPr>
      </w:pPr>
    </w:p>
    <w:p>
      <w:pPr>
        <w:jc w:val="both"/>
        <w:ind w:firstLine="1194"/>
        <w:spacing w:after="0" w:line="282" w:lineRule="auto"/>
        <w:rPr>
          <w:sz w:val="20"/>
          <w:szCs w:val="20"/>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financial statements include the accounts of CompX International Inc. and our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We eliminate all material intercompany accounts and balances.</w:t>
      </w:r>
    </w:p>
    <w:p>
      <w:pPr>
        <w:spacing w:after="0" w:line="166"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b w:val="1"/>
          <w:bCs w:val="1"/>
          <w:i w:val="1"/>
          <w:iCs w:val="1"/>
          <w:color w:val="auto"/>
        </w:rPr>
        <w:t xml:space="preserve">Fiscal year. </w:t>
      </w:r>
      <w:r>
        <w:rPr>
          <w:rFonts w:ascii="Arial" w:cs="Arial" w:eastAsia="Arial" w:hAnsi="Arial"/>
          <w:sz w:val="18"/>
          <w:szCs w:val="18"/>
          <w:color w:val="auto"/>
        </w:rPr>
        <w:t>Our fiscal year end is always the Sunday closest to December 31, and our operations are reported on a 52 or 53-week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The year ended December 31, 2015 consisted of 53 weeks. Each of the years ended December 31, 2016 and 2017 consisted of 52 weeks. For presentation purposes, annual and quarterly information in the consolidated financial statements and accompanying notes are presented as ended on March 31, June 30, September 30 and December 31, as applicable. The actual date of our fiscal years ended December 31, 2015, 2016 and 2017 are January 3, 2016, January 1, 2017, and December 31, 2017, respectively.</w:t>
      </w:r>
    </w:p>
    <w:p>
      <w:pPr>
        <w:spacing w:after="0" w:line="184" w:lineRule="exact"/>
        <w:rPr>
          <w:sz w:val="20"/>
          <w:szCs w:val="20"/>
          <w:color w:val="auto"/>
        </w:rPr>
      </w:pPr>
    </w:p>
    <w:p>
      <w:pPr>
        <w:jc w:val="both"/>
        <w:ind w:firstLine="1194"/>
        <w:spacing w:after="0" w:line="282"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classify bank time deposits and government and commercial notes and bills with original maturities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or less as cash equivalents.</w:t>
      </w:r>
    </w:p>
    <w:p>
      <w:pPr>
        <w:spacing w:after="0" w:line="162" w:lineRule="exact"/>
        <w:rPr>
          <w:sz w:val="20"/>
          <w:szCs w:val="20"/>
          <w:color w:val="auto"/>
        </w:rPr>
      </w:pPr>
    </w:p>
    <w:p>
      <w:pPr>
        <w:jc w:val="both"/>
        <w:ind w:firstLine="1194"/>
        <w:spacing w:after="0" w:line="298" w:lineRule="auto"/>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 sales when products are shipped and title and other risks and rewards of ownership have passed to the customer,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generally upon delivery of our products to transport carriers. Amounts charged to customers for shipping and handling are not material. Sales are stated net of price, early payment and distributor discounts and volume rebates (none of which are material). We report any tax assessed by a governmental authority that we collect from our customers that is both imposed on and concurrent with our revenue producing activities (such as sales and use taxes) on a net basis (meaning we do not recognize these taxes either in our revenues or in our costs and expenses). See Note 12.</w:t>
      </w:r>
    </w:p>
    <w:p>
      <w:pPr>
        <w:spacing w:after="0" w:line="158"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provide an allowance for doubtful accounts for known and estimated potential losses arising from our sales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based on a periodic review of these accounts.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1194"/>
        <w:spacing w:after="0" w:line="271" w:lineRule="auto"/>
        <w:rPr>
          <w:sz w:val="20"/>
          <w:szCs w:val="20"/>
          <w:color w:val="auto"/>
        </w:rPr>
      </w:pPr>
      <w:r>
        <w:rPr>
          <w:rFonts w:ascii="Arial" w:cs="Arial" w:eastAsia="Arial" w:hAnsi="Arial"/>
          <w:sz w:val="17"/>
          <w:szCs w:val="17"/>
          <w:b w:val="1"/>
          <w:bCs w:val="1"/>
          <w:i w:val="1"/>
          <w:iCs w:val="1"/>
          <w:color w:val="auto"/>
        </w:rPr>
        <w:t>Inventories and cost of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inventories at the lower of cost or net realizable value. We record a 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78"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advertising costs. </w:t>
      </w:r>
      <w:r>
        <w:rPr>
          <w:rFonts w:ascii="Arial" w:cs="Arial" w:eastAsia="Arial" w:hAnsi="Arial"/>
          <w:sz w:val="18"/>
          <w:szCs w:val="18"/>
          <w:color w:val="auto"/>
        </w:rPr>
        <w:t>Selling, general and administrative expenses include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distribution, research and development and administrative functions such as accounting, treasury and finance, and includes costs for salaries and benefits, travel and entertainment, promotional materials and professional fees. We expense advertising and research and development costs as incurred. Advertising costs were not significant in 2015, 2016 or 2017.</w:t>
      </w:r>
    </w:p>
    <w:p>
      <w:pPr>
        <w:spacing w:after="0" w:line="18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cost over fair value of individual net assets acquired in business combinations. Goodwill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periodic amortization. We evaluate goodwill for impairment annually or when circumstances indicate the carrying value may not be recoverable. See Note 5.</w:t>
      </w:r>
    </w:p>
    <w:p>
      <w:pPr>
        <w:spacing w:after="0" w:line="177" w:lineRule="exact"/>
        <w:rPr>
          <w:sz w:val="20"/>
          <w:szCs w:val="20"/>
          <w:color w:val="auto"/>
        </w:rPr>
      </w:pPr>
    </w:p>
    <w:p>
      <w:pPr>
        <w:jc w:val="both"/>
        <w:ind w:firstLine="1194"/>
        <w:spacing w:after="0" w:line="274" w:lineRule="auto"/>
        <w:rPr>
          <w:sz w:val="20"/>
          <w:szCs w:val="20"/>
          <w:color w:val="auto"/>
        </w:rPr>
      </w:pPr>
      <w:r>
        <w:rPr>
          <w:rFonts w:ascii="Arial" w:cs="Arial" w:eastAsia="Arial" w:hAnsi="Arial"/>
          <w:sz w:val="17"/>
          <w:szCs w:val="17"/>
          <w:b w:val="1"/>
          <w:bCs w:val="1"/>
          <w:i w:val="1"/>
          <w:iCs w:val="1"/>
          <w:color w:val="auto"/>
        </w:rPr>
        <w:t>Property and equipment; depreciation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property and equipment, including purchased computer software for internal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 purposes, as permitted. Depreciation expense was $3.5 million in 2015 and $3.7 million in each of 2016 and 2017.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78"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8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b w:val="1"/>
          <w:bCs w:val="1"/>
          <w:i w:val="1"/>
          <w:iCs w:val="1"/>
          <w:color w:val="auto"/>
        </w:rPr>
        <w:t xml:space="preserve">Employee benefit plans. </w:t>
      </w:r>
      <w:r>
        <w:rPr>
          <w:rFonts w:ascii="Arial" w:cs="Arial" w:eastAsia="Arial" w:hAnsi="Arial"/>
          <w:sz w:val="18"/>
          <w:szCs w:val="18"/>
          <w:color w:val="auto"/>
        </w:rPr>
        <w:t>We maintain various defined contribution plans in which we make contributions based on matching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formulas. Defined contribution plan expense approximated $2.4 million in 2015, $2.6 million in 2016 and $2.4 million in 2017.</w:t>
      </w:r>
    </w:p>
    <w:p>
      <w:pPr>
        <w:spacing w:after="0" w:line="170"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b w:val="1"/>
          <w:bCs w:val="1"/>
          <w:i w:val="1"/>
          <w:iCs w:val="1"/>
          <w:color w:val="auto"/>
        </w:rPr>
        <w:t xml:space="preserve">Self-insurance. </w:t>
      </w:r>
      <w:r>
        <w:rPr>
          <w:rFonts w:ascii="Arial" w:cs="Arial" w:eastAsia="Arial" w:hAnsi="Arial"/>
          <w:sz w:val="18"/>
          <w:szCs w:val="18"/>
          <w:color w:val="auto"/>
        </w:rPr>
        <w:t>We are partially self-insured for workers’ compensation and certain employee health benefits and self-insured for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issues. We purchase coverage in order to limit our exposure to any significant levels of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83" w:lineRule="exact"/>
        <w:rPr>
          <w:sz w:val="20"/>
          <w:szCs w:val="20"/>
          <w:color w:val="auto"/>
        </w:rPr>
      </w:pPr>
    </w:p>
    <w:p>
      <w:pPr>
        <w:jc w:val="both"/>
        <w:ind w:firstLine="1194"/>
        <w:spacing w:after="0" w:line="261"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our parent NL, are members of the Contran Tax Group. We have been and currently are a part of the consolidated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10.</w:t>
      </w:r>
    </w:p>
    <w:p>
      <w:pPr>
        <w:spacing w:after="0" w:line="184"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Internal Revenue Service or the applicable state tax authority had we not been a member of the Contran Tax Group. The separate company provisions and payments are computed using the tax elections made by Contran. We made net cash payments for income taxes to NL of $4.7 million in 2015, $4.6 million in 2016 and $6.7 million in 2017.</w:t>
      </w:r>
    </w:p>
    <w:p>
      <w:pPr>
        <w:spacing w:after="0" w:line="181" w:lineRule="exact"/>
        <w:rPr>
          <w:sz w:val="20"/>
          <w:szCs w:val="20"/>
          <w:color w:val="auto"/>
        </w:rPr>
      </w:pPr>
    </w:p>
    <w:p>
      <w:pPr>
        <w:jc w:val="both"/>
        <w:ind w:firstLine="1194"/>
        <w:spacing w:after="0" w:line="276" w:lineRule="auto"/>
        <w:rPr>
          <w:sz w:val="20"/>
          <w:szCs w:val="20"/>
          <w:color w:val="auto"/>
        </w:rPr>
      </w:pPr>
      <w:r>
        <w:rPr>
          <w:rFonts w:ascii="Arial" w:cs="Arial" w:eastAsia="Arial" w:hAnsi="Arial"/>
          <w:sz w:val="17"/>
          <w:szCs w:val="17"/>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7 and 10.</w:t>
      </w:r>
    </w:p>
    <w:p>
      <w:pPr>
        <w:spacing w:after="0" w:line="173" w:lineRule="exact"/>
        <w:rPr>
          <w:sz w:val="20"/>
          <w:szCs w:val="20"/>
          <w:color w:val="auto"/>
        </w:rPr>
      </w:pPr>
    </w:p>
    <w:p>
      <w:pPr>
        <w:jc w:val="both"/>
        <w:ind w:right="20" w:firstLine="1194"/>
        <w:spacing w:after="0" w:line="277" w:lineRule="auto"/>
        <w:rPr>
          <w:sz w:val="20"/>
          <w:szCs w:val="20"/>
          <w:color w:val="auto"/>
        </w:rPr>
      </w:pPr>
      <w:r>
        <w:rPr>
          <w:rFonts w:ascii="Arial" w:cs="Arial" w:eastAsia="Arial" w:hAnsi="Arial"/>
          <w:sz w:val="18"/>
          <w:szCs w:val="18"/>
          <w:color w:val="auto"/>
        </w:rPr>
        <w:t>We record a reserve for uncertain tax positions for tax positions where we believe it is more-likely-than-not our position will not prevail with the applicable tax authorities. We did not have a reserve for uncertain tax positions in each of 2015, 2016 and 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geographic segments:</w:t>
      </w:r>
    </w:p>
    <w:p>
      <w:pPr>
        <w:spacing w:after="0" w:line="12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2017, we had two reportable operating segments – Security Products and Marine Components.</w:t>
      </w:r>
    </w:p>
    <w:p>
      <w:pPr>
        <w:spacing w:after="0" w:line="18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The Security Products segment, with a facility in South Carolina and a facility shared with Marine Components in Illinois, manufactures locking mechanisms and other security products for sale to the transportation, postal, office and institutional furniture, cabinetry, tool storage, healthcare and other industries.</w:t>
      </w:r>
    </w:p>
    <w:p>
      <w:pPr>
        <w:spacing w:after="0" w:line="18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Our Marine Components segment, with a facility in Wisconsin and a facility shared with Security Products in Illinois, manufactures and distributes stainless steel exhaust systems, gauges and throttle controls primarily for recreational boats.</w:t>
      </w:r>
    </w:p>
    <w:p>
      <w:pPr>
        <w:spacing w:after="0" w:line="170"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spacing w:after="0" w:line="188"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Segment assets are comprised of all assets attributable to the reportable segments. Corporate assets are not attributable to the operating segments and consist primarily of cash, cash equivalents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3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1"/>
          </w:tcPr>
          <w:p>
            <w:pPr>
              <w:jc w:val="center"/>
              <w:ind w:left="492"/>
              <w:spacing w:after="0"/>
              <w:rPr>
                <w:sz w:val="20"/>
                <w:szCs w:val="20"/>
                <w:color w:val="auto"/>
              </w:rPr>
            </w:pPr>
            <w:r>
              <w:rPr>
                <w:rFonts w:ascii="Arial" w:cs="Arial" w:eastAsia="Arial" w:hAnsi="Arial"/>
                <w:sz w:val="14"/>
                <w:szCs w:val="14"/>
                <w:b w:val="1"/>
                <w:bCs w:val="1"/>
                <w:color w:val="auto"/>
                <w:w w:val="90"/>
              </w:rPr>
              <w:t>Years ended December 31,</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2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1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95,614</w:t>
            </w:r>
          </w:p>
        </w:tc>
        <w:tc>
          <w:tcPr>
            <w:tcW w:w="1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94,693</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1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108,994</w:t>
            </w:r>
          </w:p>
        </w:tc>
        <w:tc>
          <w:tcPr>
            <w:tcW w:w="1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108,920</w:t>
            </w:r>
          </w:p>
        </w:tc>
        <w:tc>
          <w:tcPr>
            <w:tcW w:w="2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112,035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1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c>
          <w:tcPr>
            <w:tcW w:w="1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19,981</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(6,114)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317"/>
        </w:trPr>
        <w:tc>
          <w:tcPr>
            <w:tcW w:w="4240" w:type="dxa"/>
            <w:vAlign w:val="bottom"/>
          </w:tcPr>
          <w:p>
            <w:pPr>
              <w:ind w:left="880"/>
              <w:spacing w:after="0"/>
              <w:rPr>
                <w:sz w:val="20"/>
                <w:szCs w:val="20"/>
                <w:color w:val="auto"/>
              </w:rPr>
            </w:pPr>
            <w:r>
              <w:rPr>
                <w:rFonts w:ascii="Arial" w:cs="Arial" w:eastAsia="Arial" w:hAnsi="Arial"/>
                <w:sz w:val="18"/>
                <w:szCs w:val="18"/>
                <w:color w:val="auto"/>
              </w:rPr>
              <w:t>Total operating income</w:t>
            </w:r>
          </w:p>
        </w:tc>
        <w:tc>
          <w:tcPr>
            <w:tcW w:w="16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15,235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14,021</w:t>
            </w:r>
          </w:p>
        </w:tc>
        <w:tc>
          <w:tcPr>
            <w:tcW w:w="1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15,964</w:t>
            </w:r>
          </w:p>
        </w:tc>
        <w:tc>
          <w:tcPr>
            <w:tcW w:w="2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60"/>
              <w:spacing w:after="0"/>
              <w:rPr>
                <w:sz w:val="20"/>
                <w:szCs w:val="20"/>
                <w:color w:val="auto"/>
              </w:rPr>
            </w:pPr>
            <w:r>
              <w:rPr>
                <w:rFonts w:ascii="Arial" w:cs="Arial" w:eastAsia="Arial" w:hAnsi="Arial"/>
                <w:sz w:val="18"/>
                <w:szCs w:val="18"/>
                <w:color w:val="auto"/>
              </w:rPr>
              <w:t>Security Products</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2,831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3,025</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60"/>
              <w:spacing w:after="0"/>
              <w:rPr>
                <w:sz w:val="20"/>
                <w:szCs w:val="20"/>
                <w:color w:val="auto"/>
              </w:rPr>
            </w:pPr>
            <w:r>
              <w:rPr>
                <w:rFonts w:ascii="Arial" w:cs="Arial" w:eastAsia="Arial" w:hAnsi="Arial"/>
                <w:sz w:val="18"/>
                <w:szCs w:val="18"/>
                <w:color w:val="auto"/>
              </w:rPr>
              <w:t>Marine Components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3,536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3,698</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3,805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3,017</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4,218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3,175</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Net sales point of destination:</w:t>
            </w: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103,737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98,526</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103,646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60"/>
              <w:spacing w:after="0"/>
              <w:rPr>
                <w:sz w:val="20"/>
                <w:szCs w:val="20"/>
                <w:color w:val="auto"/>
              </w:rPr>
            </w:pPr>
            <w:r>
              <w:rPr>
                <w:rFonts w:ascii="Arial" w:cs="Arial" w:eastAsia="Arial" w:hAnsi="Arial"/>
                <w:sz w:val="18"/>
                <w:szCs w:val="18"/>
                <w:color w:val="auto"/>
              </w:rPr>
              <w:t>Canada</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7,515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60"/>
              <w:spacing w:after="0"/>
              <w:rPr>
                <w:sz w:val="20"/>
                <w:szCs w:val="20"/>
                <w:color w:val="auto"/>
              </w:rPr>
            </w:pPr>
            <w:r>
              <w:rPr>
                <w:rFonts w:ascii="Arial" w:cs="Arial" w:eastAsia="Arial" w:hAnsi="Arial"/>
                <w:sz w:val="18"/>
                <w:szCs w:val="18"/>
                <w:color w:val="auto"/>
              </w:rPr>
              <w:t>Mexico</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108,994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108,920</w:t>
            </w:r>
          </w:p>
        </w:tc>
        <w:tc>
          <w:tcPr>
            <w:tcW w:w="20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424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Security Products</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72,561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73,345</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Marine Components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12,209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Corporate and eliminations</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49,470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58,426</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134,792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143,980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150,959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property and equipment for 2015, 2016 and 2017 is entirely located in the United States.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880"/>
          </w:cols>
          <w:pgMar w:left="840" w:top="603" w:right="1179" w:bottom="1440" w:gutter="0" w:footer="0" w:header="0"/>
        </w:sectPr>
      </w:pPr>
    </w:p>
    <w:bookmarkStart w:id="36" w:name="page37"/>
    <w:bookmarkEnd w:id="36"/>
    <w:p>
      <w:pPr>
        <w:ind w:left="200"/>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5"/>
              <w:spacing w:after="0" w:line="148"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8" w:lineRule="exact"/>
              <w:rPr>
                <w:sz w:val="20"/>
                <w:szCs w:val="20"/>
                <w:color w:val="auto"/>
              </w:rPr>
            </w:pPr>
            <w:r>
              <w:rPr>
                <w:rFonts w:ascii="Arial" w:cs="Arial" w:eastAsia="Arial" w:hAnsi="Arial"/>
                <w:sz w:val="14"/>
                <w:szCs w:val="14"/>
                <w:b w:val="1"/>
                <w:bCs w:val="1"/>
                <w:color w:val="auto"/>
              </w:rPr>
              <w:t>2017</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60" w:type="dxa"/>
            <w:vAlign w:val="bottom"/>
            <w:vMerge w:val="restart"/>
          </w:tcPr>
          <w:p>
            <w:pPr>
              <w:ind w:left="1380"/>
              <w:spacing w:after="0"/>
              <w:rPr>
                <w:sz w:val="20"/>
                <w:szCs w:val="20"/>
                <w:color w:val="auto"/>
              </w:rPr>
            </w:pPr>
            <w:r>
              <w:rPr>
                <w:rFonts w:ascii="Arial" w:cs="Arial" w:eastAsia="Arial" w:hAnsi="Arial"/>
                <w:sz w:val="18"/>
                <w:szCs w:val="18"/>
                <w:color w:val="auto"/>
              </w:rPr>
              <w:t>Account receivable, net:</w:t>
            </w:r>
          </w:p>
        </w:tc>
        <w:tc>
          <w:tcPr>
            <w:tcW w:w="2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96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9,329</w:t>
            </w:r>
          </w:p>
        </w:tc>
        <w:tc>
          <w:tcPr>
            <w:tcW w:w="16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9,341</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Arial" w:cs="Arial" w:eastAsia="Arial" w:hAnsi="Arial"/>
                <w:sz w:val="18"/>
                <w:szCs w:val="18"/>
                <w:color w:val="auto"/>
              </w:rPr>
              <w:t>Marine Components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1,175</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20"/>
              <w:spacing w:after="0"/>
              <w:rPr>
                <w:sz w:val="20"/>
                <w:szCs w:val="20"/>
                <w:color w:val="auto"/>
              </w:rPr>
            </w:pPr>
            <w:r>
              <w:rPr>
                <w:rFonts w:ascii="Arial" w:cs="Arial" w:eastAsia="Arial" w:hAnsi="Arial"/>
                <w:sz w:val="18"/>
                <w:szCs w:val="18"/>
                <w:color w:val="auto"/>
              </w:rPr>
              <w:t>Allowance for doubtful accounts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14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240"/>
              <w:spacing w:after="0"/>
              <w:rPr>
                <w:sz w:val="20"/>
                <w:szCs w:val="20"/>
                <w:color w:val="auto"/>
              </w:rPr>
            </w:pPr>
            <w:r>
              <w:rPr>
                <w:rFonts w:ascii="Arial" w:cs="Arial" w:eastAsia="Arial" w:hAnsi="Arial"/>
                <w:sz w:val="18"/>
                <w:szCs w:val="18"/>
                <w:color w:val="auto"/>
              </w:rPr>
              <w:t>Total accounts receivable, net</w:t>
            </w:r>
          </w:p>
        </w:tc>
        <w:tc>
          <w:tcPr>
            <w:tcW w:w="2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60" w:type="dxa"/>
            <w:vAlign w:val="bottom"/>
            <w:vMerge w:val="continue"/>
          </w:tcPr>
          <w:p>
            <w:pPr>
              <w:spacing w:after="0"/>
              <w:rPr>
                <w:sz w:val="24"/>
                <w:szCs w:val="24"/>
                <w:color w:val="auto"/>
              </w:rPr>
            </w:pPr>
          </w:p>
        </w:tc>
        <w:tc>
          <w:tcPr>
            <w:tcW w:w="2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10,347</w:t>
            </w:r>
          </w:p>
        </w:tc>
        <w:tc>
          <w:tcPr>
            <w:tcW w:w="16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tc>
        <w:tc>
          <w:tcPr>
            <w:tcW w:w="2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96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7"/>
          </w:tcPr>
          <w:p>
            <w:pPr>
              <w:jc w:val="right"/>
              <w:ind w:right="2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60" w:type="dxa"/>
            <w:vAlign w:val="bottom"/>
            <w:vMerge w:val="restart"/>
          </w:tcPr>
          <w:p>
            <w:pPr>
              <w:ind w:left="1380"/>
              <w:spacing w:after="0"/>
              <w:rPr>
                <w:sz w:val="20"/>
                <w:szCs w:val="20"/>
                <w:color w:val="auto"/>
              </w:rPr>
            </w:pPr>
            <w:r>
              <w:rPr>
                <w:rFonts w:ascii="Arial" w:cs="Arial" w:eastAsia="Arial" w:hAnsi="Arial"/>
                <w:sz w:val="18"/>
                <w:szCs w:val="18"/>
                <w:color w:val="auto"/>
              </w:rPr>
              <w:t>Raw materials:</w:t>
            </w:r>
          </w:p>
        </w:tc>
        <w:tc>
          <w:tcPr>
            <w:tcW w:w="2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572"/>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96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Arial" w:cs="Arial" w:eastAsia="Arial" w:hAnsi="Arial"/>
                <w:sz w:val="18"/>
                <w:szCs w:val="18"/>
                <w:color w:val="auto"/>
              </w:rPr>
              <w:t>Security Products</w:t>
            </w:r>
          </w:p>
        </w:tc>
        <w:tc>
          <w:tcPr>
            <w:tcW w:w="2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2,365</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2,156</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20"/>
              <w:spacing w:after="0"/>
              <w:rPr>
                <w:sz w:val="20"/>
                <w:szCs w:val="20"/>
                <w:color w:val="auto"/>
              </w:rPr>
            </w:pPr>
            <w:r>
              <w:rPr>
                <w:rFonts w:ascii="Arial" w:cs="Arial" w:eastAsia="Arial" w:hAnsi="Arial"/>
                <w:sz w:val="18"/>
                <w:szCs w:val="18"/>
                <w:color w:val="auto"/>
              </w:rPr>
              <w:t>Marine Components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2240"/>
              <w:spacing w:after="0"/>
              <w:rPr>
                <w:sz w:val="20"/>
                <w:szCs w:val="20"/>
                <w:color w:val="auto"/>
              </w:rPr>
            </w:pPr>
            <w:r>
              <w:rPr>
                <w:rFonts w:ascii="Arial" w:cs="Arial" w:eastAsia="Arial" w:hAnsi="Arial"/>
                <w:sz w:val="18"/>
                <w:szCs w:val="18"/>
                <w:color w:val="auto"/>
              </w:rPr>
              <w:t>Total raw materials</w:t>
            </w: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2,743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960" w:type="dxa"/>
            <w:vAlign w:val="bottom"/>
          </w:tcPr>
          <w:p>
            <w:pPr>
              <w:ind w:left="1380"/>
              <w:spacing w:after="0"/>
              <w:rPr>
                <w:sz w:val="20"/>
                <w:szCs w:val="20"/>
                <w:color w:val="auto"/>
              </w:rPr>
            </w:pPr>
            <w:r>
              <w:rPr>
                <w:rFonts w:ascii="Arial" w:cs="Arial" w:eastAsia="Arial" w:hAnsi="Arial"/>
                <w:sz w:val="18"/>
                <w:szCs w:val="18"/>
                <w:color w:val="auto"/>
              </w:rPr>
              <w:t>Work-in-process:</w:t>
            </w: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Arial" w:cs="Arial" w:eastAsia="Arial" w:hAnsi="Arial"/>
                <w:sz w:val="18"/>
                <w:szCs w:val="18"/>
                <w:color w:val="auto"/>
              </w:rPr>
              <w:t>Security Products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8,290</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20"/>
              <w:spacing w:after="0"/>
              <w:rPr>
                <w:sz w:val="20"/>
                <w:szCs w:val="20"/>
                <w:color w:val="auto"/>
              </w:rPr>
            </w:pPr>
            <w:r>
              <w:rPr>
                <w:rFonts w:ascii="Arial" w:cs="Arial" w:eastAsia="Arial" w:hAnsi="Arial"/>
                <w:sz w:val="18"/>
                <w:szCs w:val="18"/>
                <w:color w:val="auto"/>
              </w:rPr>
              <w:t>Marine Components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2240"/>
              <w:spacing w:after="0"/>
              <w:rPr>
                <w:sz w:val="20"/>
                <w:szCs w:val="20"/>
                <w:color w:val="auto"/>
              </w:rPr>
            </w:pPr>
            <w:r>
              <w:rPr>
                <w:rFonts w:ascii="Arial" w:cs="Arial" w:eastAsia="Arial" w:hAnsi="Arial"/>
                <w:sz w:val="18"/>
                <w:szCs w:val="18"/>
                <w:color w:val="auto"/>
              </w:rPr>
              <w:t>Total work-in-process</w:t>
            </w: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8,988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960" w:type="dxa"/>
            <w:vAlign w:val="bottom"/>
          </w:tcPr>
          <w:p>
            <w:pPr>
              <w:ind w:left="1380"/>
              <w:spacing w:after="0"/>
              <w:rPr>
                <w:sz w:val="20"/>
                <w:szCs w:val="20"/>
                <w:color w:val="auto"/>
              </w:rPr>
            </w:pPr>
            <w:r>
              <w:rPr>
                <w:rFonts w:ascii="Arial" w:cs="Arial" w:eastAsia="Arial" w:hAnsi="Arial"/>
                <w:sz w:val="18"/>
                <w:szCs w:val="18"/>
                <w:color w:val="auto"/>
              </w:rPr>
              <w:t>Finished goods:</w:t>
            </w: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Arial" w:cs="Arial" w:eastAsia="Arial" w:hAnsi="Arial"/>
                <w:sz w:val="18"/>
                <w:szCs w:val="18"/>
                <w:color w:val="auto"/>
              </w:rPr>
              <w:t>Security Products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2,079</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20"/>
              <w:spacing w:after="0"/>
              <w:rPr>
                <w:sz w:val="20"/>
                <w:szCs w:val="20"/>
                <w:color w:val="auto"/>
              </w:rPr>
            </w:pPr>
            <w:r>
              <w:rPr>
                <w:rFonts w:ascii="Arial" w:cs="Arial" w:eastAsia="Arial" w:hAnsi="Arial"/>
                <w:sz w:val="18"/>
                <w:szCs w:val="18"/>
                <w:color w:val="auto"/>
              </w:rPr>
              <w:t>Marine Components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2240"/>
              <w:spacing w:after="0"/>
              <w:rPr>
                <w:sz w:val="20"/>
                <w:szCs w:val="20"/>
                <w:color w:val="auto"/>
              </w:rPr>
            </w:pPr>
            <w:r>
              <w:rPr>
                <w:rFonts w:ascii="Arial" w:cs="Arial" w:eastAsia="Arial" w:hAnsi="Arial"/>
                <w:sz w:val="18"/>
                <w:szCs w:val="18"/>
                <w:color w:val="auto"/>
              </w:rPr>
              <w:t>Total finished goods</w:t>
            </w: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3,243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1380"/>
              <w:spacing w:after="0"/>
              <w:rPr>
                <w:sz w:val="20"/>
                <w:szCs w:val="20"/>
                <w:color w:val="auto"/>
              </w:rPr>
            </w:pPr>
            <w:r>
              <w:rPr>
                <w:rFonts w:ascii="Arial" w:cs="Arial" w:eastAsia="Arial" w:hAnsi="Arial"/>
                <w:sz w:val="18"/>
                <w:szCs w:val="18"/>
                <w:color w:val="auto"/>
              </w:rPr>
              <w:t>Total inventories</w:t>
            </w:r>
          </w:p>
        </w:tc>
        <w:tc>
          <w:tcPr>
            <w:tcW w:w="2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14,974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15,382</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960" w:type="dxa"/>
            <w:vAlign w:val="bottom"/>
          </w:tcPr>
          <w:p>
            <w:pPr>
              <w:spacing w:after="0"/>
              <w:rPr>
                <w:sz w:val="24"/>
                <w:szCs w:val="24"/>
                <w:color w:val="auto"/>
              </w:rPr>
            </w:pPr>
          </w:p>
        </w:tc>
        <w:tc>
          <w:tcPr>
            <w:tcW w:w="2880" w:type="dxa"/>
            <w:vAlign w:val="bottom"/>
            <w:gridSpan w:val="3"/>
          </w:tcPr>
          <w:p>
            <w:pPr>
              <w:jc w:val="right"/>
              <w:ind w:right="1960"/>
              <w:spacing w:after="0"/>
              <w:rPr>
                <w:sz w:val="20"/>
                <w:szCs w:val="20"/>
                <w:color w:val="auto"/>
              </w:rPr>
            </w:pPr>
            <w:r>
              <w:rPr>
                <w:rFonts w:ascii="Arial" w:cs="Arial" w:eastAsia="Arial" w:hAnsi="Arial"/>
                <w:sz w:val="18"/>
                <w:szCs w:val="18"/>
                <w:color w:val="auto"/>
              </w:rPr>
              <w:t>F-12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96"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121" w:lineRule="exact"/>
        <w:rPr>
          <w:sz w:val="20"/>
          <w:szCs w:val="20"/>
          <w:color w:val="auto"/>
        </w:rPr>
      </w:pPr>
    </w:p>
    <w:p>
      <w:pPr>
        <w:jc w:val="both"/>
        <w:ind w:right="20" w:firstLine="1194"/>
        <w:spacing w:after="0" w:line="302" w:lineRule="auto"/>
        <w:rPr>
          <w:sz w:val="20"/>
          <w:szCs w:val="20"/>
          <w:color w:val="auto"/>
        </w:rPr>
      </w:pPr>
      <w:r>
        <w:rPr>
          <w:rFonts w:ascii="Arial" w:cs="Arial" w:eastAsia="Arial" w:hAnsi="Arial"/>
          <w:sz w:val="16"/>
          <w:szCs w:val="16"/>
          <w:color w:val="auto"/>
        </w:rPr>
        <w:t xml:space="preserve">We assign goodwill based on </w:t>
      </w:r>
      <w:r>
        <w:rPr>
          <w:rFonts w:ascii="Arial" w:cs="Arial" w:eastAsia="Arial" w:hAnsi="Arial"/>
          <w:sz w:val="16"/>
          <w:szCs w:val="16"/>
          <w:i w:val="1"/>
          <w:iCs w:val="1"/>
          <w:color w:val="auto"/>
        </w:rPr>
        <w:t>reporting unit</w:t>
      </w:r>
      <w:r>
        <w:rPr>
          <w:rFonts w:ascii="Arial" w:cs="Arial" w:eastAsia="Arial" w:hAnsi="Arial"/>
          <w:sz w:val="16"/>
          <w:szCs w:val="16"/>
          <w:color w:val="auto"/>
        </w:rPr>
        <w:t xml:space="preserve"> (as that term is defined in ASC Topic 350-20-20, </w:t>
      </w:r>
      <w:r>
        <w:rPr>
          <w:rFonts w:ascii="Arial" w:cs="Arial" w:eastAsia="Arial" w:hAnsi="Arial"/>
          <w:sz w:val="16"/>
          <w:szCs w:val="16"/>
          <w:i w:val="1"/>
          <w:iCs w:val="1"/>
          <w:color w:val="auto"/>
        </w:rPr>
        <w:t>Goodwill</w:t>
      </w:r>
      <w:r>
        <w:rPr>
          <w:rFonts w:ascii="Arial" w:cs="Arial" w:eastAsia="Arial" w:hAnsi="Arial"/>
          <w:sz w:val="16"/>
          <w:szCs w:val="16"/>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spacing w:after="0" w:line="154" w:lineRule="exact"/>
        <w:rPr>
          <w:sz w:val="20"/>
          <w:szCs w:val="20"/>
          <w:color w:val="auto"/>
        </w:rPr>
      </w:pPr>
    </w:p>
    <w:p>
      <w:pPr>
        <w:jc w:val="both"/>
        <w:ind w:right="20" w:firstLine="1194"/>
        <w:spacing w:after="0" w:line="297" w:lineRule="auto"/>
        <w:rPr>
          <w:sz w:val="20"/>
          <w:szCs w:val="20"/>
          <w:color w:val="auto"/>
        </w:rPr>
      </w:pPr>
      <w:r>
        <w:rPr>
          <w:rFonts w:ascii="Arial" w:cs="Arial" w:eastAsia="Arial" w:hAnsi="Arial"/>
          <w:sz w:val="16"/>
          <w:szCs w:val="16"/>
          <w:color w:val="auto"/>
        </w:rPr>
        <w:t>In 2015, 2016 and 2017, our goodwill was tested for impairment only in the third quarter of each year in connection with our annual testing date. No impairment was indicated as part of such annual reviews of goodwill. As permitted by GAAP, during 2015 and 2017 we used the qualitative assessment of ASC 350-20-35 for our annual impairment test and determined it was not necessary to perform the quantitative goodwill impairment test. During 2016, we used the quantitative assessment of ASC 350-20-35 for our annual impairment test using discounted cash flows to determine the estimated fair value of our Security Products reporting unit. Such discounted cash flows are a Level 3 input as defined by ASC 820-10-35.</w:t>
      </w:r>
    </w:p>
    <w:p>
      <w:pPr>
        <w:spacing w:after="0" w:line="158" w:lineRule="exact"/>
        <w:rPr>
          <w:sz w:val="20"/>
          <w:szCs w:val="20"/>
          <w:color w:val="auto"/>
        </w:rPr>
      </w:pPr>
    </w:p>
    <w:p>
      <w:pPr>
        <w:jc w:val="both"/>
        <w:ind w:right="20" w:firstLine="1194"/>
        <w:spacing w:after="0" w:line="264" w:lineRule="auto"/>
        <w:rPr>
          <w:sz w:val="20"/>
          <w:szCs w:val="20"/>
          <w:color w:val="auto"/>
        </w:rPr>
      </w:pPr>
      <w:r>
        <w:rPr>
          <w:rFonts w:ascii="Arial" w:cs="Arial" w:eastAsia="Arial" w:hAnsi="Arial"/>
          <w:sz w:val="18"/>
          <w:szCs w:val="18"/>
          <w:color w:val="auto"/>
        </w:rPr>
        <w:t>Our gross goodwill at December 31, 2017 is $33.6 million. Prior to 2015, we recorded a $9.9 million goodwill impairment in our Marine Components segment resulting in a net consolidated carrying amount of $23.7 million. There have been no changes in the carrying amount of our goodwill during the past three years.</w:t>
      </w:r>
    </w:p>
    <w:p>
      <w:pPr>
        <w:spacing w:after="0" w:line="3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payable and accrued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83"/>
              </w:rPr>
              <w:t>2017</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80" w:type="dxa"/>
            <w:vAlign w:val="bottom"/>
            <w:vMerge w:val="restart"/>
          </w:tcPr>
          <w:p>
            <w:pPr>
              <w:ind w:left="1380"/>
              <w:spacing w:after="0"/>
              <w:rPr>
                <w:sz w:val="20"/>
                <w:szCs w:val="20"/>
                <w:color w:val="auto"/>
              </w:rPr>
            </w:pPr>
            <w:r>
              <w:rPr>
                <w:rFonts w:ascii="Arial" w:cs="Arial" w:eastAsia="Arial" w:hAnsi="Arial"/>
                <w:sz w:val="18"/>
                <w:szCs w:val="18"/>
                <w:color w:val="auto"/>
              </w:rPr>
              <w:t>Accounts payable:</w:t>
            </w: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0"/>
              <w:spacing w:after="0"/>
              <w:rPr>
                <w:sz w:val="20"/>
                <w:szCs w:val="20"/>
                <w:color w:val="auto"/>
              </w:rPr>
            </w:pPr>
            <w:r>
              <w:rPr>
                <w:rFonts w:ascii="Arial" w:cs="Arial" w:eastAsia="Arial" w:hAnsi="Arial"/>
                <w:sz w:val="18"/>
                <w:szCs w:val="18"/>
                <w:color w:val="auto"/>
              </w:rPr>
              <w:t>Security Products</w:t>
            </w:r>
          </w:p>
        </w:tc>
        <w:tc>
          <w:tcPr>
            <w:tcW w:w="3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2,271</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0"/>
              <w:spacing w:after="0"/>
              <w:rPr>
                <w:sz w:val="20"/>
                <w:szCs w:val="20"/>
                <w:color w:val="auto"/>
              </w:rPr>
            </w:pPr>
            <w:r>
              <w:rPr>
                <w:rFonts w:ascii="Arial" w:cs="Arial" w:eastAsia="Arial" w:hAnsi="Arial"/>
                <w:sz w:val="18"/>
                <w:szCs w:val="18"/>
                <w:color w:val="auto"/>
              </w:rPr>
              <w:t>Marine Components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380"/>
              <w:spacing w:after="0"/>
              <w:rPr>
                <w:sz w:val="20"/>
                <w:szCs w:val="20"/>
                <w:color w:val="auto"/>
              </w:rPr>
            </w:pPr>
            <w:r>
              <w:rPr>
                <w:rFonts w:ascii="Arial" w:cs="Arial" w:eastAsia="Arial" w:hAnsi="Arial"/>
                <w:sz w:val="18"/>
                <w:szCs w:val="18"/>
                <w:color w:val="auto"/>
              </w:rPr>
              <w:t>Accrued liabilities: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0"/>
              <w:spacing w:after="0"/>
              <w:rPr>
                <w:sz w:val="20"/>
                <w:szCs w:val="20"/>
                <w:color w:val="auto"/>
              </w:rPr>
            </w:pPr>
            <w:r>
              <w:rPr>
                <w:rFonts w:ascii="Arial" w:cs="Arial" w:eastAsia="Arial" w:hAnsi="Arial"/>
                <w:sz w:val="18"/>
                <w:szCs w:val="18"/>
                <w:color w:val="auto"/>
              </w:rPr>
              <w:t>Employee benefits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7,413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Arial" w:cs="Arial" w:eastAsia="Arial" w:hAnsi="Arial"/>
                <w:sz w:val="18"/>
                <w:szCs w:val="18"/>
                <w:color w:val="auto"/>
              </w:rPr>
              <w:t>Customer tooling</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Arial" w:cs="Arial" w:eastAsia="Arial" w:hAnsi="Arial"/>
                <w:sz w:val="18"/>
                <w:szCs w:val="18"/>
                <w:color w:val="auto"/>
              </w:rPr>
              <w:t>Taxes other than on income</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Arial" w:cs="Arial" w:eastAsia="Arial" w:hAnsi="Arial"/>
                <w:sz w:val="18"/>
                <w:szCs w:val="18"/>
                <w:color w:val="auto"/>
              </w:rPr>
              <w:t>Insurance</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Arial" w:cs="Arial" w:eastAsia="Arial" w:hAnsi="Arial"/>
                <w:sz w:val="18"/>
                <w:szCs w:val="18"/>
                <w:color w:val="auto"/>
              </w:rPr>
              <w:t>Professional</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Arial" w:cs="Arial" w:eastAsia="Arial" w:hAnsi="Arial"/>
                <w:sz w:val="18"/>
                <w:szCs w:val="18"/>
                <w:color w:val="auto"/>
              </w:rPr>
              <w:t>Sales rebates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2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680" w:type="dxa"/>
            <w:vAlign w:val="bottom"/>
          </w:tcPr>
          <w:p>
            <w:pPr>
              <w:ind w:left="1380"/>
              <w:spacing w:after="0"/>
              <w:rPr>
                <w:sz w:val="20"/>
                <w:szCs w:val="20"/>
                <w:color w:val="auto"/>
              </w:rPr>
            </w:pPr>
            <w:r>
              <w:rPr>
                <w:rFonts w:ascii="Arial" w:cs="Arial" w:eastAsia="Arial" w:hAnsi="Arial"/>
                <w:sz w:val="18"/>
                <w:szCs w:val="18"/>
                <w:color w:val="auto"/>
              </w:rPr>
              <w:t>Total</w:t>
            </w:r>
          </w:p>
        </w:tc>
        <w:tc>
          <w:tcPr>
            <w:tcW w:w="3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11,882</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10,792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220" w:type="dxa"/>
            <w:vAlign w:val="bottom"/>
            <w:gridSpan w:val="2"/>
          </w:tcPr>
          <w:p>
            <w:pPr>
              <w:jc w:val="right"/>
              <w:ind w:right="2020"/>
              <w:spacing w:after="0"/>
              <w:rPr>
                <w:sz w:val="20"/>
                <w:szCs w:val="20"/>
                <w:color w:val="auto"/>
              </w:rPr>
            </w:pPr>
            <w:r>
              <w:rPr>
                <w:rFonts w:ascii="Arial" w:cs="Arial" w:eastAsia="Arial" w:hAnsi="Arial"/>
                <w:sz w:val="18"/>
                <w:szCs w:val="18"/>
                <w:color w:val="auto"/>
              </w:rPr>
              <w:t>F-13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jc w:val="both"/>
        <w:ind w:firstLine="1194"/>
        <w:spacing w:after="0" w:line="308" w:lineRule="auto"/>
        <w:rPr>
          <w:sz w:val="20"/>
          <w:szCs w:val="20"/>
          <w:color w:val="auto"/>
        </w:rPr>
      </w:pPr>
      <w:r>
        <w:rPr>
          <w:rFonts w:ascii="Arial" w:cs="Arial" w:eastAsia="Arial" w:hAnsi="Arial"/>
          <w:sz w:val="17"/>
          <w:szCs w:val="17"/>
          <w:color w:val="auto"/>
        </w:rPr>
        <w:t>The provision for income taxes and the difference between such provision for income taxes and the amount that would be expected using the U.S. federal statutory income tax rate of 35% are presented below. All of our pre-tax income relates to operations in the United States.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left="493"/>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5660" w:type="dxa"/>
            <w:vAlign w:val="bottom"/>
          </w:tcPr>
          <w:p>
            <w:pPr>
              <w:ind w:left="440"/>
              <w:spacing w:after="0"/>
              <w:rPr>
                <w:sz w:val="20"/>
                <w:szCs w:val="20"/>
                <w:color w:val="auto"/>
              </w:rPr>
            </w:pPr>
            <w:r>
              <w:rPr>
                <w:rFonts w:ascii="Arial" w:cs="Arial" w:eastAsia="Arial" w:hAnsi="Arial"/>
                <w:sz w:val="18"/>
                <w:szCs w:val="18"/>
                <w:color w:val="auto"/>
              </w:rPr>
              <w:t>Currently payable</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4,778</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4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4,903</w:t>
            </w:r>
          </w:p>
        </w:tc>
        <w:tc>
          <w:tcPr>
            <w:tcW w:w="140" w:type="dxa"/>
            <w:vAlign w:val="bottom"/>
          </w:tcPr>
          <w:p>
            <w:pPr>
              <w:spacing w:after="0"/>
              <w:rPr>
                <w:sz w:val="24"/>
                <w:szCs w:val="2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w w:val="94"/>
              </w:rPr>
              <w:t>Expected tax expense, at the U.S. federal statutory income tax rate of 35%</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60" w:type="dxa"/>
            <w:vAlign w:val="bottom"/>
            <w:vMerge w:val="continue"/>
          </w:tcPr>
          <w:p>
            <w:pPr>
              <w:spacing w:after="0"/>
              <w:rPr>
                <w:sz w:val="24"/>
                <w:szCs w:val="24"/>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4,908</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Changes in federal tax rate,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State income taxes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4,903</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color w:val="auto"/>
        </w:rPr>
        <w:t>On December 22, 2017, H.R.1, formally known as the “Tax Cuts and Jobs Act” (“2017 Tax Act”) was enacted into law. This new tax legislation, among other changes, reduces the federal corporate income tax rate from 35% to 21% effective January 1, 2018. Following the enactment of the 2017 Tax Act, the Securities and Exchange Commission issued Staff Accounting Bulletin (SAB) 118 to provide guidance on the accounting and reporting impacts of the 2017 Tax Act. SAB 118 states that companies should account for changes related to the 2017 Tax Act in the period of enactment if all information is available and the accounting can be completed. In situations where companies do not have enough information to complete the accounting in the period of enactment, a company must either 1) record an estimated provisional amount if the impact of the change can be reasonably estimated; or 2) continue to apply the accounting guidance that was in effect immediately prior to the 2017 Tax Act if the impact of the change cannot be reasonably estimated. If estimated provisional amounts are recorded, SAB 118 provides a measurement period of no longer than one year during which companies should adjust those amounts as additional information becomes available.</w:t>
      </w:r>
    </w:p>
    <w:p>
      <w:pPr>
        <w:spacing w:after="0" w:line="74" w:lineRule="exact"/>
        <w:rPr>
          <w:sz w:val="20"/>
          <w:szCs w:val="20"/>
          <w:color w:val="auto"/>
        </w:rPr>
      </w:pPr>
    </w:p>
    <w:p>
      <w:pPr>
        <w:jc w:val="both"/>
        <w:ind w:firstLine="1194"/>
        <w:spacing w:after="0" w:line="269" w:lineRule="auto"/>
        <w:rPr>
          <w:sz w:val="20"/>
          <w:szCs w:val="20"/>
          <w:color w:val="auto"/>
        </w:rPr>
      </w:pPr>
      <w:r>
        <w:rPr>
          <w:rFonts w:ascii="Arial" w:cs="Arial" w:eastAsia="Arial" w:hAnsi="Arial"/>
          <w:sz w:val="17"/>
          <w:szCs w:val="17"/>
          <w:color w:val="auto"/>
        </w:rPr>
        <w:t>Under GAAP, we are required to revalue our net deferred tax liability associated with our net taxable temporary differences in the period in which the new tax legislation is enacted based on deferred tax balances as of the enactment date, to reflect the effect of the reduction in the corporate income tax rate. Our temporary differences as of December 31, 2017 are not materially different from our temporary differences as of the enactment date. Accordingly, revaluation of our temporary differences is based on our net deferred tax liability as of December 31, 2017. Such revaluation resulted in a non-cash deferred income tax benefit of approximately $1.9 million, recognized in continuing operations, reducing our net deferred tax liability. The new tax legislation also eliminated the domestic production activities deduction beginning in 2018 and allows for the expensing of certain capital expenditures for assets placed in service between September 28, 2017 and December 31, 2022. The amounts recorded as of December 31, 2017 as a result of the 2017 Tax Act represent estimates based on information currently available and, in accordance with the guidance in SAB 118, these amounts are provisional and subject to adjustment as we obtain additional information and complete our analysis in 2018. If the underlying guidance or tax laws change and such change impacts the income tax effects of the new legislation recognized at December 31, 2017, or we determine we have additional tax liabilities under other provisions of the 2017 Tax Act, we will recognize an adjustment in the reporting period within the measurement period, which period ends December 22, 2018, in which such adjustment is determined.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ind w:left="1200"/>
        <w:spacing w:after="0"/>
        <w:rPr>
          <w:sz w:val="20"/>
          <w:szCs w:val="20"/>
          <w:color w:val="auto"/>
        </w:rPr>
      </w:pPr>
      <w:r>
        <w:rPr>
          <w:rFonts w:ascii="Arial" w:cs="Arial" w:eastAsia="Arial" w:hAnsi="Arial"/>
          <w:sz w:val="18"/>
          <w:szCs w:val="18"/>
          <w:color w:val="auto"/>
        </w:rPr>
        <w:t>The components of the net deferred tax liability are summarized below.</w:t>
      </w:r>
    </w:p>
    <w:p>
      <w:pPr>
        <w:spacing w:after="0" w:line="244"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vMerge w:val="restart"/>
          </w:tcPr>
          <w:p>
            <w:pPr>
              <w:spacing w:after="0"/>
              <w:rPr>
                <w:sz w:val="20"/>
                <w:szCs w:val="20"/>
                <w:color w:val="auto"/>
              </w:rPr>
            </w:pPr>
            <w:r>
              <w:rPr>
                <w:rFonts w:ascii="Arial" w:cs="Arial" w:eastAsia="Arial" w:hAnsi="Arial"/>
                <w:sz w:val="18"/>
                <w:szCs w:val="18"/>
                <w:color w:val="auto"/>
              </w:rPr>
              <w:t>Tax effect of temporary differences related to:</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18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5180" w:type="dxa"/>
            <w:vAlign w:val="bottom"/>
          </w:tcPr>
          <w:p>
            <w:pPr>
              <w:ind w:left="420"/>
              <w:spacing w:after="0"/>
              <w:rPr>
                <w:sz w:val="20"/>
                <w:szCs w:val="20"/>
                <w:color w:val="auto"/>
              </w:rPr>
            </w:pPr>
            <w:r>
              <w:rPr>
                <w:rFonts w:ascii="Arial" w:cs="Arial" w:eastAsia="Arial" w:hAnsi="Arial"/>
                <w:sz w:val="18"/>
                <w:szCs w:val="18"/>
                <w:color w:val="auto"/>
              </w:rPr>
              <w:t>Accrued liabilities and other deductible differences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180" w:type="dxa"/>
            <w:vAlign w:val="bottom"/>
          </w:tcPr>
          <w:p>
            <w:pPr>
              <w:ind w:left="420"/>
              <w:spacing w:after="0"/>
              <w:rPr>
                <w:sz w:val="20"/>
                <w:szCs w:val="20"/>
                <w:color w:val="auto"/>
              </w:rPr>
            </w:pPr>
            <w:r>
              <w:rPr>
                <w:rFonts w:ascii="Arial" w:cs="Arial" w:eastAsia="Arial" w:hAnsi="Arial"/>
                <w:sz w:val="18"/>
                <w:szCs w:val="18"/>
                <w:color w:val="auto"/>
              </w:rPr>
              <w:t>Accrued employee benefits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51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30"/>
        </w:trPr>
        <w:tc>
          <w:tcPr>
            <w:tcW w:w="5180" w:type="dxa"/>
            <w:vAlign w:val="bottom"/>
          </w:tcPr>
          <w:p>
            <w:pPr>
              <w:ind w:left="420"/>
              <w:spacing w:after="0"/>
              <w:rPr>
                <w:sz w:val="20"/>
                <w:szCs w:val="20"/>
                <w:color w:val="auto"/>
              </w:rPr>
            </w:pPr>
            <w:r>
              <w:rPr>
                <w:rFonts w:ascii="Arial" w:cs="Arial" w:eastAsia="Arial" w:hAnsi="Arial"/>
                <w:sz w:val="18"/>
                <w:szCs w:val="18"/>
                <w:color w:val="auto"/>
              </w:rPr>
              <w:t>Other taxable differences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Total deferred tax liability</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80" w:type="dxa"/>
            <w:vAlign w:val="bottom"/>
            <w:vMerge w:val="continue"/>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1194"/>
        <w:spacing w:after="0" w:line="277" w:lineRule="auto"/>
        <w:rPr>
          <w:sz w:val="20"/>
          <w:szCs w:val="20"/>
          <w:color w:val="auto"/>
        </w:rPr>
      </w:pPr>
      <w:r>
        <w:rPr>
          <w:rFonts w:ascii="Arial" w:cs="Arial" w:eastAsia="Arial" w:hAnsi="Arial"/>
          <w:sz w:val="18"/>
          <w:szCs w:val="18"/>
          <w:color w:val="auto"/>
        </w:rPr>
        <w:t>We and Contran file income tax returns in U.S. federal and various state and local jurisdictions. Our income tax returns prior to 2014 are generally considered closed to examination by applicable tax authorities.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48"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6350</wp:posOffset>
            </wp:positionV>
            <wp:extent cx="15265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17"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wp:posOffset>
            </wp:positionV>
            <wp:extent cx="6515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3"/>
          <w:szCs w:val="13"/>
          <w:b w:val="1"/>
          <w:bCs w:val="1"/>
          <w:color w:val="auto"/>
        </w:rPr>
        <w:t>Issued and</w:t>
      </w:r>
    </w:p>
    <w:p>
      <w:pPr>
        <w:ind w:left="7680"/>
        <w:spacing w:after="0"/>
        <w:rPr>
          <w:sz w:val="20"/>
          <w:szCs w:val="20"/>
          <w:color w:val="auto"/>
        </w:rPr>
      </w:pPr>
      <w:r>
        <w:rPr>
          <w:rFonts w:ascii="Arial" w:cs="Arial" w:eastAsia="Arial" w:hAnsi="Arial"/>
          <w:sz w:val="12"/>
          <w:szCs w:val="12"/>
          <w:b w:val="1"/>
          <w:bCs w:val="1"/>
          <w:color w:val="auto"/>
        </w:rPr>
        <w:t>outstanding</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-3175</wp:posOffset>
            </wp:positionV>
            <wp:extent cx="7372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Issued and</w:t>
      </w:r>
    </w:p>
    <w:p>
      <w:pPr>
        <w:spacing w:after="0"/>
        <w:rPr>
          <w:sz w:val="20"/>
          <w:szCs w:val="20"/>
          <w:color w:val="auto"/>
        </w:rPr>
      </w:pPr>
      <w:r>
        <w:rPr>
          <w:rFonts w:ascii="Arial" w:cs="Arial" w:eastAsia="Arial" w:hAnsi="Arial"/>
          <w:sz w:val="12"/>
          <w:szCs w:val="12"/>
          <w:b w:val="1"/>
          <w:bCs w:val="1"/>
          <w:color w:val="auto"/>
        </w:rPr>
        <w:t>outstanding</w:t>
      </w:r>
    </w:p>
    <w:p>
      <w:pPr>
        <w:spacing w:after="0" w:line="17" w:lineRule="exact"/>
        <w:rPr>
          <w:sz w:val="20"/>
          <w:szCs w:val="20"/>
          <w:color w:val="auto"/>
        </w:rPr>
      </w:pPr>
    </w:p>
    <w:p>
      <w:pPr>
        <w:sectPr>
          <w:pgSz w:w="11900" w:h="16838" w:orient="portrait"/>
          <w:cols w:equalWidth="0" w:num="2">
            <w:col w:w="8420" w:space="580"/>
            <w:col w:w="2420"/>
          </w:cols>
          <w:pgMar w:left="240" w:top="584" w:right="239" w:bottom="1440" w:gutter="0" w:footer="0" w:header="0"/>
          <w:type w:val="continuous"/>
        </w:sectPr>
      </w:pPr>
    </w:p>
    <w:tbl>
      <w:tblPr>
        <w:tblLayout w:type="fixed"/>
        <w:tblInd w:w="1380" w:type="dxa"/>
        <w:tblCellMar>
          <w:top w:w="0" w:type="dxa"/>
          <w:left w:w="0" w:type="dxa"/>
          <w:bottom w:w="0" w:type="dxa"/>
          <w:right w:w="0" w:type="dxa"/>
        </w:tblCellMar>
      </w:tblPr>
      <w:tr>
        <w:trPr>
          <w:trHeight w:val="195"/>
        </w:trPr>
        <w:tc>
          <w:tcPr>
            <w:tcW w:w="6160" w:type="dxa"/>
            <w:vAlign w:val="bottom"/>
          </w:tcPr>
          <w:p>
            <w:pPr>
              <w:spacing w:after="0" w:line="195" w:lineRule="exact"/>
              <w:rPr>
                <w:sz w:val="20"/>
                <w:szCs w:val="20"/>
                <w:color w:val="auto"/>
              </w:rPr>
            </w:pPr>
            <w:r>
              <w:rPr>
                <w:rFonts w:ascii="Arial" w:cs="Arial" w:eastAsia="Arial" w:hAnsi="Arial"/>
                <w:sz w:val="18"/>
                <w:szCs w:val="18"/>
                <w:color w:val="auto"/>
              </w:rPr>
              <w:t>Balance at December 31, 2014</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2,404,107</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10,000,000</w:t>
            </w:r>
          </w:p>
        </w:tc>
      </w:tr>
      <w:tr>
        <w:trPr>
          <w:trHeight w:val="230"/>
        </w:trPr>
        <w:tc>
          <w:tcPr>
            <w:tcW w:w="6160" w:type="dxa"/>
            <w:vAlign w:val="bottom"/>
          </w:tcPr>
          <w:p>
            <w:pPr>
              <w:ind w:left="440"/>
              <w:spacing w:after="0"/>
              <w:rPr>
                <w:sz w:val="20"/>
                <w:szCs w:val="20"/>
                <w:color w:val="auto"/>
              </w:rPr>
            </w:pPr>
            <w:r>
              <w:rPr>
                <w:rFonts w:ascii="Arial" w:cs="Arial" w:eastAsia="Arial" w:hAnsi="Arial"/>
                <w:sz w:val="18"/>
                <w:szCs w:val="18"/>
                <w:color w:val="auto"/>
              </w:rPr>
              <w:t>Issued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6160" w:type="dxa"/>
            <w:vAlign w:val="bottom"/>
          </w:tcPr>
          <w:p>
            <w:pPr>
              <w:spacing w:after="0" w:line="195" w:lineRule="exact"/>
              <w:rPr>
                <w:sz w:val="20"/>
                <w:szCs w:val="20"/>
                <w:color w:val="auto"/>
              </w:rPr>
            </w:pPr>
            <w:r>
              <w:rPr>
                <w:rFonts w:ascii="Arial" w:cs="Arial" w:eastAsia="Arial" w:hAnsi="Arial"/>
                <w:sz w:val="18"/>
                <w:szCs w:val="18"/>
                <w:color w:val="auto"/>
              </w:rPr>
              <w:t>Balance at December 31, 2015</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2,411,107</w:t>
            </w:r>
          </w:p>
        </w:tc>
        <w:tc>
          <w:tcPr>
            <w:tcW w:w="20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10,000,000</w:t>
            </w:r>
          </w:p>
        </w:tc>
      </w:tr>
      <w:tr>
        <w:trPr>
          <w:trHeight w:val="230"/>
        </w:trPr>
        <w:tc>
          <w:tcPr>
            <w:tcW w:w="6160" w:type="dxa"/>
            <w:vAlign w:val="bottom"/>
          </w:tcPr>
          <w:p>
            <w:pPr>
              <w:ind w:left="440"/>
              <w:spacing w:after="0"/>
              <w:rPr>
                <w:sz w:val="20"/>
                <w:szCs w:val="20"/>
                <w:color w:val="auto"/>
              </w:rPr>
            </w:pPr>
            <w:r>
              <w:rPr>
                <w:rFonts w:ascii="Arial" w:cs="Arial" w:eastAsia="Arial" w:hAnsi="Arial"/>
                <w:sz w:val="18"/>
                <w:szCs w:val="18"/>
                <w:color w:val="auto"/>
              </w:rPr>
              <w:t>Issued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6160" w:type="dxa"/>
            <w:vAlign w:val="bottom"/>
          </w:tcPr>
          <w:p>
            <w:pPr>
              <w:spacing w:after="0" w:line="195" w:lineRule="exact"/>
              <w:rPr>
                <w:sz w:val="20"/>
                <w:szCs w:val="20"/>
                <w:color w:val="auto"/>
              </w:rPr>
            </w:pPr>
            <w:r>
              <w:rPr>
                <w:rFonts w:ascii="Arial" w:cs="Arial" w:eastAsia="Arial" w:hAnsi="Arial"/>
                <w:sz w:val="18"/>
                <w:szCs w:val="18"/>
                <w:color w:val="auto"/>
              </w:rPr>
              <w:t>Balance at December 31, 2016</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2,419,107</w:t>
            </w:r>
          </w:p>
        </w:tc>
        <w:tc>
          <w:tcPr>
            <w:tcW w:w="20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10,000,000</w:t>
            </w:r>
          </w:p>
        </w:tc>
      </w:tr>
      <w:tr>
        <w:trPr>
          <w:trHeight w:val="230"/>
        </w:trPr>
        <w:tc>
          <w:tcPr>
            <w:tcW w:w="6160" w:type="dxa"/>
            <w:vAlign w:val="bottom"/>
          </w:tcPr>
          <w:p>
            <w:pPr>
              <w:ind w:left="440"/>
              <w:spacing w:after="0"/>
              <w:rPr>
                <w:sz w:val="20"/>
                <w:szCs w:val="20"/>
                <w:color w:val="auto"/>
              </w:rPr>
            </w:pPr>
            <w:r>
              <w:rPr>
                <w:rFonts w:ascii="Arial" w:cs="Arial" w:eastAsia="Arial" w:hAnsi="Arial"/>
                <w:sz w:val="18"/>
                <w:szCs w:val="18"/>
                <w:color w:val="auto"/>
              </w:rPr>
              <w:t>Issued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2,426,107</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i w:val="1"/>
          <w:iCs w:val="1"/>
          <w:color w:val="auto"/>
        </w:rPr>
        <w:t xml:space="preserve">Class A and Class B common stock. </w:t>
      </w:r>
      <w:r>
        <w:rPr>
          <w:rFonts w:ascii="Arial" w:cs="Arial" w:eastAsia="Arial" w:hAnsi="Arial"/>
          <w:sz w:val="17"/>
          <w:szCs w:val="17"/>
          <w:color w:val="auto"/>
        </w:rPr>
        <w:t>The shares of Class A common stock and Class B common stock are identical in all respects, except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voting rights and certain conversion rights in respect of the shares of the Class B common stock. Holders of Class A common stock are entitled to one vote per share. NL, which holds all of the outstanding shares of Class B common stock, is entitled to one vote per share in all matters except for election of directors, for which NL is entitled to ten votes per share. Holders of all classes of common stock entitled to vote will vote together as a single class on all matters presented to the stockholders for their vote or approval, except as otherwise required by applicable law. Each share of Class A common stock and Class B common stock have an equal and ratable right to receive dividends to be paid from our assets when and if declared by the board of directors. In the event of the dissolution, liquidation or winding up of our operations, the holders of Class A common stock and Class B common stock will be entitled to share equally and ratably in the assets available for distribution after payments are made to our creditors and to the holders of any of our preferred stock that may be outstanding at the time. Shares of the Class A common stock have no conversion rights. Under certain conditions, shares of Class B common stock will convert, on a share-for-share basis, into shares of Class A common stock.</w:t>
      </w:r>
    </w:p>
    <w:p>
      <w:pPr>
        <w:spacing w:after="0" w:line="178"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i w:val="1"/>
          <w:iCs w:val="1"/>
          <w:color w:val="auto"/>
        </w:rPr>
        <w:t xml:space="preserve">Share repurchases and cancellations. </w:t>
      </w:r>
      <w:r>
        <w:rPr>
          <w:rFonts w:ascii="Arial" w:cs="Arial" w:eastAsia="Arial" w:hAnsi="Arial"/>
          <w:sz w:val="18"/>
          <w:szCs w:val="18"/>
          <w:color w:val="auto"/>
        </w:rPr>
        <w:t>Prior to 2015, our board of directors authorized various repurchases of shares of our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be added to our treasury and cancelled. We made no treasury purchases during 2015, 2016 or 2017 and at December 31, 2017, approximately 678,000 shares were available for purchase under these authorizations.</w:t>
      </w:r>
    </w:p>
    <w:p>
      <w:pPr>
        <w:spacing w:after="0" w:line="170"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i w:val="1"/>
          <w:iCs w:val="1"/>
          <w:color w:val="auto"/>
        </w:rPr>
        <w:t xml:space="preserve">Incentive compensation plan. </w:t>
      </w:r>
      <w:r>
        <w:rPr>
          <w:rFonts w:ascii="Arial" w:cs="Arial" w:eastAsia="Arial" w:hAnsi="Arial"/>
          <w:sz w:val="17"/>
          <w:szCs w:val="17"/>
          <w:color w:val="auto"/>
        </w:rPr>
        <w:t>We have a share based incentive compensation plan pursuant to which an aggregate of up to 200,000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can be awarded to non-employee members of our board of directors. All of the Class A common shares we issued in 2015, 2016 and 2017 were issued under this plan. At December 31, 2017, 166,000 shares were available for award under this plan.</w:t>
      </w:r>
    </w:p>
    <w:p>
      <w:pPr>
        <w:spacing w:after="0" w:line="166"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paid regular quarterly dividends of $.05 per share during 2015, 2016 and 2017. Declaration and payment of future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amount thereof, if any, is discretionary and dependent upon our results of operations, financial condition, cash requirements for our businesses, contractual requirements and restrictions and other factors deemed relevant by our board of directors.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121"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color w:val="auto"/>
        </w:rPr>
        <w:t>We may be deemed to be controlled by Ms. Lisa Simmons and Ms. Serena Connelly.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82"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in August 2016, we entered into an unsecured revolving demand promissory note with Valhi whereby we have agreed to loan Valhi up to $40 million. Our loan to Valhi, as amended, bears interest at prime plus 1.00%, payable quarterly, with all principal due on demand, but in any event no earlier than December 31, 2019. Loans made to Valhi at any time under the agreement is at our discretion. At December 31, 2016 and 2017, the outstanding principal balance receivable from Valhi under the promissory note was $27.4 million and $38.2 million, respectively. Interest income (including unused commitment fees) on our loan to Valhi was $0.2 million in 2016 and $1.8 million in 2017.</w:t>
      </w:r>
    </w:p>
    <w:p>
      <w:pPr>
        <w:spacing w:after="0" w:line="182"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Under the terms of an Intercorporate Service Agreement (“ISA”) with Contran, employees of Contran perform certain management, tax planning, financial, legal and administrative services for us on a fee basis. Such fees are based upon estimates of time devoted to our affairs by individual Contran employees and the compensation of such persons. Because of the large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Fees pursuant to these agreements aggregated $3.0 million in 2015, $3.1 million in 2016 and $2.8 million in 2017.</w:t>
      </w:r>
    </w:p>
    <w:p>
      <w:pPr>
        <w:spacing w:after="0" w:line="193"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Contran and certain of its subsidiaries and affiliates, including us, purchase certain of their insurance policies as a group, with the costs of the jointly-owned policies being apportioned among the participating companies. Tall Pines Insurance Company (“Tall Pines”) and EWI RE, Inc. (“EWI”), each subsidiaries of Valhi, provide for or broker certain insurance policies for Contran and certain of its subsidiaries and affiliates, including us. Tall Pines purchases reinsurance from third-party insurance carriers with an A.M. Best Company rating of generally at least A-(Excellent) for substantially all of the risks it underwrites. Consistent with insurance industry practices, Tall Pines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7"/>
          <w:szCs w:val="17"/>
          <w:color w:val="auto"/>
        </w:rPr>
        <w:t>and EWI receive commissions from the insurance and reinsurance underwriters and/or assess fees for the policies that they provide or broker. The aggregate premiums we paid to Tall Pines and EWI were approximately $1.6 million in 2015, $1.7 million in 2016 and $2.2 million in 2017. These amounts principally represent payments for insurance premiums, which include premiums or fees paid to Tall Pines or fees paid to EWI. These amounts also include payments to insurers or reinsurers through EWI for the reimbursement of claims within our applicable deductible or retention ranges that such insurers or reinsurers paid to third parties on our behalf, as well as amounts for claims and risk management services and various other third-party fees and expenses incurred by the program. We expect that these relationships with Tall Pines and EWI will continue in 2018.</w:t>
      </w:r>
    </w:p>
    <w:p>
      <w:pPr>
        <w:spacing w:after="0" w:line="178" w:lineRule="exact"/>
        <w:rPr>
          <w:sz w:val="20"/>
          <w:szCs w:val="20"/>
          <w:color w:val="auto"/>
        </w:rPr>
      </w:pPr>
    </w:p>
    <w:p>
      <w:pPr>
        <w:jc w:val="both"/>
        <w:ind w:firstLine="1194"/>
        <w:spacing w:after="0" w:line="253" w:lineRule="auto"/>
        <w:rPr>
          <w:sz w:val="20"/>
          <w:szCs w:val="20"/>
          <w:color w:val="auto"/>
        </w:rPr>
      </w:pPr>
      <w:r>
        <w:rPr>
          <w:rFonts w:ascii="Arial" w:cs="Arial" w:eastAsia="Arial" w:hAnsi="Arial"/>
          <w:sz w:val="18"/>
          <w:szCs w:val="18"/>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w:t>
      </w:r>
      <w:r>
        <w:rPr>
          <w:rFonts w:ascii="Arial" w:cs="Arial" w:eastAsia="Arial" w:hAnsi="Arial"/>
          <w:sz w:val="21"/>
          <w:szCs w:val="21"/>
          <w:color w:val="FF0000"/>
        </w:rPr>
        <w:t>.</w:t>
      </w:r>
      <w:r>
        <w:rPr>
          <w:rFonts w:ascii="Arial" w:cs="Arial" w:eastAsia="Arial" w:hAnsi="Arial"/>
          <w:sz w:val="18"/>
          <w:szCs w:val="18"/>
          <w:color w:val="auto"/>
        </w:rPr>
        <w:t xml:space="preserve"> We believe the benefits in the form of reduced premiums and broader coverage associated with the group coverage for such policies justifies the risk associated with the potential for any uninsured loss.</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121" w:lineRule="exact"/>
        <w:rPr>
          <w:sz w:val="20"/>
          <w:szCs w:val="20"/>
          <w:color w:val="auto"/>
        </w:rPr>
      </w:pPr>
    </w:p>
    <w:p>
      <w:pPr>
        <w:jc w:val="both"/>
        <w:ind w:firstLine="1194"/>
        <w:spacing w:after="0" w:line="312" w:lineRule="auto"/>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We are involved, from time to time, in various environmental, contractual, product liability, patent (or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spacing w:after="0" w:line="14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i w:val="1"/>
          <w:iCs w:val="1"/>
          <w:color w:val="auto"/>
        </w:rPr>
        <w:t>Environmental matters and litigation</w:t>
      </w:r>
      <w:r>
        <w:rPr>
          <w:rFonts w:ascii="Arial" w:cs="Arial" w:eastAsia="Arial" w:hAnsi="Arial"/>
          <w:sz w:val="18"/>
          <w:szCs w:val="18"/>
          <w:color w:val="auto"/>
        </w:rPr>
        <w:t>. Our operations are governed by various federal, state and local environmental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Our policy is to comply with environmental laws and regulations at all of our facilities and to continually strive to improve environmental performance in association with applicable industry initiatives. We believe that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spacing w:after="0" w:line="188"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From time to time, we undergo examinations of our income tax returns, and tax authorities have or may propose tax</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deficiencies. We believe that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spacing w:after="0" w:line="188"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Our products are sold primarily in North America to original equipment manufacturers. Our ten largest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accounted for approximately 48% of sales in 2015, 46% in 2016, and 44% in 2017. One customer of the Security Products segment accounted for 13% of consolidated sales in 2015, 14% in 2016 and 16% in 2017. Another customer of the Security Products segment accounted for approximately 12% of consolidated sales in 2015 and 11%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firstLine="1194"/>
        <w:spacing w:after="0" w:line="277" w:lineRule="auto"/>
        <w:rPr>
          <w:sz w:val="20"/>
          <w:szCs w:val="20"/>
          <w:color w:val="auto"/>
        </w:rPr>
      </w:pPr>
      <w:r>
        <w:rPr>
          <w:rFonts w:ascii="Arial" w:cs="Arial" w:eastAsia="Arial" w:hAnsi="Arial"/>
          <w:sz w:val="18"/>
          <w:szCs w:val="18"/>
          <w:color w:val="auto"/>
        </w:rPr>
        <w:t>Rent expense was approximately $0.1 million in 2015 and $0.2 million in each of 2016 and 2017. At December 31, 2017, future minimum rentals under non-cancellable operating leases having an initial or remaining term of more than one year were as follows:</w:t>
      </w:r>
    </w:p>
    <w:p>
      <w:pPr>
        <w:spacing w:after="0" w:line="311" w:lineRule="exact"/>
        <w:rPr>
          <w:sz w:val="20"/>
          <w:szCs w:val="20"/>
          <w:color w:val="auto"/>
        </w:rPr>
      </w:pPr>
    </w:p>
    <w:tbl>
      <w:tblPr>
        <w:tblLayout w:type="fixed"/>
        <w:tblInd w:w="3420" w:type="dxa"/>
        <w:tblCellMar>
          <w:top w:w="0" w:type="dxa"/>
          <w:left w:w="0" w:type="dxa"/>
          <w:bottom w:w="0" w:type="dxa"/>
          <w:right w:w="0" w:type="dxa"/>
        </w:tblCellMar>
      </w:tblPr>
      <w:tr>
        <w:trPr>
          <w:trHeight w:val="171"/>
        </w:trPr>
        <w:tc>
          <w:tcPr>
            <w:tcW w:w="276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r>
      <w:tr>
        <w:trPr>
          <w:trHeight w:val="128"/>
        </w:trPr>
        <w:tc>
          <w:tcPr>
            <w:tcW w:w="27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Borders>
              <w:top w:val="single" w:sz="8" w:color="auto"/>
            </w:tcBorders>
          </w:tcPr>
          <w:p>
            <w:pPr>
              <w:jc w:val="right"/>
              <w:ind w:right="154"/>
              <w:spacing w:after="0" w:line="128"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2023 and thereafter</w:t>
            </w:r>
          </w:p>
        </w:tc>
        <w:tc>
          <w:tcPr>
            <w:tcW w:w="26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2760" w:type="dxa"/>
            <w:vAlign w:val="bottom"/>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418</w:t>
            </w:r>
          </w:p>
        </w:tc>
      </w:tr>
      <w:tr>
        <w:trPr>
          <w:trHeight w:val="20"/>
        </w:trPr>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700" w:type="dxa"/>
            <w:vAlign w:val="bottom"/>
          </w:tcPr>
          <w:p>
            <w:pPr>
              <w:jc w:val="right"/>
              <w:ind w:right="298"/>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700" w:type="dxa"/>
            <w:vAlign w:val="bottom"/>
          </w:tcPr>
          <w:p>
            <w:pPr>
              <w:jc w:val="center"/>
              <w:ind w:right="238"/>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33,153</w:t>
            </w:r>
          </w:p>
        </w:tc>
        <w:tc>
          <w:tcPr>
            <w:tcW w:w="24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33,153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29,655</w:t>
            </w:r>
          </w:p>
        </w:tc>
        <w:tc>
          <w:tcPr>
            <w:tcW w:w="24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29,655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10,347</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10,446</w:t>
            </w:r>
          </w:p>
        </w:tc>
        <w:tc>
          <w:tcPr>
            <w:tcW w:w="3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10,446</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2,614</w:t>
            </w:r>
          </w:p>
        </w:tc>
        <w:tc>
          <w:tcPr>
            <w:tcW w:w="3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2,272</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Due to their near-term maturities, the carrying amounts of accounts receivable and accounts payable are considered equivalent to fair value.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In January 2017, the Financial Accounting Standards Board (“FASB”) issued Accounting Standards Update (“ASU”) 2017-04, </w:t>
      </w:r>
      <w:r>
        <w:rPr>
          <w:rFonts w:ascii="Arial" w:cs="Arial" w:eastAsia="Arial" w:hAnsi="Arial"/>
          <w:sz w:val="17"/>
          <w:szCs w:val="17"/>
          <w:i w:val="1"/>
          <w:iCs w:val="1"/>
          <w:color w:val="auto"/>
        </w:rPr>
        <w:t>Intangibles</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which aims to simplify the subsequent measurement of goodwill by eliminating Step 2 from the goodwill impairment test. Previously, Step 2 measured a goodwill impairment loss by comparing the implied fair value of a reporting unit’s goodwill with the carrying amount of that goodwill. Instead, under the new ASU, an entity performs its annual, or interim, goodwill impairment test by comparing the fair value of a reporting unit with its carrying amount, and a goodwill impairment charge is recognized for the amount by which the carrying amount exceeds the reporting unit’s fair value. In no circumstances will the loss recognized exceed the total amount of goodwill allocated to that reporting unit. We elected to adopt this ASU beginning with our goodwill impairment test performed in the third quarter of 2017. The application of ASU 2017-04 did not have a material effect on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225"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standard replaces existing revenue recognition guidance, which in many cases was tailored for specific industries, with a uniform accounting standard applicable to all industries and transactions. The new standard, as amended, is currently effective for us beginning with the first quarter of 2018. Entities may elect to adopt ASU No. 2014-09 retrospectively for all periods for all contracts and transactions which occurred during the period (with a few exceptions for practical expediency) or modified retrospectively with a cumulative effect recognized as of the date of adoption. We will adopt the standard in the first quarter of 2018 including the expanded disclosure requirements using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the modified retrospective approach to adoption. Our sales generally involve single performance obligations to ship goods pursuant to customer purchase orders without further underlying contracts. Prices for our products are based on published price lists, customer agreements and individual customer orders which do not involve variable consideration, financing components, noncash consideration or consideration paid to our customers. We currently record sales when products are shipped and title and other risks and rewards of ownership have passed to the customer, which is generally upon delivery of our products to transport carriers. Under ASU 2014-09, we will record sales when our customers obtain control of our products, which we have determined is also upon delivery of our products to transport carriers, consistent with our current practice. Accordingly, we expect adoption of this standard will have minimal effect on our revenues and disclosure.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comprehensive rewriting of the lease accounting guidance which aims to increase comparability and transparency with regard to lease transactions. The primary change will be the recognition of lease assets for the right-of–use of the underlying asset and lease liabilities for the obligation to make payments by lessees on the balance sheet for leases currently classified as operating leases. The ASU also requires increased qualitative disclosure about leases in addition to quantitative disclosures currently required. Companies are required to use a modified retrospective approach to adoption with a practical expedient which will allow companies to continue to account for existing leases under the prior guidance unless a lease is modified, other than the requirement to recognize the right-of-use asset and lease liability for all operating leases. The changes indicated above will be effective for us beginning in the first quarter of 2019, with early adoption permitted. We have not yet evaluated the effect this ASU will have on our Consolidated Financial Statements, but given the amount of our future minimum payments under non-cancellable operating leases at December 31, 2017 totaling $0.4 million, we do not expect the adoption of this standard to have a material effect on our Consolidated Balance Sheet.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Quarterly results of operations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Sept. 30</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12"/>
                <w:szCs w:val="12"/>
                <w:color w:val="auto"/>
              </w:rPr>
            </w:pPr>
          </w:p>
        </w:tc>
      </w:tr>
      <w:tr>
        <w:trPr>
          <w:trHeight w:val="180"/>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(In millions, except per share amounts)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6"/>
        </w:trPr>
        <w:tc>
          <w:tcPr>
            <w:tcW w:w="558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55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432"/>
        </w:trPr>
        <w:tc>
          <w:tcPr>
            <w:tcW w:w="5580" w:type="dxa"/>
            <w:vAlign w:val="bottom"/>
          </w:tcPr>
          <w:p>
            <w:pPr>
              <w:ind w:left="440"/>
              <w:spacing w:after="0"/>
              <w:rPr>
                <w:sz w:val="20"/>
                <w:szCs w:val="20"/>
                <w:color w:val="auto"/>
              </w:rPr>
            </w:pPr>
            <w:r>
              <w:rPr>
                <w:rFonts w:ascii="Arial" w:cs="Arial" w:eastAsia="Arial" w:hAnsi="Arial"/>
                <w:sz w:val="18"/>
                <w:szCs w:val="18"/>
                <w:color w:val="auto"/>
              </w:rPr>
              <w:t>Basic and 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37"/>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55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32"/>
        </w:trPr>
        <w:tc>
          <w:tcPr>
            <w:tcW w:w="5580" w:type="dxa"/>
            <w:vAlign w:val="bottom"/>
          </w:tcPr>
          <w:p>
            <w:pPr>
              <w:ind w:left="440"/>
              <w:spacing w:after="0"/>
              <w:rPr>
                <w:sz w:val="20"/>
                <w:szCs w:val="20"/>
                <w:color w:val="auto"/>
              </w:rPr>
            </w:pPr>
            <w:r>
              <w:rPr>
                <w:rFonts w:ascii="Arial" w:cs="Arial" w:eastAsia="Arial" w:hAnsi="Arial"/>
                <w:sz w:val="18"/>
                <w:szCs w:val="18"/>
                <w:color w:val="auto"/>
              </w:rPr>
              <w:t>Basic and 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ind w:right="20" w:firstLine="1194"/>
        <w:spacing w:after="0" w:line="277" w:lineRule="auto"/>
        <w:rPr>
          <w:sz w:val="20"/>
          <w:szCs w:val="20"/>
          <w:color w:val="auto"/>
        </w:rPr>
      </w:pPr>
      <w:r>
        <w:rPr>
          <w:rFonts w:ascii="Arial" w:cs="Arial" w:eastAsia="Arial" w:hAnsi="Arial"/>
          <w:sz w:val="18"/>
          <w:szCs w:val="18"/>
          <w:color w:val="auto"/>
        </w:rPr>
        <w:t>The sum of the quarterly per share amounts may not equal the annual per share amounts due to relative changes in the weighted-average number of shares used in the per share computations.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58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DEMAND PROMISSORY NOTE</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$40,000,000.00</w:t>
      </w:r>
      <w:r>
        <w:rPr>
          <w:sz w:val="20"/>
          <w:szCs w:val="20"/>
          <w:color w:val="auto"/>
        </w:rPr>
        <w:tab/>
      </w:r>
      <w:r>
        <w:rPr>
          <w:rFonts w:ascii="Arial" w:cs="Arial" w:eastAsia="Arial" w:hAnsi="Arial"/>
          <w:sz w:val="16"/>
          <w:szCs w:val="16"/>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Promise to Pay</w:t>
      </w:r>
      <w:r>
        <w:rPr>
          <w:rFonts w:ascii="Arial" w:cs="Arial" w:eastAsia="Arial" w:hAnsi="Arial"/>
          <w:sz w:val="18"/>
          <w:szCs w:val="18"/>
          <w:color w:val="auto"/>
        </w:rPr>
        <w:t>. For and in consideration of value received, the undersigned, V</w:t>
      </w:r>
      <w:r>
        <w:rPr>
          <w:rFonts w:ascii="Arial" w:cs="Arial" w:eastAsia="Arial" w:hAnsi="Arial"/>
          <w:sz w:val="12"/>
          <w:szCs w:val="12"/>
          <w:color w:val="auto"/>
        </w:rPr>
        <w:t>ALHI</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a corporation duly organized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Delaware (“</w:t>
      </w:r>
      <w:r>
        <w:rPr>
          <w:rFonts w:ascii="Arial" w:cs="Arial" w:eastAsia="Arial" w:hAnsi="Arial"/>
          <w:sz w:val="18"/>
          <w:szCs w:val="18"/>
          <w:i w:val="1"/>
          <w:iCs w:val="1"/>
          <w:color w:val="auto"/>
        </w:rPr>
        <w:t>Borrower</w:t>
      </w:r>
      <w:r>
        <w:rPr>
          <w:rFonts w:ascii="Arial" w:cs="Arial" w:eastAsia="Arial" w:hAnsi="Arial"/>
          <w:sz w:val="18"/>
          <w:szCs w:val="18"/>
          <w:color w:val="auto"/>
        </w:rPr>
        <w:t>”), promises to pay, in lawful money of the United States of America, to the order of COMPX INTERNATIONAL INC., a corporation duly organized under the laws of the state of Delaware (“</w:t>
      </w:r>
      <w:r>
        <w:rPr>
          <w:rFonts w:ascii="Arial" w:cs="Arial" w:eastAsia="Arial" w:hAnsi="Arial"/>
          <w:sz w:val="18"/>
          <w:szCs w:val="18"/>
          <w:i w:val="1"/>
          <w:iCs w:val="1"/>
          <w:color w:val="auto"/>
        </w:rPr>
        <w:t>CompX</w:t>
      </w:r>
      <w:r>
        <w:rPr>
          <w:rFonts w:ascii="Arial" w:cs="Arial" w:eastAsia="Arial" w:hAnsi="Arial"/>
          <w:sz w:val="18"/>
          <w:szCs w:val="18"/>
          <w:color w:val="auto"/>
        </w:rPr>
        <w:t>”), or the holder hereof (as applicable, CompX or such holder shall be referred to as the “</w:t>
      </w:r>
      <w:r>
        <w:rPr>
          <w:rFonts w:ascii="Arial" w:cs="Arial" w:eastAsia="Arial" w:hAnsi="Arial"/>
          <w:sz w:val="18"/>
          <w:szCs w:val="18"/>
          <w:i w:val="1"/>
          <w:iCs w:val="1"/>
          <w:color w:val="auto"/>
        </w:rPr>
        <w:t>Noteholder</w:t>
      </w:r>
      <w:r>
        <w:rPr>
          <w:rFonts w:ascii="Arial" w:cs="Arial" w:eastAsia="Arial" w:hAnsi="Arial"/>
          <w:sz w:val="18"/>
          <w:szCs w:val="18"/>
          <w:color w:val="auto"/>
        </w:rPr>
        <w:t>”), the principal sum of FORTY MILLION and NO/100ths United States Dollars ($40,000,000.00)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Arial" w:cs="Arial" w:eastAsia="Arial" w:hAnsi="Arial"/>
          <w:sz w:val="18"/>
          <w:szCs w:val="18"/>
          <w:i w:val="1"/>
          <w:iCs w:val="1"/>
          <w:color w:val="auto"/>
        </w:rPr>
        <w:t>Note</w:t>
      </w:r>
      <w:r>
        <w:rPr>
          <w:rFonts w:ascii="Arial" w:cs="Arial" w:eastAsia="Arial" w:hAnsi="Arial"/>
          <w:sz w:val="18"/>
          <w:szCs w:val="18"/>
          <w:color w:val="auto"/>
        </w:rPr>
        <w:t xml:space="preserve">”). This Note shall be unsecured and will bear interest on the terms set forth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below. Capitalized terms not otherwise defined shall have the meanings given to such terms in </w:t>
      </w:r>
      <w:r>
        <w:rPr>
          <w:rFonts w:ascii="Arial" w:cs="Arial" w:eastAsia="Arial" w:hAnsi="Arial"/>
          <w:sz w:val="18"/>
          <w:szCs w:val="18"/>
          <w:b w:val="1"/>
          <w:bCs w:val="1"/>
          <w:color w:val="auto"/>
        </w:rPr>
        <w:t>Section 18</w:t>
      </w:r>
      <w:r>
        <w:rPr>
          <w:rFonts w:ascii="Arial" w:cs="Arial" w:eastAsia="Arial" w:hAnsi="Arial"/>
          <w:sz w:val="18"/>
          <w:szCs w:val="18"/>
          <w:color w:val="auto"/>
        </w:rPr>
        <w:t xml:space="preserve"> of this Note.</w:t>
      </w:r>
    </w:p>
    <w:p>
      <w:pPr>
        <w:spacing w:after="0" w:line="176"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6"/>
          <w:szCs w:val="16"/>
          <w:b w:val="1"/>
          <w:bCs w:val="1"/>
          <w:color w:val="auto"/>
        </w:rPr>
        <w:t xml:space="preserve">Section </w:t>
      </w:r>
      <w:r>
        <w:rPr>
          <w:rFonts w:ascii="Arial" w:cs="Arial" w:eastAsia="Arial" w:hAnsi="Arial"/>
          <w:sz w:val="19"/>
          <w:szCs w:val="19"/>
          <w:b w:val="1"/>
          <w:bCs w:val="1"/>
          <w:color w:val="auto"/>
        </w:rPr>
        <w:t>2.</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Amendment and Restatement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renews, replaces, amends and restates in its entirety the First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Revolving Demand Promissory Note dated December 31, 2016 in the original principal amount of $40,000,000.00 payable to the order of the Noteholder and executed by the Borrower (the “</w:t>
      </w:r>
      <w:r>
        <w:rPr>
          <w:rFonts w:ascii="Arial" w:cs="Arial" w:eastAsia="Arial" w:hAnsi="Arial"/>
          <w:sz w:val="16"/>
          <w:szCs w:val="16"/>
          <w:i w:val="1"/>
          <w:iCs w:val="1"/>
          <w:color w:val="auto"/>
        </w:rPr>
        <w:t>First Amended Note”</w:t>
      </w:r>
      <w:r>
        <w:rPr>
          <w:rFonts w:ascii="Arial" w:cs="Arial" w:eastAsia="Arial" w:hAnsi="Arial"/>
          <w:sz w:val="16"/>
          <w:szCs w:val="16"/>
          <w:color w:val="auto"/>
        </w:rPr>
        <w:t>). The First Amended Note renewed, replaced, amended and restated in its entirety the Unsecured Revolving Demand Promissory Note dated August 3, 2016 in the original principal amount of $40,000,000.00 payable to the order of the Noteholder and executed by the Borrower (the “</w:t>
      </w:r>
      <w:r>
        <w:rPr>
          <w:rFonts w:ascii="Arial" w:cs="Arial" w:eastAsia="Arial" w:hAnsi="Arial"/>
          <w:sz w:val="16"/>
          <w:szCs w:val="16"/>
          <w:i w:val="1"/>
          <w:iCs w:val="1"/>
          <w:color w:val="auto"/>
        </w:rPr>
        <w:t>Original Note</w:t>
      </w:r>
      <w:r>
        <w:rPr>
          <w:rFonts w:ascii="Arial" w:cs="Arial" w:eastAsia="Arial" w:hAnsi="Arial"/>
          <w:sz w:val="16"/>
          <w:szCs w:val="16"/>
          <w:color w:val="auto"/>
        </w:rPr>
        <w:t>”). This Note renews, replaces, amends and restates in its entirety the First Amended Note and the Original Note (collectively, the “</w:t>
      </w:r>
      <w:r>
        <w:rPr>
          <w:rFonts w:ascii="Arial" w:cs="Arial" w:eastAsia="Arial" w:hAnsi="Arial"/>
          <w:sz w:val="16"/>
          <w:szCs w:val="16"/>
          <w:i w:val="1"/>
          <w:iCs w:val="1"/>
          <w:color w:val="auto"/>
        </w:rPr>
        <w:t>Prior Notes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 and restatement shall operate to renew, amend and modify the rights and obligations of the parties under each Prior Note, as provided herein, but shall not extinguish the obligations under each Prior Note, nor effect a novation thereof. As of the close of business on December 31, 2017, the unpaid principal balance of the Original Note was $38,200,000.00,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Arial" w:cs="Arial" w:eastAsia="Arial" w:hAnsi="Arial"/>
          <w:sz w:val="19"/>
          <w:szCs w:val="19"/>
          <w:color w:val="auto"/>
        </w:rPr>
        <w:t>.</w:t>
      </w:r>
    </w:p>
    <w:p>
      <w:pPr>
        <w:spacing w:after="0" w:line="150" w:lineRule="exact"/>
        <w:rPr>
          <w:sz w:val="20"/>
          <w:szCs w:val="20"/>
          <w:color w:val="auto"/>
        </w:rPr>
      </w:pPr>
    </w:p>
    <w:p>
      <w:pPr>
        <w:jc w:val="both"/>
        <w:ind w:right="20" w:firstLine="877"/>
        <w:spacing w:after="0" w:line="284" w:lineRule="auto"/>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21"/>
          <w:szCs w:val="21"/>
          <w:b w:val="1"/>
          <w:bCs w:val="1"/>
          <w:color w:val="auto"/>
        </w:rPr>
        <w:t>3.</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All payments will be made at Noteholder’s address at Three Lincoln Centre, 5430 LBJ Freeway, Suite 1700,</w:t>
      </w:r>
      <w:r>
        <w:rPr>
          <w:rFonts w:ascii="Arial" w:cs="Arial" w:eastAsia="Arial" w:hAnsi="Arial"/>
          <w:sz w:val="18"/>
          <w:szCs w:val="18"/>
          <w:b w:val="1"/>
          <w:bCs w:val="1"/>
          <w:color w:val="auto"/>
        </w:rPr>
        <w:t xml:space="preserve"> </w:t>
      </w:r>
      <w:r>
        <w:rPr>
          <w:rFonts w:ascii="Arial" w:cs="Arial" w:eastAsia="Arial" w:hAnsi="Arial"/>
          <w:sz w:val="18"/>
          <w:szCs w:val="18"/>
          <w:color w:val="auto"/>
        </w:rPr>
        <w:t>Dallas, Texas 75240-2697, Attention: Treasurer, or such other place as the Noteholder may from time to time appoint in writing.</w:t>
      </w:r>
    </w:p>
    <w:p>
      <w:pPr>
        <w:spacing w:after="0" w:line="154"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Payments</w:t>
      </w:r>
      <w:r>
        <w:rPr>
          <w:rFonts w:ascii="Arial" w:cs="Arial" w:eastAsia="Arial" w:hAnsi="Arial"/>
          <w:sz w:val="18"/>
          <w:szCs w:val="18"/>
          <w:color w:val="auto"/>
        </w:rPr>
        <w:t>. The unpaid principal balance of this Note and any accrued and unpaid interest thereon shall be due and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Payment Date. Prior to the Final Payment Date, any accrued and unpaid interest on an unpaid principal balance shall be paid in arrears quarterly on the last day of each March, June, September and December, commencing March 31, 2018.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Prepayments</w:t>
      </w:r>
      <w:r>
        <w:rPr>
          <w:rFonts w:ascii="Arial" w:cs="Arial" w:eastAsia="Arial" w:hAnsi="Arial"/>
          <w:sz w:val="18"/>
          <w:szCs w:val="18"/>
          <w:color w:val="auto"/>
        </w:rPr>
        <w:t>. This Note may be prepaid in part or in full at any time without penalty.</w:t>
      </w:r>
    </w:p>
    <w:p>
      <w:pPr>
        <w:spacing w:after="0" w:line="225"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Borrowings</w:t>
      </w:r>
      <w:r>
        <w:rPr>
          <w:rFonts w:ascii="Arial" w:cs="Arial" w:eastAsia="Arial" w:hAnsi="Arial"/>
          <w:sz w:val="18"/>
          <w:szCs w:val="18"/>
          <w:color w:val="auto"/>
        </w:rPr>
        <w:t>. Prior to the Final Payment Date, Noteholder expressly authorizes Borrower to borrow, repay and re-borrow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Note in increments of $100,000 on a daily basis so long as:</w:t>
      </w:r>
    </w:p>
    <w:p>
      <w:pPr>
        <w:spacing w:after="0" w:line="143" w:lineRule="exact"/>
        <w:rPr>
          <w:sz w:val="20"/>
          <w:szCs w:val="20"/>
          <w:color w:val="auto"/>
        </w:rPr>
      </w:pPr>
    </w:p>
    <w:p>
      <w:pPr>
        <w:ind w:left="1740" w:hanging="868"/>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aggregate outstanding principal balance does not exceed $40,000,000.00; and</w:t>
      </w:r>
    </w:p>
    <w:p>
      <w:pPr>
        <w:spacing w:after="0" w:line="28" w:lineRule="exact"/>
        <w:rPr>
          <w:rFonts w:ascii="Arial" w:cs="Arial" w:eastAsia="Arial" w:hAnsi="Arial"/>
          <w:sz w:val="22"/>
          <w:szCs w:val="22"/>
          <w:color w:val="auto"/>
        </w:rPr>
      </w:pPr>
    </w:p>
    <w:p>
      <w:pPr>
        <w:ind w:left="1740" w:hanging="868"/>
        <w:spacing w:after="0" w:line="203" w:lineRule="auto"/>
        <w:tabs>
          <w:tab w:leader="none" w:pos="1740" w:val="left"/>
        </w:tabs>
        <w:numPr>
          <w:ilvl w:val="0"/>
          <w:numId w:val="16"/>
        </w:numPr>
        <w:rPr>
          <w:rFonts w:ascii="Arial" w:cs="Arial" w:eastAsia="Arial" w:hAnsi="Arial"/>
          <w:sz w:val="22"/>
          <w:szCs w:val="22"/>
          <w:color w:val="auto"/>
        </w:rPr>
      </w:pPr>
      <w:r>
        <w:rPr>
          <w:rFonts w:ascii="Arial" w:cs="Arial" w:eastAsia="Arial" w:hAnsi="Arial"/>
          <w:sz w:val="18"/>
          <w:szCs w:val="18"/>
          <w:color w:val="auto"/>
        </w:rPr>
        <w:t>no Event of Default has occurred and is continuing.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66" w:lineRule="exact"/>
        <w:rPr>
          <w:sz w:val="20"/>
          <w:szCs w:val="20"/>
          <w:color w:val="auto"/>
        </w:rPr>
      </w:pPr>
    </w:p>
    <w:p>
      <w:pPr>
        <w:ind w:firstLine="877"/>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The unpaid principal balance of this Note shall bear interest at the rate per annum of the Prime Rate plus one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(1.00%). In the event that an Event of Default occurs and is continuing, the unpaid</w:t>
      </w:r>
    </w:p>
    <w:p>
      <w:pPr>
        <w:spacing w:after="0" w:line="2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both"/>
        <w:spacing w:after="0" w:line="285" w:lineRule="auto"/>
        <w:rPr>
          <w:sz w:val="20"/>
          <w:szCs w:val="20"/>
          <w:color w:val="auto"/>
        </w:rPr>
      </w:pPr>
      <w:r>
        <w:rPr>
          <w:rFonts w:ascii="Arial" w:cs="Arial" w:eastAsia="Arial" w:hAnsi="Arial"/>
          <w:sz w:val="16"/>
          <w:szCs w:val="16"/>
          <w:color w:val="auto"/>
        </w:rPr>
        <w:t>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 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6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Section 7. Fees and Expenses</w:t>
      </w:r>
      <w:r>
        <w:rPr>
          <w:rFonts w:ascii="Arial" w:cs="Arial" w:eastAsia="Arial" w:hAnsi="Arial"/>
          <w:sz w:val="18"/>
          <w:szCs w:val="18"/>
          <w:color w:val="auto"/>
        </w:rPr>
        <w:t>. On the last day of each March, June, September and December, commencing March 31, 2018, and on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Date, Borrower shall pay to Noteholder the Unused Commitment Fee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88"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Remedy</w:t>
      </w:r>
      <w:r>
        <w:rPr>
          <w:rFonts w:ascii="Arial" w:cs="Arial" w:eastAsia="Arial" w:hAnsi="Arial"/>
          <w:sz w:val="18"/>
          <w:szCs w:val="18"/>
          <w:color w:val="auto"/>
        </w:rPr>
        <w:t>. Upon the occurrence and during the continuation of an Event of Default, the Noteholder shall have all of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88"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Right of Offset</w:t>
      </w:r>
      <w:r>
        <w:rPr>
          <w:rFonts w:ascii="Arial" w:cs="Arial" w:eastAsia="Arial" w:hAnsi="Arial"/>
          <w:sz w:val="18"/>
          <w:szCs w:val="18"/>
          <w:color w:val="auto"/>
        </w:rPr>
        <w:t>. The Noteholder shall have the right of offset against amounts that may be due by the Noteholder now or in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against amounts due under this Note.</w:t>
      </w:r>
    </w:p>
    <w:p>
      <w:pPr>
        <w:spacing w:after="0" w:line="16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i w:val="1"/>
          <w:iCs w:val="1"/>
          <w:color w:val="auto"/>
        </w:rPr>
        <w:t>Record of Outstanding Indebtedness</w:t>
      </w:r>
      <w:r>
        <w:rPr>
          <w:rFonts w:ascii="Arial" w:cs="Arial" w:eastAsia="Arial" w:hAnsi="Arial"/>
          <w:sz w:val="17"/>
          <w:szCs w:val="17"/>
          <w:color w:val="auto"/>
        </w:rPr>
        <w:t>. The date and amount of each repayment of principal outstanding under this Note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failure of Noteholder to so record or any error in so recording or computing any such amount owed shall not limit or otherwise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of the Borrower under this Note to repay the principal balance outstanding and all accrued or accruing interest.</w:t>
      </w:r>
    </w:p>
    <w:p>
      <w:pPr>
        <w:spacing w:after="0" w:line="168"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Borrower and each surety, endorser, guarantor, and other party now or subsequently liable for payment of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waive demand, presentment for payment, notice of nonpayment, notice of</w:t>
      </w:r>
    </w:p>
    <w:p>
      <w:pPr>
        <w:spacing w:after="0" w:line="2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16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i w:val="1"/>
          <w:iCs w:val="1"/>
          <w:color w:val="auto"/>
        </w:rPr>
        <w:t>Costs and Attorneys’ Fees</w:t>
      </w:r>
      <w:r>
        <w:rPr>
          <w:rFonts w:ascii="Arial" w:cs="Arial" w:eastAsia="Arial" w:hAnsi="Arial"/>
          <w:sz w:val="17"/>
          <w:szCs w:val="17"/>
          <w:color w:val="auto"/>
        </w:rPr>
        <w:t>. In addition to any other amounts payable to Noteholder pursuant to the terms of this Note, in the event</w:t>
      </w:r>
      <w:r>
        <w:rPr>
          <w:rFonts w:ascii="Arial" w:cs="Arial" w:eastAsia="Arial" w:hAnsi="Arial"/>
          <w:sz w:val="17"/>
          <w:szCs w:val="17"/>
          <w:b w:val="1"/>
          <w:bCs w:val="1"/>
          <w:color w:val="auto"/>
        </w:rPr>
        <w:t xml:space="preserve"> </w:t>
      </w:r>
      <w:r>
        <w:rPr>
          <w:rFonts w:ascii="Arial" w:cs="Arial" w:eastAsia="Arial" w:hAnsi="Arial"/>
          <w:sz w:val="17"/>
          <w:szCs w:val="17"/>
          <w:color w:val="auto"/>
        </w:rPr>
        <w:t>the Noteholder incurs costs in collecting on this Note, this Note is placed in the hands of any attorney for collection, suit is filed on this Note or if proceedings are had in bankruptcy, receivership, 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Time of Essence</w:t>
      </w:r>
      <w:r>
        <w:rPr>
          <w:rFonts w:ascii="Arial" w:cs="Arial" w:eastAsia="Arial" w:hAnsi="Arial"/>
          <w:sz w:val="18"/>
          <w:szCs w:val="18"/>
          <w:color w:val="auto"/>
        </w:rPr>
        <w:t>. Time is of the essence with respect to all of Borrower’s obligations and agreements under this Note.</w:t>
      </w:r>
    </w:p>
    <w:p>
      <w:pPr>
        <w:spacing w:after="0" w:line="225"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Jurisdiction and Venue</w:t>
      </w:r>
      <w:r>
        <w:rPr>
          <w:rFonts w:ascii="Arial" w:cs="Arial" w:eastAsia="Arial" w:hAnsi="Arial"/>
          <w:sz w:val="18"/>
          <w:szCs w:val="18"/>
          <w:color w:val="auto"/>
        </w:rPr>
        <w:t>. THIS NOTE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84"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Any notice or demand required by this Note shall be deemed to have been given and received on the earlier of</w:t>
      </w:r>
      <w:r>
        <w:rPr>
          <w:rFonts w:ascii="Arial" w:cs="Arial" w:eastAsia="Arial" w:hAnsi="Arial"/>
          <w:sz w:val="17"/>
          <w:szCs w:val="17"/>
          <w:b w:val="1"/>
          <w:bCs w:val="1"/>
          <w:color w:val="auto"/>
        </w:rPr>
        <w:t xml:space="preserve"> (i) </w:t>
      </w:r>
      <w:r>
        <w:rPr>
          <w:rFonts w:ascii="Arial" w:cs="Arial" w:eastAsia="Arial" w:hAnsi="Arial"/>
          <w:sz w:val="17"/>
          <w:szCs w:val="17"/>
          <w:color w:val="auto"/>
        </w:rPr>
        <w:t>when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or demand is actually received by the recipient or </w:t>
      </w:r>
      <w:r>
        <w:rPr>
          <w:rFonts w:ascii="Arial" w:cs="Arial" w:eastAsia="Arial" w:hAnsi="Arial"/>
          <w:sz w:val="17"/>
          <w:szCs w:val="17"/>
          <w:b w:val="1"/>
          <w:bCs w:val="1"/>
          <w:color w:val="auto"/>
        </w:rPr>
        <w:t>(ii)</w:t>
      </w:r>
      <w:r>
        <w:rPr>
          <w:rFonts w:ascii="Arial" w:cs="Arial" w:eastAsia="Arial" w:hAnsi="Arial"/>
          <w:sz w:val="17"/>
          <w:szCs w:val="17"/>
          <w:color w:val="auto"/>
        </w:rPr>
        <w:t xml:space="preserve"> 72 hours after the notice is deposited in the United States mail, certified or registered, with postage prepaid, and addressed to the recipient. The address for giving notice or demand under this Note </w:t>
      </w:r>
      <w:r>
        <w:rPr>
          <w:rFonts w:ascii="Arial" w:cs="Arial" w:eastAsia="Arial" w:hAnsi="Arial"/>
          <w:sz w:val="17"/>
          <w:szCs w:val="17"/>
          <w:b w:val="1"/>
          <w:bCs w:val="1"/>
          <w:color w:val="auto"/>
        </w:rPr>
        <w:t>(i)</w:t>
      </w:r>
      <w:r>
        <w:rPr>
          <w:rFonts w:ascii="Arial" w:cs="Arial" w:eastAsia="Arial" w:hAnsi="Arial"/>
          <w:sz w:val="17"/>
          <w:szCs w:val="17"/>
          <w:color w:val="auto"/>
        </w:rPr>
        <w:t xml:space="preserve"> to the Noteholder shall be the place of payment specified in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or such other place as the Noteholder may specify in writing to the Borrower and </w:t>
      </w:r>
      <w:r>
        <w:rPr>
          <w:rFonts w:ascii="Arial" w:cs="Arial" w:eastAsia="Arial" w:hAnsi="Arial"/>
          <w:sz w:val="17"/>
          <w:szCs w:val="17"/>
          <w:b w:val="1"/>
          <w:bCs w:val="1"/>
          <w:color w:val="auto"/>
        </w:rPr>
        <w:t>(ii)</w:t>
      </w:r>
      <w:r>
        <w:rPr>
          <w:rFonts w:ascii="Arial" w:cs="Arial" w:eastAsia="Arial" w:hAnsi="Arial"/>
          <w:sz w:val="17"/>
          <w:szCs w:val="17"/>
          <w:color w:val="auto"/>
        </w:rPr>
        <w:t xml:space="preserve"> to Borrower shall be the address below the Borrower’s signature or such other place as the Borrower may specify in writing to the Noteholder.</w:t>
      </w:r>
    </w:p>
    <w:p>
      <w:pPr>
        <w:spacing w:after="0" w:line="168"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i w:val="1"/>
          <w:iCs w:val="1"/>
          <w:color w:val="auto"/>
        </w:rPr>
        <w:t>Amendment or Waiver of Provisions of this Note</w:t>
      </w:r>
      <w:r>
        <w:rPr>
          <w:rFonts w:ascii="Arial" w:cs="Arial" w:eastAsia="Arial" w:hAnsi="Arial"/>
          <w:sz w:val="17"/>
          <w:szCs w:val="17"/>
          <w:color w:val="auto"/>
        </w:rPr>
        <w:t>. No amendment or waiver of any provision of this Note shall in any event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65"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i w:val="1"/>
          <w:iCs w:val="1"/>
          <w:color w:val="auto"/>
        </w:rPr>
        <w:t>Successors and Assigns</w:t>
      </w:r>
      <w:r>
        <w:rPr>
          <w:rFonts w:ascii="Arial" w:cs="Arial" w:eastAsia="Arial" w:hAnsi="Arial"/>
          <w:sz w:val="16"/>
          <w:szCs w:val="16"/>
          <w:color w:val="auto"/>
        </w:rPr>
        <w:t>. All of the covenants, obligations, promises and agreements contained in this Note made by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Note, the following terms shall have the following meanings: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Basis Point</w:t>
      </w:r>
      <w:r>
        <w:rPr>
          <w:rFonts w:ascii="Arial" w:cs="Arial" w:eastAsia="Arial" w:hAnsi="Arial"/>
          <w:sz w:val="16"/>
          <w:szCs w:val="16"/>
          <w:color w:val="auto"/>
        </w:rPr>
        <w:t>” shall mean 1/100</w:t>
      </w:r>
      <w:r>
        <w:rPr>
          <w:rFonts w:ascii="Arial" w:cs="Arial" w:eastAsia="Arial" w:hAnsi="Arial"/>
          <w:sz w:val="13"/>
          <w:szCs w:val="13"/>
          <w:color w:val="auto"/>
        </w:rPr>
        <w:t>th</w:t>
      </w:r>
      <w:r>
        <w:rPr>
          <w:rFonts w:ascii="Arial" w:cs="Arial" w:eastAsia="Arial" w:hAnsi="Arial"/>
          <w:sz w:val="16"/>
          <w:szCs w:val="16"/>
          <w:color w:val="auto"/>
        </w:rPr>
        <w:t xml:space="preserve"> of 1 percent.</w:t>
      </w:r>
    </w:p>
    <w:p>
      <w:pPr>
        <w:spacing w:after="0" w:line="200"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4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shall mean any day banks are open in the state of Texas.</w:t>
      </w:r>
    </w:p>
    <w:p>
      <w:pPr>
        <w:spacing w:after="0" w:line="218"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37" w:lineRule="exact"/>
        <w:rPr>
          <w:sz w:val="20"/>
          <w:szCs w:val="20"/>
          <w:color w:val="auto"/>
        </w:rPr>
      </w:pPr>
    </w:p>
    <w:p>
      <w:pPr>
        <w:ind w:left="880" w:hanging="797"/>
        <w:spacing w:after="0" w:line="277" w:lineRule="auto"/>
        <w:tabs>
          <w:tab w:leader="none" w:pos="8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Contract Rate</w:t>
      </w:r>
      <w:r>
        <w:rPr>
          <w:rFonts w:ascii="Arial" w:cs="Arial" w:eastAsia="Arial" w:hAnsi="Arial"/>
          <w:sz w:val="18"/>
          <w:szCs w:val="18"/>
          <w:color w:val="auto"/>
        </w:rPr>
        <w:t>” means the amount of any interest (including fees, charges or expenses or any other amounts that, under applicable law, are deemed interest) contracted for, charged or received by or for the account of Noteholder.</w:t>
      </w:r>
    </w:p>
    <w:p>
      <w:pPr>
        <w:sectPr>
          <w:pgSz w:w="11900" w:h="16838" w:orient="portrait"/>
          <w:cols w:equalWidth="0" w:num="1">
            <w:col w:w="11420"/>
          </w:cols>
          <w:pgMar w:left="240" w:top="341" w:right="239" w:bottom="1440" w:gutter="0" w:footer="0" w:header="0"/>
          <w:type w:val="continuous"/>
        </w:sectPr>
      </w:pPr>
    </w:p>
    <w:p>
      <w:pPr>
        <w:spacing w:after="0" w:line="17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wherever used herein, means any one of the following events:</w:t>
      </w:r>
    </w:p>
    <w:p>
      <w:pPr>
        <w:spacing w:after="0" w:line="207"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3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firstLine="744"/>
        <w:spacing w:after="0" w:line="308" w:lineRule="auto"/>
        <w:rPr>
          <w:sz w:val="20"/>
          <w:szCs w:val="20"/>
          <w:color w:val="auto"/>
        </w:rPr>
      </w:pPr>
      <w:r>
        <w:rPr>
          <w:rFonts w:ascii="Arial" w:cs="Arial" w:eastAsia="Arial" w:hAnsi="Arial"/>
          <w:sz w:val="17"/>
          <w:szCs w:val="17"/>
          <w:color w:val="auto"/>
        </w:rPr>
        <w:t>the Borrower fails to pay any amount due on this Note and/or any fees or sums due under or in connection with this Note after any such payment otherwise becomes due and payable and three Business Days after demand for such payment;</w:t>
      </w:r>
    </w:p>
    <w:p>
      <w:pPr>
        <w:spacing w:after="0" w:line="200" w:lineRule="exact"/>
        <w:rPr>
          <w:sz w:val="20"/>
          <w:szCs w:val="20"/>
          <w:color w:val="auto"/>
        </w:rPr>
      </w:pPr>
    </w:p>
    <w:p>
      <w:pPr>
        <w:sectPr>
          <w:pgSz w:w="11900" w:h="16838" w:orient="portrait"/>
          <w:cols w:equalWidth="0" w:num="2">
            <w:col w:w="1100" w:space="640"/>
            <w:col w:w="9680"/>
          </w:cols>
          <w:pgMar w:left="240" w:top="341" w:right="239" w:bottom="1440" w:gutter="0" w:footer="0" w:header="0"/>
          <w:type w:val="continuous"/>
        </w:sectPr>
      </w:pPr>
    </w:p>
    <w:p>
      <w:pPr>
        <w:spacing w:after="0" w:line="6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7" w:name="page48"/>
    <w:bookmarkEnd w:id="47"/>
    <w:p>
      <w:pPr>
        <w:ind w:left="1660" w:hanging="797"/>
        <w:spacing w:after="0" w:line="308" w:lineRule="auto"/>
        <w:tabs>
          <w:tab w:leader="none" w:pos="16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color w:val="auto"/>
        </w:rPr>
        <w:t>the Borrower otherwise fails to perform or observe any other provision contained in this Note and such breach or failure to perform shall continue for a period of thirty days after notice thereof shall have been given to the Borrower by the Noteholder;</w:t>
      </w:r>
    </w:p>
    <w:p>
      <w:pPr>
        <w:spacing w:after="0" w:line="151" w:lineRule="exact"/>
        <w:rPr>
          <w:sz w:val="20"/>
          <w:szCs w:val="20"/>
          <w:color w:val="auto"/>
        </w:rPr>
      </w:pPr>
    </w:p>
    <w:p>
      <w:pPr>
        <w:jc w:val="both"/>
        <w:ind w:left="1660" w:hanging="801"/>
        <w:spacing w:after="0" w:line="273" w:lineRule="auto"/>
        <w:tabs>
          <w:tab w:leader="none" w:pos="2404"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a case shall be commenced against Borrower, or Borrower shall file a petition commencing a case, under any provision of the Federal Bankruptcy Code of 1978, as amended, or shall seek relief under any provision of any other bankruptcy, reorganization, arrangement, 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78" w:lineRule="exact"/>
        <w:rPr>
          <w:rFonts w:ascii="Arial" w:cs="Arial" w:eastAsia="Arial" w:hAnsi="Arial"/>
          <w:sz w:val="17"/>
          <w:szCs w:val="17"/>
          <w:b w:val="1"/>
          <w:bCs w:val="1"/>
          <w:color w:val="auto"/>
        </w:rPr>
      </w:pPr>
    </w:p>
    <w:p>
      <w:pPr>
        <w:ind w:left="2400" w:hanging="1541"/>
        <w:spacing w:after="0"/>
        <w:tabs>
          <w:tab w:leader="none" w:pos="24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event occurs that, with notice or lapse of time, or both, would become any of the foregoing Events of Default.</w:t>
      </w:r>
    </w:p>
    <w:p>
      <w:pPr>
        <w:spacing w:after="0" w:line="22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Final Payment Date</w:t>
      </w:r>
      <w:r>
        <w:rPr>
          <w:rFonts w:ascii="Arial" w:cs="Arial" w:eastAsia="Arial" w:hAnsi="Arial"/>
          <w:sz w:val="18"/>
          <w:szCs w:val="18"/>
          <w:color w:val="auto"/>
        </w:rPr>
        <w:t>” shall mean the earlier of:</w:t>
      </w:r>
    </w:p>
    <w:p>
      <w:pPr>
        <w:spacing w:after="0" w:line="229" w:lineRule="exact"/>
        <w:rPr>
          <w:sz w:val="20"/>
          <w:szCs w:val="20"/>
          <w:color w:val="auto"/>
        </w:rPr>
      </w:pPr>
    </w:p>
    <w:p>
      <w:pPr>
        <w:jc w:val="both"/>
        <w:ind w:left="3420" w:hanging="858"/>
        <w:spacing w:after="0" w:line="238" w:lineRule="auto"/>
        <w:tabs>
          <w:tab w:leader="none" w:pos="34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written demand by the Noteholder for payment of all or part of the unpaid principal, the accrued and unpaid interest thereon and the accrued and unpaid commitment fee thereon, but in any event no earlier than December 31, 2019; or</w:t>
      </w:r>
    </w:p>
    <w:p>
      <w:pPr>
        <w:spacing w:after="0" w:line="1" w:lineRule="exact"/>
        <w:rPr>
          <w:rFonts w:ascii="Arial" w:cs="Arial" w:eastAsia="Arial" w:hAnsi="Arial"/>
          <w:sz w:val="22"/>
          <w:szCs w:val="22"/>
          <w:color w:val="auto"/>
        </w:rPr>
      </w:pPr>
    </w:p>
    <w:p>
      <w:pPr>
        <w:ind w:left="3420" w:hanging="858"/>
        <w:spacing w:after="0" w:line="205" w:lineRule="auto"/>
        <w:tabs>
          <w:tab w:leader="none" w:pos="34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acceleration as provided herein.</w:t>
      </w:r>
    </w:p>
    <w:p>
      <w:pPr>
        <w:sectPr>
          <w:pgSz w:w="11900" w:h="16838" w:orient="portrait"/>
          <w:cols w:equalWidth="0" w:num="1">
            <w:col w:w="11340"/>
          </w:cols>
          <w:pgMar w:left="320" w:top="553"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Rate</w:t>
      </w:r>
      <w:r>
        <w:rPr>
          <w:rFonts w:ascii="Arial" w:cs="Arial" w:eastAsia="Arial" w:hAnsi="Arial"/>
          <w:sz w:val="16"/>
          <w:szCs w:val="16"/>
          <w:color w:val="auto"/>
        </w:rPr>
        <w:t>” shall mean the highest lawful rate permissible under applicable law for the use, forbearance or detention of money.</w:t>
      </w:r>
    </w:p>
    <w:p>
      <w:pPr>
        <w:spacing w:after="0" w:line="218" w:lineRule="exact"/>
        <w:rPr>
          <w:sz w:val="20"/>
          <w:szCs w:val="20"/>
          <w:color w:val="auto"/>
        </w:rPr>
      </w:pPr>
    </w:p>
    <w:p>
      <w:pPr>
        <w:sectPr>
          <w:pgSz w:w="11900" w:h="16838" w:orient="portrait"/>
          <w:cols w:equalWidth="0" w:num="2">
            <w:col w:w="880" w:space="720"/>
            <w:col w:w="9740"/>
          </w:cols>
          <w:pgMar w:left="320" w:top="55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firstLine="81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shall mean the fluctuating interest rate per annum in effect from time to time equal to the base rate on corporate loans as reported as the Prime Rate in the Money Rates column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other reliable source.</w:t>
      </w:r>
    </w:p>
    <w:p>
      <w:pPr>
        <w:spacing w:after="0" w:line="166" w:lineRule="exact"/>
        <w:rPr>
          <w:sz w:val="20"/>
          <w:szCs w:val="20"/>
          <w:color w:val="auto"/>
        </w:rPr>
      </w:pPr>
    </w:p>
    <w:p>
      <w:pPr>
        <w:sectPr>
          <w:pgSz w:w="11900" w:h="16838" w:orient="portrait"/>
          <w:cols w:equalWidth="0" w:num="2">
            <w:col w:w="200" w:space="600"/>
            <w:col w:w="10540"/>
          </w:cols>
          <w:pgMar w:left="320" w:top="553" w:right="239" w:bottom="1440" w:gutter="0" w:footer="0" w:header="0"/>
          <w:type w:val="continuous"/>
        </w:sectPr>
      </w:pPr>
    </w:p>
    <w:p>
      <w:pPr>
        <w:ind w:left="800" w:hanging="797"/>
        <w:spacing w:after="0" w:line="277" w:lineRule="auto"/>
        <w:tabs>
          <w:tab w:leader="none" w:pos="78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Amount</w:t>
      </w:r>
      <w:r>
        <w:rPr>
          <w:rFonts w:ascii="Arial" w:cs="Arial" w:eastAsia="Arial" w:hAnsi="Arial"/>
          <w:sz w:val="18"/>
          <w:szCs w:val="18"/>
          <w:color w:val="auto"/>
        </w:rPr>
        <w:t>” for any period on after the date of this Note shall mean the average on each day of such period of the difference between (A) $40,000,000.00 and (B) the amount of the unpaid principal balance of this Note.</w:t>
      </w:r>
    </w:p>
    <w:p>
      <w:pPr>
        <w:spacing w:after="0" w:line="170" w:lineRule="exact"/>
        <w:rPr>
          <w:sz w:val="20"/>
          <w:szCs w:val="20"/>
          <w:color w:val="auto"/>
        </w:rPr>
      </w:pPr>
    </w:p>
    <w:p>
      <w:pPr>
        <w:ind w:left="800" w:hanging="797"/>
        <w:spacing w:after="0" w:line="277" w:lineRule="auto"/>
        <w:tabs>
          <w:tab w:leader="none" w:pos="78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Fee</w:t>
      </w:r>
      <w:r>
        <w:rPr>
          <w:rFonts w:ascii="Arial" w:cs="Arial" w:eastAsia="Arial" w:hAnsi="Arial"/>
          <w:sz w:val="18"/>
          <w:szCs w:val="18"/>
          <w:color w:val="auto"/>
        </w:rPr>
        <w:t>” shall mean the product of (A) 50 Basis Points per annum (pro rated to take into account that the fee is payable quarterly, or such shorter period if applicable) and (B) the Unused Commitment Amount.</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ALHI</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ectPr>
          <w:pgSz w:w="11900" w:h="16838" w:orient="portrait"/>
          <w:cols w:equalWidth="0" w:num="1">
            <w:col w:w="11340"/>
          </w:cols>
          <w:pgMar w:left="320" w:top="5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Gregory M. Swalwell</w:t>
            </w:r>
          </w:p>
        </w:tc>
        <w:tc>
          <w:tcPr>
            <w:tcW w:w="328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i w:val="1"/>
                <w:iCs w:val="1"/>
                <w:color w:val="auto"/>
              </w:rPr>
              <w:t>Gregory M. Swalwell</w:t>
            </w:r>
          </w:p>
        </w:tc>
      </w:tr>
      <w:tr>
        <w:trPr>
          <w:trHeight w:val="216"/>
        </w:trPr>
        <w:tc>
          <w:tcPr>
            <w:tcW w:w="66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i w:val="1"/>
                <w:iCs w:val="1"/>
                <w:color w:val="auto"/>
                <w:w w:val="99"/>
              </w:rPr>
              <w:t>Executive  Vice  President,  Chief  Financial  Officer  and  Chief</w:t>
            </w:r>
          </w:p>
        </w:tc>
      </w:tr>
      <w:tr>
        <w:trPr>
          <w:trHeight w:val="230"/>
        </w:trPr>
        <w:tc>
          <w:tcPr>
            <w:tcW w:w="66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i w:val="1"/>
                <w:iCs w:val="1"/>
                <w:color w:val="auto"/>
              </w:rPr>
              <w:t>Accounting Officer</w:t>
            </w:r>
          </w:p>
        </w:tc>
      </w:tr>
      <w:tr>
        <w:trPr>
          <w:trHeight w:val="432"/>
        </w:trPr>
        <w:tc>
          <w:tcPr>
            <w:tcW w:w="660" w:type="dxa"/>
            <w:vAlign w:val="bottom"/>
          </w:tcPr>
          <w:p>
            <w:pPr>
              <w:ind w:left="20"/>
              <w:spacing w:after="0"/>
              <w:rPr>
                <w:sz w:val="20"/>
                <w:szCs w:val="20"/>
                <w:color w:val="auto"/>
              </w:rPr>
            </w:pPr>
            <w:r>
              <w:rPr>
                <w:rFonts w:ascii="Arial" w:cs="Arial" w:eastAsia="Arial" w:hAnsi="Arial"/>
                <w:sz w:val="18"/>
                <w:szCs w:val="18"/>
                <w:color w:val="auto"/>
                <w:w w:val="87"/>
              </w:rPr>
              <w:t>Address:</w:t>
            </w:r>
          </w:p>
        </w:tc>
        <w:tc>
          <w:tcPr>
            <w:tcW w:w="178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5430 LBJ Freeway, Suite 1700</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Dallas, Texas  75240-2697</w:t>
      </w:r>
    </w:p>
    <w:p>
      <w:pPr>
        <w:spacing w:after="0" w:line="200" w:lineRule="exact"/>
        <w:rPr>
          <w:sz w:val="20"/>
          <w:szCs w:val="20"/>
          <w:color w:val="auto"/>
        </w:rPr>
      </w:pPr>
    </w:p>
    <w:p>
      <w:pPr>
        <w:spacing w:after="0" w:line="3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20" w:top="553" w:right="239" w:bottom="1440" w:gutter="0" w:footer="0" w:header="0"/>
          <w:type w:val="continuous"/>
        </w:sectPr>
      </w:pPr>
    </w:p>
    <w:bookmarkStart w:id="48" w:name="page49"/>
    <w:bookmarkEnd w:id="48"/>
    <w:p>
      <w:pPr>
        <w:jc w:val="both"/>
        <w:ind w:firstLine="877"/>
        <w:spacing w:after="0" w:line="276" w:lineRule="auto"/>
        <w:rPr>
          <w:sz w:val="20"/>
          <w:szCs w:val="20"/>
          <w:color w:val="auto"/>
        </w:rPr>
      </w:pPr>
      <w:r>
        <w:rPr>
          <w:rFonts w:ascii="Arial" w:cs="Arial" w:eastAsia="Arial" w:hAnsi="Arial"/>
          <w:sz w:val="17"/>
          <w:szCs w:val="17"/>
          <w:color w:val="auto"/>
        </w:rPr>
        <w:t>As of the date hereof, CompX International Inc., as the Noteholder, hereby agrees that this Note renews, replaces, amends and restates in its entirety each Prior Note (but shall not extinguish the obligations under each Prior Note, nor effect a novation thereof), and that the unpaid principal of $38,200,000.00, the accrued and unpaid interest thereon of nil and the accrued and unpaid commitment fee thereon of nil that was owed under the First Amended Note as of the close of business on December 31, 2017 are the unpaid principal, the accrued and unpaid interest thereon and the accrued and unpaid commitment fee thereon, respectively, owed under this Note as of the close of business on the date of this Note.</w:t>
      </w:r>
    </w:p>
    <w:p>
      <w:pPr>
        <w:spacing w:after="0" w:line="38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7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ind w:left="200"/>
              <w:spacing w:after="0"/>
              <w:rPr>
                <w:sz w:val="20"/>
                <w:szCs w:val="20"/>
                <w:color w:val="auto"/>
              </w:rPr>
            </w:pPr>
            <w:r>
              <w:rPr>
                <w:rFonts w:ascii="Arial" w:cs="Arial" w:eastAsia="Arial" w:hAnsi="Arial"/>
                <w:sz w:val="18"/>
                <w:szCs w:val="18"/>
                <w:color w:val="auto"/>
              </w:rPr>
              <w:t>/s/ James W. Brown</w:t>
            </w:r>
          </w:p>
        </w:tc>
      </w:tr>
      <w:tr>
        <w:trPr>
          <w:trHeight w:val="222"/>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James W. Brown</w:t>
            </w:r>
          </w:p>
        </w:tc>
        <w:tc>
          <w:tcPr>
            <w:tcW w:w="252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i w:val="1"/>
                <w:iCs w:val="1"/>
                <w:color w:val="auto"/>
                <w:w w:val="92"/>
              </w:rPr>
              <w:t>Vice President, Chief Financial Officer and Controller</w:t>
            </w:r>
          </w:p>
        </w:tc>
      </w:tr>
    </w:tbl>
    <w:p>
      <w:pPr>
        <w:spacing w:after="0" w:line="200" w:lineRule="exact"/>
        <w:rPr>
          <w:sz w:val="20"/>
          <w:szCs w:val="20"/>
          <w:color w:val="auto"/>
        </w:rPr>
      </w:pPr>
    </w:p>
    <w:p>
      <w:pPr>
        <w:spacing w:after="0" w:line="3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1420"/>
          </w:cols>
          <w:pgMar w:left="240" w:top="34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106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CompX Security Products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CompX Marine Inc.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Custom Marine Inc.</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JZTB Realty LLC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Livorsi Marine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Jurisdiction of</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Incorporation or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Held at December 31,</w:t>
            </w:r>
          </w:p>
        </w:tc>
      </w:tr>
      <w:tr>
        <w:trPr>
          <w:trHeight w:val="234"/>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358"/>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365"/>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bl>
    <w:p>
      <w:pPr>
        <w:sectPr>
          <w:pgSz w:w="11900" w:h="16838" w:orient="portrait"/>
          <w:cols w:equalWidth="0" w:num="2">
            <w:col w:w="6020" w:space="720"/>
            <w:col w:w="4680"/>
          </w:cols>
          <w:pgMar w:left="240" w:top="121" w:right="2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333-181794) of CompX International Inc. of our report dated February 28, 2018 relating to the consolidated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80" w:hanging="372"/>
        <w:spacing w:after="0" w:line="342"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60" w:hanging="374"/>
        <w:spacing w:after="0" w:line="308" w:lineRule="auto"/>
        <w:tabs>
          <w:tab w:leader="none" w:pos="7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760" w:hanging="374"/>
        <w:spacing w:after="0" w:line="277"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W. Brown, certify that:</w:t>
      </w:r>
    </w:p>
    <w:p>
      <w:pPr>
        <w:spacing w:after="0" w:line="117"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80" w:hanging="372"/>
        <w:spacing w:after="0" w:line="342"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60" w:hanging="374"/>
        <w:spacing w:after="0" w:line="308" w:lineRule="auto"/>
        <w:tabs>
          <w:tab w:leader="none" w:pos="7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320" w:hanging="374"/>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James W.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13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CompX International Inc. (the Company) on Form 10-K for the period ending December 31, 2017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9" w:lineRule="exact"/>
        <w:rPr>
          <w:sz w:val="20"/>
          <w:szCs w:val="20"/>
          <w:color w:val="auto"/>
        </w:rPr>
      </w:pPr>
    </w:p>
    <w:p>
      <w:pPr>
        <w:ind w:left="1880" w:hanging="859"/>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880" w:hanging="859"/>
        <w:spacing w:after="0"/>
        <w:tabs>
          <w:tab w:leader="none" w:pos="1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w:t>
      </w:r>
    </w:p>
    <w:p>
      <w:pPr>
        <w:spacing w:after="0" w:line="4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James W.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Controller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emdash "/>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42" Type="http://schemas.openxmlformats.org/officeDocument/2006/relationships/hyperlink" Target="http://www.sec.gov/Archives/edgar/data/1049606/0001049606-98-000001.txt" TargetMode="External"/><Relationship Id="rId43" Type="http://schemas.openxmlformats.org/officeDocument/2006/relationships/hyperlink" Target="http://www.sec.gov/Archives/edgar/data/1049606/000005925507000103/exhibit31.htm" TargetMode="External"/><Relationship Id="rId44" Type="http://schemas.openxmlformats.org/officeDocument/2006/relationships/hyperlink" Target="http://www.sec.gov/Archives/edgar/data/1049606/000104960604000011/ciiexh102.txt" TargetMode="External"/><Relationship Id="rId45" Type="http://schemas.openxmlformats.org/officeDocument/2006/relationships/hyperlink" Target="http://www.sec.gov/Archives/edgar/data/1049606/000119312513094118/d440599dex102.htm" TargetMode="External"/><Relationship Id="rId46" Type="http://schemas.openxmlformats.org/officeDocument/2006/relationships/hyperlink" Target="http://www.sec.gov/Archives/edgar/data/1049606/000119312513094118/d440599dex103.htm" TargetMode="External"/><Relationship Id="rId47" Type="http://schemas.openxmlformats.org/officeDocument/2006/relationships/hyperlink" Target="http://www.sec.gov/Archives/edgar/data/1049606/000156459016013997/cix-ex104_208.htm" TargetMode="External"/><Relationship Id="rId48" Type="http://schemas.openxmlformats.org/officeDocument/2006/relationships/hyperlink" Target="http://www.sec.gov/Archives/edgar/data/1049606/00000592551600019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2019-12-29T00:34:40Z</dcterms:created>
  <dcterms:modified xsi:type="dcterms:W3CDTF">2019-12-29T00:34:40Z</dcterms:modified>
</cp:coreProperties>
</file>