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the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31, 2018</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w:t>
      </w:r>
      <w:r>
        <w:rPr>
          <w:rFonts w:ascii="Arial" w:cs="Arial" w:eastAsia="Arial" w:hAnsi="Arial"/>
          <w:sz w:val="22"/>
          <w:szCs w:val="22"/>
          <w:b w:val="1"/>
          <w:bCs w:val="1"/>
          <w:color w:val="auto"/>
        </w:rPr>
        <w:t>OMP</w:t>
      </w:r>
      <w:r>
        <w:rPr>
          <w:rFonts w:ascii="Arial" w:cs="Arial" w:eastAsia="Arial" w:hAnsi="Arial"/>
          <w:sz w:val="32"/>
          <w:szCs w:val="32"/>
          <w:b w:val="1"/>
          <w:bCs w:val="1"/>
          <w:color w:val="auto"/>
        </w:rPr>
        <w:t>X I</w:t>
      </w:r>
      <w:r>
        <w:rPr>
          <w:rFonts w:ascii="Arial" w:cs="Arial" w:eastAsia="Arial" w:hAnsi="Arial"/>
          <w:sz w:val="22"/>
          <w:szCs w:val="22"/>
          <w:b w:val="1"/>
          <w:bCs w:val="1"/>
          <w:color w:val="auto"/>
        </w:rPr>
        <w:t>NTERNATIONAL</w:t>
      </w:r>
      <w:r>
        <w:rPr>
          <w:rFonts w:ascii="Arial" w:cs="Arial" w:eastAsia="Arial" w:hAnsi="Arial"/>
          <w:sz w:val="32"/>
          <w:szCs w:val="32"/>
          <w:b w:val="1"/>
          <w:bCs w:val="1"/>
          <w:color w:val="auto"/>
        </w:rPr>
        <w:t xml:space="preserve"> I</w:t>
      </w:r>
      <w:r>
        <w:rPr>
          <w:rFonts w:ascii="Arial" w:cs="Arial" w:eastAsia="Arial" w:hAnsi="Arial"/>
          <w:sz w:val="22"/>
          <w:szCs w:val="22"/>
          <w:b w:val="1"/>
          <w:bCs w:val="1"/>
          <w:color w:val="auto"/>
        </w:rPr>
        <w:t>NC</w:t>
      </w:r>
      <w:r>
        <w:rPr>
          <w:rFonts w:ascii="Arial" w:cs="Arial" w:eastAsia="Arial" w:hAnsi="Arial"/>
          <w:sz w:val="32"/>
          <w:szCs w:val="32"/>
          <w:b w:val="1"/>
          <w:bCs w:val="1"/>
          <w:color w:val="auto"/>
        </w:rPr>
        <w:t>.</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13" w:lineRule="exact"/>
        <w:rPr>
          <w:sz w:val="24"/>
          <w:szCs w:val="24"/>
          <w:color w:val="auto"/>
        </w:rPr>
      </w:pPr>
    </w:p>
    <w:tbl>
      <w:tblPr>
        <w:tblLayout w:type="fixed"/>
        <w:tblInd w:w="320" w:type="dxa"/>
        <w:tblCellMar>
          <w:top w:w="0" w:type="dxa"/>
          <w:left w:w="0" w:type="dxa"/>
          <w:bottom w:w="0" w:type="dxa"/>
          <w:right w:w="0" w:type="dxa"/>
        </w:tblCellMar>
      </w:tblPr>
      <w:tr>
        <w:trPr>
          <w:trHeight w:val="220"/>
        </w:trPr>
        <w:tc>
          <w:tcPr>
            <w:tcW w:w="4040" w:type="dxa"/>
            <w:vAlign w:val="bottom"/>
          </w:tcPr>
          <w:p>
            <w:pPr>
              <w:jc w:val="center"/>
              <w:ind w:right="790"/>
              <w:spacing w:after="0"/>
              <w:rPr>
                <w:sz w:val="20"/>
                <w:szCs w:val="20"/>
                <w:color w:val="auto"/>
              </w:rPr>
            </w:pPr>
            <w:r>
              <w:rPr>
                <w:rFonts w:ascii="Arial" w:cs="Arial" w:eastAsia="Arial" w:hAnsi="Arial"/>
                <w:sz w:val="18"/>
                <w:szCs w:val="18"/>
                <w:b w:val="1"/>
                <w:bCs w:val="1"/>
                <w:color w:val="auto"/>
                <w:w w:val="91"/>
              </w:rPr>
              <w:t>Delaware</w:t>
            </w:r>
          </w:p>
        </w:tc>
        <w:tc>
          <w:tcPr>
            <w:tcW w:w="316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1-13905</w:t>
            </w:r>
          </w:p>
        </w:tc>
        <w:tc>
          <w:tcPr>
            <w:tcW w:w="2660" w:type="dxa"/>
            <w:vAlign w:val="bottom"/>
          </w:tcPr>
          <w:p>
            <w:pPr>
              <w:jc w:val="center"/>
              <w:ind w:left="1250"/>
              <w:spacing w:after="0"/>
              <w:rPr>
                <w:sz w:val="20"/>
                <w:szCs w:val="20"/>
                <w:color w:val="auto"/>
              </w:rPr>
            </w:pPr>
            <w:r>
              <w:rPr>
                <w:rFonts w:ascii="Arial" w:cs="Arial" w:eastAsia="Arial" w:hAnsi="Arial"/>
                <w:sz w:val="18"/>
                <w:szCs w:val="18"/>
                <w:b w:val="1"/>
                <w:bCs w:val="1"/>
                <w:color w:val="auto"/>
                <w:w w:val="91"/>
              </w:rPr>
              <w:t>57-0981653</w:t>
            </w:r>
          </w:p>
        </w:tc>
      </w:tr>
      <w:tr>
        <w:trPr>
          <w:trHeight w:val="216"/>
        </w:trPr>
        <w:tc>
          <w:tcPr>
            <w:tcW w:w="4040" w:type="dxa"/>
            <w:vAlign w:val="bottom"/>
          </w:tcPr>
          <w:p>
            <w:pPr>
              <w:jc w:val="center"/>
              <w:ind w:right="790"/>
              <w:spacing w:after="0"/>
              <w:rPr>
                <w:sz w:val="20"/>
                <w:szCs w:val="20"/>
                <w:color w:val="auto"/>
              </w:rPr>
            </w:pPr>
            <w:r>
              <w:rPr>
                <w:rFonts w:ascii="Arial" w:cs="Arial" w:eastAsia="Arial" w:hAnsi="Arial"/>
                <w:sz w:val="18"/>
                <w:szCs w:val="18"/>
                <w:color w:val="auto"/>
                <w:w w:val="92"/>
              </w:rPr>
              <w:t>(State or other jurisdiction of incorporation)</w:t>
            </w: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3"/>
              </w:rPr>
              <w:t>(Commission</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3"/>
              </w:rPr>
              <w:t>(IRS Employer</w:t>
            </w:r>
          </w:p>
        </w:tc>
      </w:tr>
      <w:tr>
        <w:trPr>
          <w:trHeight w:val="230"/>
        </w:trPr>
        <w:tc>
          <w:tcPr>
            <w:tcW w:w="4040" w:type="dxa"/>
            <w:vAlign w:val="bottom"/>
          </w:tcPr>
          <w:p>
            <w:pPr>
              <w:spacing w:after="0"/>
              <w:rPr>
                <w:sz w:val="20"/>
                <w:szCs w:val="20"/>
                <w:color w:val="auto"/>
              </w:rPr>
            </w:pPr>
          </w:p>
        </w:tc>
        <w:tc>
          <w:tcPr>
            <w:tcW w:w="3160" w:type="dxa"/>
            <w:vAlign w:val="bottom"/>
          </w:tcPr>
          <w:p>
            <w:pPr>
              <w:jc w:val="center"/>
              <w:ind w:right="370"/>
              <w:spacing w:after="0"/>
              <w:rPr>
                <w:sz w:val="20"/>
                <w:szCs w:val="20"/>
                <w:color w:val="auto"/>
              </w:rPr>
            </w:pPr>
            <w:r>
              <w:rPr>
                <w:rFonts w:ascii="Arial" w:cs="Arial" w:eastAsia="Arial" w:hAnsi="Arial"/>
                <w:sz w:val="18"/>
                <w:szCs w:val="18"/>
                <w:color w:val="auto"/>
                <w:w w:val="94"/>
              </w:rPr>
              <w:t>File Number)</w:t>
            </w:r>
          </w:p>
        </w:tc>
        <w:tc>
          <w:tcPr>
            <w:tcW w:w="2660" w:type="dxa"/>
            <w:vAlign w:val="bottom"/>
          </w:tcPr>
          <w:p>
            <w:pPr>
              <w:jc w:val="center"/>
              <w:ind w:left="1230"/>
              <w:spacing w:after="0"/>
              <w:rPr>
                <w:sz w:val="20"/>
                <w:szCs w:val="20"/>
                <w:color w:val="auto"/>
              </w:rPr>
            </w:pPr>
            <w:r>
              <w:rPr>
                <w:rFonts w:ascii="Arial" w:cs="Arial" w:eastAsia="Arial" w:hAnsi="Arial"/>
                <w:sz w:val="18"/>
                <w:szCs w:val="18"/>
                <w:color w:val="auto"/>
                <w:w w:val="95"/>
              </w:rPr>
              <w:t>Identification No.)</w:t>
            </w:r>
          </w:p>
        </w:tc>
      </w:tr>
      <w:tr>
        <w:trPr>
          <w:trHeight w:val="634"/>
        </w:trPr>
        <w:tc>
          <w:tcPr>
            <w:tcW w:w="720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89"/>
              </w:rPr>
              <w:t>5430 LBJ Freeway, Suite 1700, Dallas, Texas</w:t>
            </w:r>
          </w:p>
        </w:tc>
        <w:tc>
          <w:tcPr>
            <w:tcW w:w="2660" w:type="dxa"/>
            <w:vAlign w:val="bottom"/>
          </w:tcPr>
          <w:p>
            <w:pPr>
              <w:jc w:val="center"/>
              <w:ind w:left="1270"/>
              <w:spacing w:after="0"/>
              <w:rPr>
                <w:sz w:val="20"/>
                <w:szCs w:val="20"/>
                <w:color w:val="auto"/>
              </w:rPr>
            </w:pPr>
            <w:r>
              <w:rPr>
                <w:rFonts w:ascii="Arial" w:cs="Arial" w:eastAsia="Arial" w:hAnsi="Arial"/>
                <w:sz w:val="18"/>
                <w:szCs w:val="18"/>
                <w:b w:val="1"/>
                <w:bCs w:val="1"/>
                <w:color w:val="auto"/>
                <w:w w:val="89"/>
              </w:rPr>
              <w:t>75240-2697</w:t>
            </w:r>
          </w:p>
        </w:tc>
      </w:tr>
      <w:tr>
        <w:trPr>
          <w:trHeight w:val="230"/>
        </w:trPr>
        <w:tc>
          <w:tcPr>
            <w:tcW w:w="7200" w:type="dxa"/>
            <w:vAlign w:val="bottom"/>
            <w:gridSpan w:val="2"/>
          </w:tcPr>
          <w:p>
            <w:pPr>
              <w:jc w:val="center"/>
              <w:ind w:right="90"/>
              <w:spacing w:after="0"/>
              <w:rPr>
                <w:sz w:val="20"/>
                <w:szCs w:val="20"/>
                <w:color w:val="auto"/>
              </w:rPr>
            </w:pPr>
            <w:r>
              <w:rPr>
                <w:rFonts w:ascii="Arial" w:cs="Arial" w:eastAsia="Arial" w:hAnsi="Arial"/>
                <w:sz w:val="18"/>
                <w:szCs w:val="18"/>
                <w:color w:val="auto"/>
                <w:w w:val="92"/>
              </w:rPr>
              <w:t>(Address of principal executive offices)</w:t>
            </w:r>
          </w:p>
        </w:tc>
        <w:tc>
          <w:tcPr>
            <w:tcW w:w="2660" w:type="dxa"/>
            <w:vAlign w:val="bottom"/>
          </w:tcPr>
          <w:p>
            <w:pPr>
              <w:jc w:val="center"/>
              <w:ind w:left="1270"/>
              <w:spacing w:after="0"/>
              <w:rPr>
                <w:sz w:val="20"/>
                <w:szCs w:val="20"/>
                <w:color w:val="auto"/>
              </w:rPr>
            </w:pPr>
            <w:r>
              <w:rPr>
                <w:rFonts w:ascii="Arial" w:cs="Arial" w:eastAsia="Arial" w:hAnsi="Arial"/>
                <w:sz w:val="18"/>
                <w:szCs w:val="18"/>
                <w:color w:val="auto"/>
                <w:w w:val="91"/>
              </w:rPr>
              <w:t>(Zip Code)</w:t>
            </w: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 448-1400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1720215</wp:posOffset>
            </wp:positionH>
            <wp:positionV relativeFrom="paragraph">
              <wp:posOffset>280035</wp:posOffset>
            </wp:positionV>
            <wp:extent cx="382460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24605" cy="1714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41"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ectPr>
          <w:pgSz w:w="11900" w:h="16838" w:orient="portrait"/>
          <w:cols w:equalWidth="0" w:num="1">
            <w:col w:w="11420"/>
          </w:cols>
          <w:pgMar w:left="240" w:top="472" w:right="239" w:bottom="1440" w:gutter="0" w:footer="0" w:header="0"/>
        </w:sectPr>
      </w:pPr>
    </w:p>
    <w:p>
      <w:pPr>
        <w:spacing w:after="0" w:line="121"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93" w:lineRule="exact"/>
        <w:rPr>
          <w:sz w:val="24"/>
          <w:szCs w:val="24"/>
          <w:color w:val="auto"/>
        </w:rPr>
      </w:pPr>
    </w:p>
    <w:p>
      <w:pPr>
        <w:ind w:left="300"/>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06" w:lineRule="exact"/>
        <w:rPr>
          <w:sz w:val="24"/>
          <w:szCs w:val="24"/>
          <w:color w:val="auto"/>
        </w:rPr>
      </w:pPr>
    </w:p>
    <w:p>
      <w:pPr>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14d-2(b) under the Exchange Act (17 CFR 240.14d-2(b))</w:t>
      </w:r>
    </w:p>
    <w:p>
      <w:pPr>
        <w:spacing w:after="0" w:line="329" w:lineRule="exact"/>
        <w:rPr>
          <w:sz w:val="24"/>
          <w:szCs w:val="24"/>
          <w:color w:val="auto"/>
        </w:rPr>
      </w:pPr>
    </w:p>
    <w:p>
      <w:pPr>
        <w:spacing w:after="0"/>
        <w:rPr>
          <w:sz w:val="20"/>
          <w:szCs w:val="20"/>
          <w:color w:val="auto"/>
        </w:rPr>
      </w:pPr>
      <w:r>
        <w:rPr>
          <w:rFonts w:ascii="Arial" w:cs="Arial" w:eastAsia="Arial" w:hAnsi="Arial"/>
          <w:sz w:val="16"/>
          <w:szCs w:val="16"/>
          <w:color w:val="auto"/>
        </w:rPr>
        <w:t>Pre-commencement communications pursuant to Rule 13e-4(c) under the Exchange Act (17 CFR 240.13e-4(c))</w:t>
      </w:r>
    </w:p>
    <w:p>
      <w:pPr>
        <w:spacing w:after="0" w:line="200" w:lineRule="exact"/>
        <w:rPr>
          <w:sz w:val="24"/>
          <w:szCs w:val="24"/>
          <w:color w:val="auto"/>
        </w:rPr>
      </w:pPr>
    </w:p>
    <w:p>
      <w:pPr>
        <w:sectPr>
          <w:pgSz w:w="11900" w:h="16838" w:orient="portrait"/>
          <w:cols w:equalWidth="0" w:num="2">
            <w:col w:w="520" w:space="280"/>
            <w:col w:w="10620"/>
          </w:cols>
          <w:pgMar w:left="240" w:top="472" w:right="239" w:bottom="1440" w:gutter="0" w:footer="0" w:header="0"/>
          <w:type w:val="continuous"/>
        </w:sectPr>
      </w:pPr>
    </w:p>
    <w:p>
      <w:pPr>
        <w:spacing w:after="0" w:line="116" w:lineRule="exact"/>
        <w:rPr>
          <w:sz w:val="24"/>
          <w:szCs w:val="24"/>
          <w:color w:val="auto"/>
        </w:rPr>
      </w:pPr>
    </w:p>
    <w:p>
      <w:pPr>
        <w:ind w:right="32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2"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35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type w:val="continuous"/>
        </w:sectPr>
      </w:pPr>
    </w:p>
    <w:bookmarkStart w:id="1" w:name="page2"/>
    <w:bookmarkEnd w:id="1"/>
    <w:p>
      <w:pPr>
        <w:spacing w:after="0"/>
        <w:tabs>
          <w:tab w:leader="none" w:pos="14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Reports Third Quarter 2018 Results" that the registrant issued on October 31, 2018, a copy of which is attached hereto as Exhibit 99.1 and incorporated herein by reference.</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press release the registrant furnishes as Exhibit 99.1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200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registrant hereby furnishes the information set forth in its press release entitled "CompX Declares Quarterly Dividend" that the registrant also issued on October 31, 2018, a copy of which is attached hereto as Exhibit 99.2 and incorporated herein by reference.</w:t>
      </w:r>
    </w:p>
    <w:p>
      <w:pPr>
        <w:spacing w:after="0" w:line="19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press release the registrant furnishes as Exhibit 99.2 to this current report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700" w:hanging="692"/>
        <w:spacing w:after="0"/>
        <w:tabs>
          <w:tab w:leader="none" w:pos="7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6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Item No.</w:t>
            </w:r>
          </w:p>
        </w:tc>
        <w:tc>
          <w:tcPr>
            <w:tcW w:w="44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500" w:type="dxa"/>
            <w:vAlign w:val="bottom"/>
            <w:tcBorders>
              <w:bottom w:val="single" w:sz="8" w:color="auto"/>
            </w:tcBorders>
            <w:gridSpan w:val="2"/>
          </w:tcPr>
          <w:p>
            <w:pPr>
              <w:ind w:left="294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380" w:type="dxa"/>
            <w:vAlign w:val="bottom"/>
          </w:tcPr>
          <w:p>
            <w:pPr>
              <w:spacing w:after="0"/>
              <w:rPr>
                <w:sz w:val="24"/>
                <w:szCs w:val="24"/>
                <w:color w:val="auto"/>
              </w:rPr>
            </w:pPr>
          </w:p>
        </w:tc>
        <w:tc>
          <w:tcPr>
            <w:tcW w:w="2380" w:type="dxa"/>
            <w:vAlign w:val="bottom"/>
            <w:gridSpan w:val="2"/>
          </w:tcPr>
          <w:p>
            <w:pPr>
              <w:jc w:val="right"/>
              <w:ind w:right="1570"/>
              <w:spacing w:after="0"/>
              <w:rPr>
                <w:sz w:val="20"/>
                <w:szCs w:val="20"/>
                <w:color w:val="auto"/>
              </w:rPr>
            </w:pPr>
            <w:r>
              <w:rPr>
                <w:rFonts w:ascii="Arial" w:cs="Arial" w:eastAsia="Arial" w:hAnsi="Arial"/>
                <w:sz w:val="18"/>
                <w:szCs w:val="18"/>
                <w:color w:val="auto"/>
              </w:rPr>
              <w:t>99.1*</w:t>
            </w:r>
          </w:p>
        </w:tc>
        <w:tc>
          <w:tcPr>
            <w:tcW w:w="440" w:type="dxa"/>
            <w:vAlign w:val="bottom"/>
          </w:tcPr>
          <w:p>
            <w:pPr>
              <w:spacing w:after="0"/>
              <w:rPr>
                <w:sz w:val="24"/>
                <w:szCs w:val="24"/>
                <w:color w:val="auto"/>
              </w:rPr>
            </w:pPr>
          </w:p>
        </w:tc>
        <w:tc>
          <w:tcPr>
            <w:tcW w:w="8220" w:type="dxa"/>
            <w:vAlign w:val="bottom"/>
            <w:tcBorders>
              <w:bottom w:val="single" w:sz="8" w:color="0000EE"/>
            </w:tcBorders>
            <w:gridSpan w:val="3"/>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Press release dated October 31, 2018 entitled "CompX Reports Third Quarter 2018 Results" and issued by the</w:t>
              </w:r>
            </w:hyperlink>
          </w:p>
        </w:tc>
      </w:tr>
      <w:tr>
        <w:trPr>
          <w:trHeight w:val="196"/>
        </w:trPr>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Borders>
              <w:bottom w:val="single" w:sz="8" w:color="0000EE"/>
            </w:tcBorders>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registrant.</w:t>
              </w:r>
            </w:hyperlink>
          </w:p>
        </w:tc>
        <w:tc>
          <w:tcPr>
            <w:tcW w:w="7500" w:type="dxa"/>
            <w:vAlign w:val="bottom"/>
            <w:gridSpan w:val="2"/>
          </w:tcPr>
          <w:p>
            <w:pPr>
              <w:spacing w:after="0"/>
              <w:rPr>
                <w:sz w:val="17"/>
                <w:szCs w:val="17"/>
                <w:color w:val="auto"/>
              </w:rPr>
            </w:pPr>
          </w:p>
        </w:tc>
      </w:tr>
      <w:tr>
        <w:trPr>
          <w:trHeight w:val="412"/>
        </w:trPr>
        <w:tc>
          <w:tcPr>
            <w:tcW w:w="380" w:type="dxa"/>
            <w:vAlign w:val="bottom"/>
          </w:tcPr>
          <w:p>
            <w:pPr>
              <w:spacing w:after="0"/>
              <w:rPr>
                <w:sz w:val="24"/>
                <w:szCs w:val="24"/>
                <w:color w:val="auto"/>
              </w:rPr>
            </w:pPr>
          </w:p>
        </w:tc>
        <w:tc>
          <w:tcPr>
            <w:tcW w:w="2380" w:type="dxa"/>
            <w:vAlign w:val="bottom"/>
            <w:gridSpan w:val="2"/>
          </w:tcPr>
          <w:p>
            <w:pPr>
              <w:jc w:val="right"/>
              <w:ind w:right="1570"/>
              <w:spacing w:after="0"/>
              <w:rPr>
                <w:sz w:val="20"/>
                <w:szCs w:val="20"/>
                <w:color w:val="auto"/>
              </w:rPr>
            </w:pPr>
            <w:r>
              <w:rPr>
                <w:rFonts w:ascii="Arial" w:cs="Arial" w:eastAsia="Arial" w:hAnsi="Arial"/>
                <w:sz w:val="18"/>
                <w:szCs w:val="18"/>
                <w:color w:val="auto"/>
              </w:rPr>
              <w:t>99.2*</w:t>
            </w:r>
          </w:p>
        </w:tc>
        <w:tc>
          <w:tcPr>
            <w:tcW w:w="440" w:type="dxa"/>
            <w:vAlign w:val="bottom"/>
          </w:tcPr>
          <w:p>
            <w:pPr>
              <w:spacing w:after="0"/>
              <w:rPr>
                <w:sz w:val="24"/>
                <w:szCs w:val="24"/>
                <w:color w:val="auto"/>
              </w:rPr>
            </w:pPr>
          </w:p>
        </w:tc>
        <w:tc>
          <w:tcPr>
            <w:tcW w:w="8220" w:type="dxa"/>
            <w:vAlign w:val="bottom"/>
            <w:gridSpan w:val="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Press release dated October 31, 2018 entitled "CompX Declares Quarterly Dividend" and issued by the registrant.</w:t>
              </w:r>
            </w:hyperlink>
          </w:p>
        </w:tc>
      </w:tr>
      <w:tr>
        <w:trPr>
          <w:trHeight w:val="480"/>
        </w:trPr>
        <w:tc>
          <w:tcPr>
            <w:tcW w:w="3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970"/>
              <w:spacing w:after="0"/>
              <w:rPr>
                <w:sz w:val="20"/>
                <w:szCs w:val="20"/>
                <w:color w:val="auto"/>
              </w:rPr>
            </w:pPr>
            <w:r>
              <w:rPr>
                <w:rFonts w:ascii="Arial" w:cs="Arial" w:eastAsia="Arial" w:hAnsi="Arial"/>
                <w:sz w:val="18"/>
                <w:szCs w:val="18"/>
                <w:color w:val="auto"/>
              </w:rPr>
              <w:t>Filed herewith</w:t>
            </w:r>
          </w:p>
        </w:tc>
        <w:tc>
          <w:tcPr>
            <w:tcW w:w="440" w:type="dxa"/>
            <w:vAlign w:val="bottom"/>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74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r>
      <w:tr>
        <w:trPr>
          <w:trHeight w:val="912"/>
        </w:trPr>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OMP</w:t>
      </w:r>
      <w:r>
        <w:rPr>
          <w:rFonts w:ascii="Arial" w:cs="Arial" w:eastAsia="Arial" w:hAnsi="Arial"/>
          <w:sz w:val="18"/>
          <w:szCs w:val="18"/>
          <w:b w:val="1"/>
          <w:bCs w:val="1"/>
          <w:color w:val="auto"/>
        </w:rPr>
        <w:t>X I</w:t>
      </w:r>
      <w:r>
        <w:rPr>
          <w:rFonts w:ascii="Arial" w:cs="Arial" w:eastAsia="Arial" w:hAnsi="Arial"/>
          <w:sz w:val="12"/>
          <w:szCs w:val="12"/>
          <w:b w:val="1"/>
          <w:bCs w:val="1"/>
          <w:color w:val="auto"/>
        </w:rPr>
        <w:t>NTERNATIONAL</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80" w:type="dxa"/>
            <w:vAlign w:val="bottom"/>
            <w:gridSpan w:val="2"/>
          </w:tcPr>
          <w:p>
            <w:pPr>
              <w:ind w:left="5700"/>
              <w:spacing w:after="0"/>
              <w:rPr>
                <w:sz w:val="20"/>
                <w:szCs w:val="20"/>
                <w:color w:val="auto"/>
              </w:rPr>
            </w:pPr>
            <w:r>
              <w:rPr>
                <w:rFonts w:ascii="Arial" w:cs="Arial" w:eastAsia="Arial" w:hAnsi="Arial"/>
                <w:sz w:val="18"/>
                <w:szCs w:val="18"/>
                <w:color w:val="auto"/>
              </w:rPr>
              <w:t>By:</w:t>
            </w:r>
          </w:p>
        </w:tc>
        <w:tc>
          <w:tcPr>
            <w:tcW w:w="5340" w:type="dxa"/>
            <w:vAlign w:val="bottom"/>
          </w:tcPr>
          <w:p>
            <w:pPr>
              <w:ind w:left="360"/>
              <w:spacing w:after="0"/>
              <w:rPr>
                <w:sz w:val="20"/>
                <w:szCs w:val="20"/>
                <w:color w:val="auto"/>
              </w:rPr>
            </w:pPr>
            <w:r>
              <w:rPr>
                <w:rFonts w:ascii="Arial" w:cs="Arial" w:eastAsia="Arial" w:hAnsi="Arial"/>
                <w:sz w:val="18"/>
                <w:szCs w:val="18"/>
                <w:color w:val="auto"/>
              </w:rPr>
              <w:t>/s/ Gregory M. Swalwell</w:t>
            </w:r>
          </w:p>
        </w:tc>
      </w:tr>
      <w:tr>
        <w:trPr>
          <w:trHeight w:val="202"/>
        </w:trPr>
        <w:tc>
          <w:tcPr>
            <w:tcW w:w="5700" w:type="dxa"/>
            <w:vAlign w:val="bottom"/>
          </w:tcPr>
          <w:p>
            <w:pPr>
              <w:spacing w:after="0" w:line="201" w:lineRule="exact"/>
              <w:rPr>
                <w:sz w:val="20"/>
                <w:szCs w:val="20"/>
                <w:color w:val="auto"/>
              </w:rPr>
            </w:pPr>
            <w:r>
              <w:rPr>
                <w:rFonts w:ascii="Arial" w:cs="Arial" w:eastAsia="Arial" w:hAnsi="Arial"/>
                <w:sz w:val="18"/>
                <w:szCs w:val="18"/>
                <w:color w:val="auto"/>
              </w:rPr>
              <w:t>Date: October 31, 2018</w:t>
            </w:r>
          </w:p>
        </w:tc>
        <w:tc>
          <w:tcPr>
            <w:tcW w:w="380" w:type="dxa"/>
            <w:vAlign w:val="bottom"/>
            <w:tcBorders>
              <w:top w:val="single" w:sz="8" w:color="auto"/>
            </w:tcBorders>
          </w:tcPr>
          <w:p>
            <w:pPr>
              <w:spacing w:after="0"/>
              <w:rPr>
                <w:sz w:val="17"/>
                <w:szCs w:val="17"/>
                <w:color w:val="auto"/>
              </w:rPr>
            </w:pPr>
          </w:p>
        </w:tc>
        <w:tc>
          <w:tcPr>
            <w:tcW w:w="5340" w:type="dxa"/>
            <w:vAlign w:val="bottom"/>
            <w:tcBorders>
              <w:top w:val="single" w:sz="8" w:color="auto"/>
            </w:tcBorders>
          </w:tcPr>
          <w:p>
            <w:pPr>
              <w:ind w:left="100"/>
              <w:spacing w:after="0" w:line="201" w:lineRule="exact"/>
              <w:rPr>
                <w:sz w:val="20"/>
                <w:szCs w:val="20"/>
                <w:color w:val="auto"/>
              </w:rPr>
            </w:pPr>
            <w:r>
              <w:rPr>
                <w:rFonts w:ascii="Arial" w:cs="Arial" w:eastAsia="Arial" w:hAnsi="Arial"/>
                <w:sz w:val="18"/>
                <w:szCs w:val="18"/>
                <w:i w:val="1"/>
                <w:iCs w:val="1"/>
                <w:color w:val="auto"/>
              </w:rPr>
              <w:t>Gregory M. Swalwell</w:t>
            </w:r>
          </w:p>
        </w:tc>
      </w:tr>
      <w:tr>
        <w:trPr>
          <w:trHeight w:val="230"/>
        </w:trPr>
        <w:tc>
          <w:tcPr>
            <w:tcW w:w="5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i w:val="1"/>
                <w:iCs w:val="1"/>
                <w:color w:val="auto"/>
              </w:rPr>
              <w:t>Executive Vice President</w:t>
            </w:r>
          </w:p>
        </w:tc>
      </w:tr>
    </w:tbl>
    <w:p>
      <w:pPr>
        <w:sectPr>
          <w:pgSz w:w="11900" w:h="16838" w:orient="portrait"/>
          <w:cols w:equalWidth="0" w:num="1">
            <w:col w:w="11420"/>
          </w:cols>
          <w:pgMar w:left="240" w:top="607" w:right="2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852295" cy="514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852295" cy="51435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CONTACT:</w:t>
      </w:r>
    </w:p>
    <w:p>
      <w:pPr>
        <w:spacing w:after="0" w:line="211"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222" w:lineRule="exact"/>
        <w:rPr>
          <w:sz w:val="20"/>
          <w:szCs w:val="20"/>
          <w:color w:val="auto"/>
        </w:rPr>
      </w:pPr>
    </w:p>
    <w:p>
      <w:pPr>
        <w:sectPr>
          <w:pgSz w:w="11900" w:h="16838" w:orient="portrait"/>
          <w:cols w:equalWidth="0" w:num="2">
            <w:col w:w="5000" w:space="720"/>
            <w:col w:w="5700"/>
          </w:cols>
          <w:pgMar w:left="240" w:top="1440" w:right="2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COMPX REPORTS THIRD QUARTER 2018 RESULTS</w:t>
      </w:r>
    </w:p>
    <w:p>
      <w:pPr>
        <w:spacing w:after="0" w:line="2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DALLAS, TEXAS …October 31, 2018 … CompX International Inc. (NYSE American: CIX) announced today sales of $30.0 million for the third quarter of 2018 compared to $27.0 million in the same period of 2017. Operating income was $4.5 million in the third quarter of 2018 compared to $3.4 million in the same period in 2017. Net income for the third quarter of 2018 was $3.9 million, or $0.32 per diluted share, compared to $2.5 million, or $0.20 per diluted share, in the third quarter of 2017.</w:t>
      </w:r>
    </w:p>
    <w:p>
      <w:pPr>
        <w:spacing w:after="0" w:line="21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September 30, 2018, sales were $90.8 million compared to $86.9 million in the previous year. Operating income was $14.9 million for the first nine months of 2018 compared to $12.5 million for 2017. Net income for the nine months ended September 30, 2018 was $12.7 million, or $1.02 per diluted share, compared to $9.0 million, or $0.72 per diluted share, in 2017.</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Third quarter 2018 net sales increased over the comparable 2017 period primarily due to higher sales of security products across the majority of our markets and continued strong growth in sales of marine components to various marine and industrial markets. Net sales increased for the first nine months of 2018 compared to the same period in 2017 due to higher Marine Components sales volumes, and to a lesser extent Security Products sales across the majority of our markets. Operating income increased for the third quarter of 2018 compared to the third quarter of 2017 due to improved coverage of fixed costs over increased production volumes. Operating income increased for the first nine months of 2018 compared to the same period in 2017 due to favorable changes in customer and product mix in Security Products as well as improved manufacturing efficiencies and fixed cost leverage facilitated by higher production volumes for each of our business segments.</w:t>
      </w:r>
    </w:p>
    <w:p>
      <w:pPr>
        <w:spacing w:after="0" w:line="216"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CompX is a leading manufacturer of security products and recreational marine components. It operates from four locations in the U.S. and employs approximately 500 people.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statements in this press release relating to matters that are not historical facts are forward-looking statements that represent management's belief and assumptions based on currently available information. Although CompX believes the expectations reflected in such forward-looking statements are reasonable, it cannot give any assurances that these expectations will be correct. Such statements, by their nature, involve substantial risks and uncertainties that could significantly impact expected results, and actual future results could differ materially from those predicted. While it is not possible to identify all factors, CompX continues to face many risks and uncertainties. The factors that could cause our actual future results to differ materially include, but are not limited to, the following:</w:t>
      </w:r>
    </w:p>
    <w:p>
      <w:pPr>
        <w:spacing w:after="0" w:line="200" w:lineRule="exact"/>
        <w:rPr>
          <w:sz w:val="20"/>
          <w:szCs w:val="20"/>
          <w:color w:val="auto"/>
        </w:rPr>
      </w:pPr>
    </w:p>
    <w:p>
      <w:pPr>
        <w:spacing w:after="0" w:line="236" w:lineRule="exact"/>
        <w:rPr>
          <w:sz w:val="20"/>
          <w:szCs w:val="20"/>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demand for our products,</w:t>
      </w:r>
    </w:p>
    <w:p>
      <w:pPr>
        <w:spacing w:after="0" w:line="225"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our raw material and other operating costs (such as zinc, brass, aluminum, steel and energy costs) and our ability to pass those costs on to our customers or offset them with reductions in other operating costs,</w:t>
      </w:r>
    </w:p>
    <w:p>
      <w:pPr>
        <w:spacing w:after="0" w:line="170"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Price and product competition from low-cost manufacturing sources (such as China),</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pricing and production decisions,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Customer and competitor strategies including substitute products,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Uncertainties associated with the development of new product features,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Future litigation,</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Potential difficulties in integrating future acquisitions,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Decisions to sell operating assets other than in the ordinary course of business,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Environmental matters (such as those requiring emission and discharge standards for existing and new facilities),</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ultimate outcome of income tax audits, tax settlement initiatives or other tax matters, including tax reform,</w:t>
      </w:r>
    </w:p>
    <w:p>
      <w:pPr>
        <w:spacing w:after="0" w:line="225"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current or future government regulations (including employee healthcare benefit related regulations),</w:t>
      </w:r>
    </w:p>
    <w:p>
      <w:pPr>
        <w:spacing w:after="0" w:line="225"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global economic and political conditions that introduce instability into the U.S. economy (such as changes in the level of gross domestic product in various regions of the world),</w:t>
      </w:r>
    </w:p>
    <w:p>
      <w:pPr>
        <w:spacing w:after="0" w:line="170" w:lineRule="exact"/>
        <w:rPr>
          <w:rFonts w:ascii="Arial" w:cs="Arial" w:eastAsia="Arial" w:hAnsi="Arial"/>
          <w:sz w:val="18"/>
          <w:szCs w:val="18"/>
          <w:color w:val="auto"/>
        </w:rPr>
      </w:pPr>
    </w:p>
    <w:p>
      <w:pPr>
        <w:ind w:left="880" w:hanging="431"/>
        <w:spacing w:after="0" w:line="277" w:lineRule="auto"/>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Operating interruptions (including, but not limited to labor disputes, hazardous chemical leaks, natural disasters, fires, explosions, unscheduled or unplanned downtime, transportation interruptions and cyber attacks); and</w:t>
      </w:r>
    </w:p>
    <w:p>
      <w:pPr>
        <w:spacing w:after="0" w:line="170" w:lineRule="exact"/>
        <w:rPr>
          <w:rFonts w:ascii="Arial" w:cs="Arial" w:eastAsia="Arial" w:hAnsi="Arial"/>
          <w:sz w:val="18"/>
          <w:szCs w:val="18"/>
          <w:color w:val="auto"/>
        </w:rPr>
      </w:pPr>
    </w:p>
    <w:p>
      <w:pPr>
        <w:ind w:left="880" w:hanging="431"/>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Possible disruption of our business or increases in the cost of doing business resulting from terrorist activities or global conflicts.</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680" w:hanging="86"/>
        <w:spacing w:after="0"/>
        <w:tabs>
          <w:tab w:leader="none" w:pos="5680" w:val="left"/>
        </w:tabs>
        <w:numPr>
          <w:ilvl w:val="1"/>
          <w:numId w:val="2"/>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jc w:val="both"/>
        <w:spacing w:after="0" w:line="264" w:lineRule="auto"/>
        <w:rPr>
          <w:sz w:val="20"/>
          <w:szCs w:val="20"/>
          <w:color w:val="auto"/>
        </w:rPr>
      </w:pPr>
      <w:r>
        <w:rPr>
          <w:rFonts w:ascii="Arial" w:cs="Arial" w:eastAsia="Arial" w:hAnsi="Arial"/>
          <w:sz w:val="18"/>
          <w:szCs w:val="18"/>
          <w:color w:val="auto"/>
        </w:rPr>
        <w:t>Should one or more of these risks materialize (or the consequences of such development worsen), or should the underlying assumptions prove incorrect, actual results could differ materially from those currently forecasted or expected. CompX disclaims any intention or obligation to update or revise any forward-looking statement whether as a result of changes in information, future events or otherwise.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5"/>
          <w:szCs w:val="25"/>
          <w:b w:val="1"/>
          <w:bCs w:val="1"/>
          <w:color w:val="auto"/>
        </w:rPr>
        <w:t>COMPX INTERNATIONAL INC.</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CONSOLIDATED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5"/>
          </w:tcPr>
          <w:p>
            <w:pPr>
              <w:ind w:left="24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60" w:type="dxa"/>
            <w:vAlign w:val="bottom"/>
            <w:gridSpan w:val="6"/>
          </w:tcPr>
          <w:p>
            <w:pPr>
              <w:ind w:left="2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2018</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4580" w:type="dxa"/>
            <w:vAlign w:val="bottom"/>
          </w:tcPr>
          <w:p>
            <w:pPr>
              <w:spacing w:after="0"/>
              <w:rPr>
                <w:sz w:val="24"/>
                <w:szCs w:val="24"/>
                <w:color w:val="auto"/>
              </w:rPr>
            </w:pPr>
          </w:p>
        </w:tc>
        <w:tc>
          <w:tcPr>
            <w:tcW w:w="172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98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500" w:type="dxa"/>
            <w:vAlign w:val="bottom"/>
            <w:gridSpan w:val="2"/>
          </w:tcPr>
          <w:p>
            <w:pPr>
              <w:spacing w:after="0"/>
              <w:rPr>
                <w:sz w:val="24"/>
                <w:szCs w:val="24"/>
                <w:color w:val="auto"/>
              </w:rPr>
            </w:pPr>
          </w:p>
        </w:tc>
        <w:tc>
          <w:tcPr>
            <w:tcW w:w="8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Cost of goods sold</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20.4</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Selling, general and administrative expense</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Interest income</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0.5</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w:t>
            </w:r>
          </w:p>
        </w:tc>
        <w:tc>
          <w:tcPr>
            <w:tcW w:w="14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18"/>
                <w:szCs w:val="18"/>
                <w:color w:val="auto"/>
              </w:rPr>
            </w:pP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Basic and diluted net income</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 common share</w:t>
            </w:r>
          </w:p>
        </w:tc>
        <w:tc>
          <w:tcPr>
            <w:tcW w:w="17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60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0.72</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8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w:t>
            </w: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20"/>
              <w:spacing w:after="0"/>
              <w:rPr>
                <w:sz w:val="20"/>
                <w:szCs w:val="20"/>
                <w:color w:val="auto"/>
              </w:rPr>
            </w:pPr>
            <w:r>
              <w:rPr>
                <w:rFonts w:ascii="Arial" w:cs="Arial" w:eastAsia="Arial" w:hAnsi="Arial"/>
                <w:sz w:val="18"/>
                <w:szCs w:val="18"/>
                <w:color w:val="auto"/>
              </w:rPr>
              <w:t>shares outstanding</w:t>
            </w:r>
          </w:p>
        </w:tc>
        <w:tc>
          <w:tcPr>
            <w:tcW w:w="1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5"/>
          <w:szCs w:val="25"/>
          <w:b w:val="1"/>
          <w:bCs w:val="1"/>
          <w:color w:val="auto"/>
        </w:rPr>
        <w:t>COMPX INTERNATIONAL INC.</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Cash and equivalents</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8"/>
          <w:szCs w:val="18"/>
          <w:color w:val="auto"/>
        </w:rPr>
        <w:t>Accounts receivable, net</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Inventories, net</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Prepaid expenses and other</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current assets</w:t>
      </w:r>
    </w:p>
    <w:p>
      <w:pPr>
        <w:spacing w:after="0" w:line="225" w:lineRule="exact"/>
        <w:rPr>
          <w:sz w:val="20"/>
          <w:szCs w:val="20"/>
          <w:color w:val="auto"/>
        </w:rPr>
      </w:pPr>
    </w:p>
    <w:p>
      <w:pPr>
        <w:ind w:right="700"/>
        <w:spacing w:after="0" w:line="258" w:lineRule="auto"/>
        <w:rPr>
          <w:sz w:val="20"/>
          <w:szCs w:val="20"/>
          <w:color w:val="auto"/>
        </w:rPr>
      </w:pPr>
      <w:r>
        <w:rPr>
          <w:rFonts w:ascii="Arial" w:cs="Arial" w:eastAsia="Arial" w:hAnsi="Arial"/>
          <w:sz w:val="18"/>
          <w:szCs w:val="18"/>
          <w:color w:val="auto"/>
        </w:rPr>
        <w:t>Note receivable from affiliate Goodwill</w:t>
      </w:r>
    </w:p>
    <w:p>
      <w:pPr>
        <w:spacing w:after="0" w:line="1" w:lineRule="exact"/>
        <w:rPr>
          <w:sz w:val="20"/>
          <w:szCs w:val="20"/>
          <w:color w:val="auto"/>
        </w:rPr>
      </w:pPr>
    </w:p>
    <w:p>
      <w:pPr>
        <w:ind w:right="800"/>
        <w:spacing w:after="0" w:line="323" w:lineRule="auto"/>
        <w:rPr>
          <w:sz w:val="20"/>
          <w:szCs w:val="20"/>
          <w:color w:val="auto"/>
        </w:rPr>
      </w:pPr>
      <w:r>
        <w:rPr>
          <w:rFonts w:ascii="Arial" w:cs="Arial" w:eastAsia="Arial" w:hAnsi="Arial"/>
          <w:sz w:val="16"/>
          <w:szCs w:val="16"/>
          <w:color w:val="auto"/>
        </w:rPr>
        <w:t>Net property and equipment Other noncurrent</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assets</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Liabilities and Stockholders' Equity</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jc w:val="center"/>
        <w:ind w:right="356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9"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82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September 30,</w:t>
            </w:r>
          </w:p>
        </w:tc>
      </w:tr>
      <w:tr>
        <w:trPr>
          <w:trHeight w:val="241"/>
        </w:trPr>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0" w:type="dxa"/>
            <w:vAlign w:val="bottom"/>
          </w:tcPr>
          <w:p>
            <w:pPr>
              <w:spacing w:after="0"/>
              <w:rPr>
                <w:sz w:val="20"/>
                <w:szCs w:val="20"/>
                <w:color w:val="auto"/>
              </w:rPr>
            </w:pPr>
          </w:p>
        </w:tc>
      </w:tr>
      <w:tr>
        <w:trPr>
          <w:trHeight w:val="234"/>
        </w:trPr>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20" w:type="dxa"/>
            <w:vAlign w:val="bottom"/>
          </w:tcPr>
          <w:p>
            <w:pPr>
              <w:spacing w:after="0"/>
              <w:rPr>
                <w:sz w:val="20"/>
                <w:szCs w:val="20"/>
                <w:color w:val="auto"/>
              </w:rPr>
            </w:pPr>
          </w:p>
        </w:tc>
      </w:tr>
      <w:tr>
        <w:trPr>
          <w:trHeight w:val="643"/>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43.7</w:t>
            </w:r>
          </w:p>
        </w:tc>
      </w:tr>
      <w:tr>
        <w:trPr>
          <w:trHeight w:val="216"/>
        </w:trPr>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13.4</w:t>
            </w:r>
          </w:p>
        </w:tc>
      </w:tr>
      <w:tr>
        <w:trPr>
          <w:trHeight w:val="216"/>
        </w:trPr>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17.2</w:t>
            </w:r>
          </w:p>
        </w:tc>
      </w:tr>
      <w:tr>
        <w:trPr>
          <w:trHeight w:val="237"/>
        </w:trPr>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r>
      <w:tr>
        <w:trPr>
          <w:trHeight w:val="230"/>
        </w:trPr>
        <w:tc>
          <w:tcPr>
            <w:tcW w:w="1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2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0" w:type="dxa"/>
            <w:vAlign w:val="bottom"/>
          </w:tcPr>
          <w:p>
            <w:pPr>
              <w:spacing w:after="0"/>
              <w:rPr>
                <w:sz w:val="20"/>
                <w:szCs w:val="20"/>
                <w:color w:val="auto"/>
              </w:rPr>
            </w:pPr>
          </w:p>
        </w:tc>
      </w:tr>
      <w:tr>
        <w:trPr>
          <w:trHeight w:val="404"/>
        </w:trPr>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r>
      <w:tr>
        <w:trPr>
          <w:trHeight w:val="216"/>
        </w:trPr>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23.7</w:t>
            </w:r>
          </w:p>
        </w:tc>
      </w:tr>
      <w:tr>
        <w:trPr>
          <w:trHeight w:val="216"/>
        </w:trPr>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31.5</w:t>
            </w:r>
          </w:p>
        </w:tc>
      </w:tr>
      <w:tr>
        <w:trPr>
          <w:trHeight w:val="237"/>
        </w:trPr>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20"/>
                <w:szCs w:val="20"/>
                <w:color w:val="auto"/>
              </w:rPr>
            </w:pPr>
          </w:p>
        </w:tc>
      </w:tr>
      <w:tr>
        <w:trPr>
          <w:trHeight w:val="432"/>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151.0</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164.0</w:t>
            </w:r>
          </w:p>
        </w:tc>
      </w:tr>
      <w:tr>
        <w:trPr>
          <w:trHeight w:val="21"/>
        </w:trPr>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-1731645</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-1440180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-1148715</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-874395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-599440</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-307975</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0</wp:posOffset>
            </wp:positionV>
            <wp:extent cx="7246620"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478" w:lineRule="exact"/>
        <w:rPr>
          <w:sz w:val="20"/>
          <w:szCs w:val="20"/>
          <w:color w:val="auto"/>
        </w:rPr>
      </w:pPr>
    </w:p>
    <w:p>
      <w:pPr>
        <w:sectPr>
          <w:pgSz w:w="11900" w:h="16838" w:orient="portrait"/>
          <w:cols w:equalWidth="0" w:num="2">
            <w:col w:w="2840" w:space="720"/>
            <w:col w:w="7860"/>
          </w:cols>
          <w:pgMar w:left="240" w:top="360" w:right="239" w:bottom="1440"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3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Accounts payable and accrued liabilities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7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ind w:left="80"/>
              <w:spacing w:after="0"/>
              <w:rPr>
                <w:sz w:val="20"/>
                <w:szCs w:val="20"/>
                <w:color w:val="auto"/>
              </w:rPr>
            </w:pPr>
            <w:r>
              <w:rPr>
                <w:rFonts w:ascii="Arial" w:cs="Arial" w:eastAsia="Arial" w:hAnsi="Arial"/>
                <w:sz w:val="18"/>
                <w:szCs w:val="18"/>
                <w:color w:val="auto"/>
              </w:rPr>
              <w:t>Income taxes</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5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60" w:type="dxa"/>
            <w:vAlign w:val="bottom"/>
          </w:tcPr>
          <w:p>
            <w:pPr>
              <w:spacing w:after="0"/>
              <w:rPr>
                <w:sz w:val="20"/>
                <w:szCs w:val="20"/>
                <w:color w:val="auto"/>
              </w:rPr>
            </w:pPr>
            <w:r>
              <w:rPr>
                <w:rFonts w:ascii="Arial" w:cs="Arial" w:eastAsia="Arial" w:hAnsi="Arial"/>
                <w:sz w:val="18"/>
                <w:szCs w:val="18"/>
                <w:color w:val="auto"/>
              </w:rPr>
              <w:t>Stockholders' equity</w:t>
            </w: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136.6</w:t>
            </w:r>
          </w:p>
        </w:tc>
        <w:tc>
          <w:tcPr>
            <w:tcW w:w="2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60" w:type="dxa"/>
            <w:vAlign w:val="bottom"/>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164.0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w:t>
      </w:r>
    </w:p>
    <w:p>
      <w:pPr>
        <w:sectPr>
          <w:pgSz w:w="11900" w:h="16838" w:orient="portrait"/>
          <w:cols w:equalWidth="0" w:num="1">
            <w:col w:w="11420"/>
          </w:cols>
          <w:pgMar w:left="240" w:top="360" w:right="239" w:bottom="1440" w:gutter="0" w:footer="0" w:header="0"/>
          <w:type w:val="continuous"/>
        </w:sectPr>
      </w:pPr>
    </w:p>
    <w:bookmarkStart w:id="8" w:name="page9"/>
    <w:bookmarkEnd w:id="8"/>
    <w:p>
      <w:pPr>
        <w:spacing w:after="0" w:line="27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145796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57960" cy="41148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0"/>
          <w:szCs w:val="30"/>
          <w:b w:val="1"/>
          <w:bCs w:val="1"/>
          <w:color w:val="auto"/>
        </w:rPr>
        <w:t>PRESS RELEASE</w:t>
      </w:r>
    </w:p>
    <w:p>
      <w:pPr>
        <w:sectPr>
          <w:pgSz w:w="11900" w:h="16838" w:orient="portrait"/>
          <w:cols w:equalWidth="0" w:num="1">
            <w:col w:w="11420"/>
          </w:cols>
          <w:pgMar w:left="240" w:top="14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00"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CompX International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Three Lincoln Centre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5430 LBJ Freeway, Suite 1700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Janet G. Keckeisen</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Tel. 972-233-1700</w:t>
      </w:r>
    </w:p>
    <w:p>
      <w:pPr>
        <w:spacing w:after="0" w:line="439" w:lineRule="exact"/>
        <w:rPr>
          <w:sz w:val="20"/>
          <w:szCs w:val="20"/>
          <w:color w:val="auto"/>
        </w:rPr>
      </w:pPr>
    </w:p>
    <w:p>
      <w:pPr>
        <w:sectPr>
          <w:pgSz w:w="11900" w:h="16838" w:orient="portrait"/>
          <w:cols w:equalWidth="0" w:num="2">
            <w:col w:w="6160" w:space="720"/>
            <w:col w:w="4540"/>
          </w:cols>
          <w:pgMar w:left="240" w:top="1440" w:right="239" w:bottom="1440" w:gutter="0" w:footer="0" w:header="0"/>
          <w:type w:val="continuous"/>
        </w:sect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COMPX DECLARES REGULAR QUARTERLY DIVIDEND</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DALLAS, TEXAS . . . October 31, 2018 . . . CompX International Inc. (NYSE American: CIX) announced today that its board of directors has declared CompX's regular quarterly dividend of five cents ($0.05) per share on its class A common stock, payable on December 11, 2018 to stockholders of record at the close of business on December 4, 2018.</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CompX is a leading manufacturer of security products and recreational marine components.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 *</w:t>
      </w:r>
    </w:p>
    <w:sectPr>
      <w:pgSz w:w="11900" w:h="16838" w:orient="portrait"/>
      <w:cols w:equalWidth="0" w:num="1">
        <w:col w:w="11420"/>
      </w:cols>
      <w:pgMar w:left="240" w:top="144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4"/>
    </w:lvl>
  </w:abstractNum>
  <w:abstractNum w:abstractNumId="1">
    <w:nsid w:val="66334873"/>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2019-12-28T18:31:48Z</dcterms:created>
  <dcterms:modified xsi:type="dcterms:W3CDTF">2019-12-28T18:31:48Z</dcterms:modified>
</cp:coreProperties>
</file>