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207645</wp:posOffset>
            </wp:positionH>
            <wp:positionV relativeFrom="page">
              <wp:posOffset>216535</wp:posOffset>
            </wp:positionV>
            <wp:extent cx="71964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9645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156845</wp:posOffset>
            </wp:positionV>
            <wp:extent cx="719645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96455" cy="17145"/>
                    </a:xfrm>
                    <a:prstGeom prst="rect">
                      <a:avLst/>
                    </a:prstGeom>
                    <a:noFill/>
                  </pic:spPr>
                </pic:pic>
              </a:graphicData>
            </a:graphic>
          </wp:anchor>
        </w:drawing>
        <w:t>UNITED STATES</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2858135</wp:posOffset>
            </wp:positionH>
            <wp:positionV relativeFrom="paragraph">
              <wp:posOffset>109220</wp:posOffset>
            </wp:positionV>
            <wp:extent cx="1426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8255"/>
                    </a:xfrm>
                    <a:prstGeom prst="rect">
                      <a:avLst/>
                    </a:prstGeom>
                    <a:noFill/>
                  </pic:spPr>
                </pic:pic>
              </a:graphicData>
            </a:graphic>
          </wp:anchor>
        </w:drawing>
      </w:r>
    </w:p>
    <w:p>
      <w:pPr>
        <w:spacing w:after="0" w:line="24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2858135</wp:posOffset>
            </wp:positionH>
            <wp:positionV relativeFrom="paragraph">
              <wp:posOffset>112395</wp:posOffset>
            </wp:positionV>
            <wp:extent cx="14268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8255"/>
                    </a:xfrm>
                    <a:prstGeom prst="rect">
                      <a:avLst/>
                    </a:prstGeom>
                    <a:noFill/>
                  </pic:spPr>
                </pic:pic>
              </a:graphicData>
            </a:graphic>
          </wp:anchor>
        </w:drawing>
      </w:r>
    </w:p>
    <w:p>
      <w:pPr>
        <w:spacing w:after="0" w:line="367" w:lineRule="exact"/>
        <w:rPr>
          <w:sz w:val="24"/>
          <w:szCs w:val="24"/>
          <w:color w:val="auto"/>
        </w:rPr>
      </w:pPr>
    </w:p>
    <w:p>
      <w:pPr>
        <w:ind w:left="1500" w:right="240"/>
        <w:spacing w:after="0" w:line="236"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20"/>
          <w:szCs w:val="20"/>
          <w:color w:val="auto"/>
        </w:rPr>
        <w:t xml:space="preserve"> QUARTERLY REPORT PURSUANT TO SECTION 13 OR 15(d) OF THE SECURITIES EXCHANGE ACT OF 1934</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2020</w:t>
      </w:r>
    </w:p>
    <w:p>
      <w:pPr>
        <w:spacing w:after="0" w:line="216" w:lineRule="exact"/>
        <w:rPr>
          <w:sz w:val="24"/>
          <w:szCs w:val="24"/>
          <w:color w:val="auto"/>
        </w:rPr>
      </w:pPr>
    </w:p>
    <w:p>
      <w:pPr>
        <w:ind w:left="1860" w:hanging="369"/>
        <w:spacing w:after="0"/>
        <w:tabs>
          <w:tab w:leader="none" w:pos="1860" w:val="left"/>
        </w:tabs>
        <w:numPr>
          <w:ilvl w:val="0"/>
          <w:numId w:val="1"/>
        </w:numPr>
        <w:rPr>
          <w:rFonts w:ascii="MS PGothic" w:cs="MS PGothic" w:eastAsia="MS PGothic" w:hAnsi="MS PGothic"/>
          <w:sz w:val="16"/>
          <w:szCs w:val="16"/>
          <w:color w:val="auto"/>
        </w:rPr>
      </w:pPr>
      <w:r>
        <w:rPr>
          <w:rFonts w:ascii="Arial" w:cs="Arial" w:eastAsia="Arial" w:hAnsi="Arial"/>
          <w:sz w:val="20"/>
          <w:szCs w:val="20"/>
          <w:color w:val="auto"/>
        </w:rPr>
        <w:t>TRANSITION REPORT PURSUANT TO SECTION 13 OR 15(d) OF THE SECURITIES</w:t>
      </w:r>
    </w:p>
    <w:p>
      <w:pPr>
        <w:spacing w:after="0" w:line="13" w:lineRule="exact"/>
        <w:rPr>
          <w:sz w:val="24"/>
          <w:szCs w:val="24"/>
          <w:color w:val="auto"/>
        </w:rPr>
      </w:pPr>
    </w:p>
    <w:p>
      <w:pPr>
        <w:ind w:left="1880"/>
        <w:spacing w:after="0"/>
        <w:rPr>
          <w:sz w:val="20"/>
          <w:szCs w:val="20"/>
          <w:color w:val="auto"/>
        </w:rPr>
      </w:pPr>
      <w:r>
        <w:rPr>
          <w:rFonts w:ascii="Arial" w:cs="Arial" w:eastAsia="Arial" w:hAnsi="Arial"/>
          <w:sz w:val="20"/>
          <w:szCs w:val="20"/>
          <w:color w:val="auto"/>
        </w:rPr>
        <w:t>EXCHANGE ACT OF 1934</w:t>
      </w:r>
    </w:p>
    <w:tbl>
      <w:tblPr>
        <w:tblLayout w:type="fixed"/>
        <w:tblInd w:w="1400" w:type="dxa"/>
        <w:tblCellMar>
          <w:top w:w="0" w:type="dxa"/>
          <w:left w:w="0" w:type="dxa"/>
          <w:bottom w:w="0" w:type="dxa"/>
          <w:right w:w="0" w:type="dxa"/>
        </w:tblCellMar>
      </w:tblPr>
      <w:tr>
        <w:trPr>
          <w:trHeight w:val="231"/>
        </w:trPr>
        <w:tc>
          <w:tcPr>
            <w:tcW w:w="6500" w:type="dxa"/>
            <w:vAlign w:val="bottom"/>
            <w:gridSpan w:val="3"/>
          </w:tcPr>
          <w:p>
            <w:pPr>
              <w:ind w:left="2240"/>
              <w:spacing w:after="0"/>
              <w:rPr>
                <w:sz w:val="20"/>
                <w:szCs w:val="20"/>
                <w:color w:val="auto"/>
              </w:rPr>
            </w:pPr>
            <w:r>
              <w:rPr>
                <w:rFonts w:ascii="Arial" w:cs="Arial" w:eastAsia="Arial" w:hAnsi="Arial"/>
                <w:sz w:val="18"/>
                <w:szCs w:val="18"/>
                <w:b w:val="1"/>
                <w:bCs w:val="1"/>
                <w:color w:val="auto"/>
                <w:w w:val="91"/>
              </w:rPr>
              <w:t>For the transition period from _________ to _________</w:t>
            </w:r>
          </w:p>
        </w:tc>
        <w:tc>
          <w:tcPr>
            <w:tcW w:w="1120" w:type="dxa"/>
            <w:vAlign w:val="bottom"/>
          </w:tcPr>
          <w:p>
            <w:pPr>
              <w:spacing w:after="0"/>
              <w:rPr>
                <w:sz w:val="20"/>
                <w:szCs w:val="20"/>
                <w:color w:val="auto"/>
              </w:rPr>
            </w:pPr>
          </w:p>
        </w:tc>
      </w:tr>
      <w:tr>
        <w:trPr>
          <w:trHeight w:val="408"/>
        </w:trPr>
        <w:tc>
          <w:tcPr>
            <w:tcW w:w="6500" w:type="dxa"/>
            <w:vAlign w:val="bottom"/>
            <w:gridSpan w:val="3"/>
          </w:tcPr>
          <w:p>
            <w:pPr>
              <w:jc w:val="center"/>
              <w:ind w:left="1849"/>
              <w:spacing w:after="0"/>
              <w:rPr>
                <w:sz w:val="20"/>
                <w:szCs w:val="20"/>
                <w:color w:val="auto"/>
              </w:rPr>
            </w:pPr>
            <w:r>
              <w:rPr>
                <w:rFonts w:ascii="Arial" w:cs="Arial" w:eastAsia="Arial" w:hAnsi="Arial"/>
                <w:sz w:val="18"/>
                <w:szCs w:val="18"/>
                <w:b w:val="1"/>
                <w:bCs w:val="1"/>
                <w:color w:val="auto"/>
                <w:w w:val="89"/>
              </w:rPr>
              <w:t>Commission file number 1-13905</w:t>
            </w:r>
          </w:p>
        </w:tc>
        <w:tc>
          <w:tcPr>
            <w:tcW w:w="1120" w:type="dxa"/>
            <w:vAlign w:val="bottom"/>
          </w:tcPr>
          <w:p>
            <w:pPr>
              <w:spacing w:after="0"/>
              <w:rPr>
                <w:sz w:val="24"/>
                <w:szCs w:val="24"/>
                <w:color w:val="auto"/>
              </w:rPr>
            </w:pPr>
          </w:p>
        </w:tc>
      </w:tr>
      <w:tr>
        <w:trPr>
          <w:trHeight w:val="162"/>
        </w:trPr>
        <w:tc>
          <w:tcPr>
            <w:tcW w:w="3100" w:type="dxa"/>
            <w:vAlign w:val="bottom"/>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2280" w:type="dxa"/>
            <w:vAlign w:val="bottom"/>
            <w:gridSpan w:val="2"/>
          </w:tcPr>
          <w:p>
            <w:pPr>
              <w:spacing w:after="0"/>
              <w:rPr>
                <w:sz w:val="14"/>
                <w:szCs w:val="14"/>
                <w:color w:val="auto"/>
              </w:rPr>
            </w:pPr>
          </w:p>
        </w:tc>
      </w:tr>
      <w:tr>
        <w:trPr>
          <w:trHeight w:val="447"/>
        </w:trPr>
        <w:tc>
          <w:tcPr>
            <w:tcW w:w="7620" w:type="dxa"/>
            <w:vAlign w:val="bottom"/>
            <w:gridSpan w:val="4"/>
          </w:tcPr>
          <w:p>
            <w:pPr>
              <w:jc w:val="center"/>
              <w:ind w:left="729"/>
              <w:spacing w:after="0"/>
              <w:rPr>
                <w:sz w:val="20"/>
                <w:szCs w:val="20"/>
                <w:color w:val="auto"/>
              </w:rPr>
            </w:pPr>
            <w:r>
              <w:rPr>
                <w:rFonts w:ascii="Arial" w:cs="Arial" w:eastAsia="Arial" w:hAnsi="Arial"/>
                <w:sz w:val="32"/>
                <w:szCs w:val="32"/>
                <w:b w:val="1"/>
                <w:bCs w:val="1"/>
                <w:color w:val="auto"/>
              </w:rPr>
              <w:t>COMPX INTERNATIONAL INC.</w:t>
            </w:r>
          </w:p>
        </w:tc>
      </w:tr>
      <w:tr>
        <w:trPr>
          <w:trHeight w:val="227"/>
        </w:trPr>
        <w:tc>
          <w:tcPr>
            <w:tcW w:w="6500" w:type="dxa"/>
            <w:vAlign w:val="bottom"/>
            <w:gridSpan w:val="3"/>
          </w:tcPr>
          <w:p>
            <w:pPr>
              <w:jc w:val="center"/>
              <w:ind w:left="1869"/>
              <w:spacing w:after="0"/>
              <w:rPr>
                <w:sz w:val="20"/>
                <w:szCs w:val="20"/>
                <w:color w:val="auto"/>
              </w:rPr>
            </w:pPr>
            <w:r>
              <w:rPr>
                <w:rFonts w:ascii="Arial" w:cs="Arial" w:eastAsia="Arial" w:hAnsi="Arial"/>
                <w:sz w:val="18"/>
                <w:szCs w:val="18"/>
                <w:color w:val="auto"/>
                <w:w w:val="89"/>
              </w:rPr>
              <w:t>(Exact name of Registrant as specified in its charter)</w:t>
            </w:r>
          </w:p>
        </w:tc>
        <w:tc>
          <w:tcPr>
            <w:tcW w:w="1120" w:type="dxa"/>
            <w:vAlign w:val="bottom"/>
          </w:tcPr>
          <w:p>
            <w:pPr>
              <w:spacing w:after="0"/>
              <w:rPr>
                <w:sz w:val="19"/>
                <w:szCs w:val="19"/>
                <w:color w:val="auto"/>
              </w:rPr>
            </w:pPr>
          </w:p>
        </w:tc>
      </w:tr>
      <w:tr>
        <w:trPr>
          <w:trHeight w:val="344"/>
        </w:trPr>
        <w:tc>
          <w:tcPr>
            <w:tcW w:w="6500" w:type="dxa"/>
            <w:vAlign w:val="bottom"/>
            <w:gridSpan w:val="3"/>
          </w:tcPr>
          <w:p>
            <w:pPr>
              <w:jc w:val="center"/>
              <w:ind w:right="3780"/>
              <w:spacing w:after="0"/>
              <w:rPr>
                <w:sz w:val="20"/>
                <w:szCs w:val="20"/>
                <w:color w:val="auto"/>
              </w:rPr>
            </w:pPr>
            <w:r>
              <w:rPr>
                <w:rFonts w:ascii="Arial" w:cs="Arial" w:eastAsia="Arial" w:hAnsi="Arial"/>
                <w:sz w:val="18"/>
                <w:szCs w:val="18"/>
                <w:b w:val="1"/>
                <w:bCs w:val="1"/>
                <w:color w:val="auto"/>
                <w:w w:val="91"/>
              </w:rPr>
              <w:t>Delaware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57-0981653</w:t>
            </w:r>
          </w:p>
        </w:tc>
      </w:tr>
      <w:tr>
        <w:trPr>
          <w:trHeight w:val="147"/>
        </w:trPr>
        <w:tc>
          <w:tcPr>
            <w:tcW w:w="6500" w:type="dxa"/>
            <w:vAlign w:val="bottom"/>
            <w:gridSpan w:val="3"/>
          </w:tcPr>
          <w:p>
            <w:pPr>
              <w:jc w:val="center"/>
              <w:ind w:right="3780"/>
              <w:spacing w:after="0" w:line="147" w:lineRule="exact"/>
              <w:rPr>
                <w:sz w:val="20"/>
                <w:szCs w:val="20"/>
                <w:color w:val="auto"/>
              </w:rPr>
            </w:pPr>
            <w:r>
              <w:rPr>
                <w:rFonts w:ascii="Arial" w:cs="Arial" w:eastAsia="Arial" w:hAnsi="Arial"/>
                <w:sz w:val="14"/>
                <w:szCs w:val="14"/>
                <w:color w:val="auto"/>
                <w:w w:val="93"/>
              </w:rPr>
              <w:t>(State or other jurisdiction of</w:t>
            </w:r>
          </w:p>
        </w:tc>
        <w:tc>
          <w:tcPr>
            <w:tcW w:w="1120" w:type="dxa"/>
            <w:vAlign w:val="bottom"/>
          </w:tcPr>
          <w:p>
            <w:pPr>
              <w:jc w:val="center"/>
              <w:spacing w:after="0" w:line="147" w:lineRule="exact"/>
              <w:rPr>
                <w:sz w:val="20"/>
                <w:szCs w:val="20"/>
                <w:color w:val="auto"/>
              </w:rPr>
            </w:pPr>
            <w:r>
              <w:rPr>
                <w:rFonts w:ascii="Arial" w:cs="Arial" w:eastAsia="Arial" w:hAnsi="Arial"/>
                <w:sz w:val="14"/>
                <w:szCs w:val="14"/>
                <w:color w:val="auto"/>
                <w:w w:val="94"/>
              </w:rPr>
              <w:t>(IRS Employer</w:t>
            </w:r>
          </w:p>
        </w:tc>
      </w:tr>
      <w:tr>
        <w:trPr>
          <w:trHeight w:val="181"/>
        </w:trPr>
        <w:tc>
          <w:tcPr>
            <w:tcW w:w="6500" w:type="dxa"/>
            <w:vAlign w:val="bottom"/>
            <w:gridSpan w:val="3"/>
          </w:tcPr>
          <w:p>
            <w:pPr>
              <w:jc w:val="center"/>
              <w:ind w:right="3780"/>
              <w:spacing w:after="0"/>
              <w:rPr>
                <w:sz w:val="20"/>
                <w:szCs w:val="20"/>
                <w:color w:val="auto"/>
              </w:rPr>
            </w:pPr>
            <w:r>
              <w:rPr>
                <w:rFonts w:ascii="Arial" w:cs="Arial" w:eastAsia="Arial" w:hAnsi="Arial"/>
                <w:sz w:val="14"/>
                <w:szCs w:val="14"/>
                <w:color w:val="auto"/>
                <w:w w:val="94"/>
              </w:rPr>
              <w:t>Incorporation or organization)</w:t>
            </w:r>
          </w:p>
        </w:tc>
        <w:tc>
          <w:tcPr>
            <w:tcW w:w="1120" w:type="dxa"/>
            <w:vAlign w:val="bottom"/>
          </w:tcPr>
          <w:p>
            <w:pPr>
              <w:jc w:val="center"/>
              <w:spacing w:after="0"/>
              <w:rPr>
                <w:sz w:val="20"/>
                <w:szCs w:val="20"/>
                <w:color w:val="auto"/>
              </w:rPr>
            </w:pPr>
            <w:r>
              <w:rPr>
                <w:rFonts w:ascii="Arial" w:cs="Arial" w:eastAsia="Arial" w:hAnsi="Arial"/>
                <w:sz w:val="14"/>
                <w:szCs w:val="14"/>
                <w:color w:val="auto"/>
                <w:w w:val="97"/>
              </w:rPr>
              <w:t>Identification No.)</w:t>
            </w:r>
          </w:p>
        </w:tc>
      </w:tr>
      <w:tr>
        <w:trPr>
          <w:trHeight w:val="434"/>
        </w:trPr>
        <w:tc>
          <w:tcPr>
            <w:tcW w:w="6500" w:type="dxa"/>
            <w:vAlign w:val="bottom"/>
            <w:gridSpan w:val="3"/>
          </w:tcPr>
          <w:p>
            <w:pPr>
              <w:jc w:val="center"/>
              <w:ind w:right="3780"/>
              <w:spacing w:after="0"/>
              <w:rPr>
                <w:sz w:val="20"/>
                <w:szCs w:val="20"/>
                <w:color w:val="auto"/>
              </w:rPr>
            </w:pPr>
            <w:r>
              <w:rPr>
                <w:rFonts w:ascii="Arial" w:cs="Arial" w:eastAsia="Arial" w:hAnsi="Arial"/>
                <w:sz w:val="18"/>
                <w:szCs w:val="18"/>
                <w:b w:val="1"/>
                <w:bCs w:val="1"/>
                <w:color w:val="auto"/>
                <w:w w:val="89"/>
              </w:rPr>
              <w:t>5430 LBJ Freeway, Suite 1700,</w:t>
            </w:r>
          </w:p>
        </w:tc>
        <w:tc>
          <w:tcPr>
            <w:tcW w:w="1120" w:type="dxa"/>
            <w:vAlign w:val="bottom"/>
          </w:tcPr>
          <w:p>
            <w:pPr>
              <w:spacing w:after="0"/>
              <w:rPr>
                <w:sz w:val="24"/>
                <w:szCs w:val="24"/>
                <w:color w:val="auto"/>
              </w:rPr>
            </w:pPr>
          </w:p>
        </w:tc>
      </w:tr>
      <w:tr>
        <w:trPr>
          <w:trHeight w:val="227"/>
        </w:trPr>
        <w:tc>
          <w:tcPr>
            <w:tcW w:w="6500" w:type="dxa"/>
            <w:vAlign w:val="bottom"/>
            <w:gridSpan w:val="3"/>
          </w:tcPr>
          <w:p>
            <w:pPr>
              <w:jc w:val="center"/>
              <w:ind w:right="3780"/>
              <w:spacing w:after="0"/>
              <w:rPr>
                <w:sz w:val="20"/>
                <w:szCs w:val="20"/>
                <w:color w:val="auto"/>
              </w:rPr>
            </w:pPr>
            <w:r>
              <w:rPr>
                <w:rFonts w:ascii="Arial" w:cs="Arial" w:eastAsia="Arial" w:hAnsi="Arial"/>
                <w:sz w:val="18"/>
                <w:szCs w:val="18"/>
                <w:b w:val="1"/>
                <w:bCs w:val="1"/>
                <w:color w:val="auto"/>
                <w:w w:val="89"/>
              </w:rPr>
              <w:t>Three Lincoln Centre, Dallas, Texas</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75240-2620</w:t>
            </w:r>
          </w:p>
        </w:tc>
      </w:tr>
      <w:tr>
        <w:trPr>
          <w:trHeight w:val="181"/>
        </w:trPr>
        <w:tc>
          <w:tcPr>
            <w:tcW w:w="6500" w:type="dxa"/>
            <w:vAlign w:val="bottom"/>
            <w:gridSpan w:val="3"/>
          </w:tcPr>
          <w:p>
            <w:pPr>
              <w:jc w:val="center"/>
              <w:ind w:right="3760"/>
              <w:spacing w:after="0"/>
              <w:rPr>
                <w:sz w:val="20"/>
                <w:szCs w:val="20"/>
                <w:color w:val="auto"/>
              </w:rPr>
            </w:pPr>
            <w:r>
              <w:rPr>
                <w:rFonts w:ascii="Arial" w:cs="Arial" w:eastAsia="Arial" w:hAnsi="Arial"/>
                <w:sz w:val="14"/>
                <w:szCs w:val="14"/>
                <w:color w:val="auto"/>
                <w:w w:val="94"/>
              </w:rPr>
              <w:t>(Address of principal executive offices)</w:t>
            </w: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(Zip Code)</w:t>
            </w:r>
          </w:p>
        </w:tc>
      </w:tr>
    </w:tbl>
    <w:p>
      <w:pPr>
        <w:spacing w:after="0" w:line="180"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(972) 448-1400</w:t>
      </w:r>
    </w:p>
    <w:p>
      <w:pPr>
        <w:spacing w:after="0" w:line="96"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7"/>
              </w:rPr>
              <w:t>Title of each class</w:t>
            </w: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5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0"/>
        </w:trPr>
        <w:tc>
          <w:tcPr>
            <w:tcW w:w="4400" w:type="dxa"/>
            <w:vAlign w:val="bottom"/>
            <w:gridSpan w:val="2"/>
            <w:vMerge w:val="continue"/>
          </w:tcPr>
          <w:p>
            <w:pPr>
              <w:spacing w:after="0"/>
              <w:rPr>
                <w:sz w:val="14"/>
                <w:szCs w:val="14"/>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5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0"/>
              </w:rPr>
              <w:t>Class A common stock</w:t>
            </w:r>
          </w:p>
        </w:tc>
        <w:tc>
          <w:tcPr>
            <w:tcW w:w="120" w:type="dxa"/>
            <w:vAlign w:val="bottom"/>
          </w:tcPr>
          <w:p>
            <w:pPr>
              <w:spacing w:after="0"/>
              <w:rPr>
                <w:sz w:val="17"/>
                <w:szCs w:val="17"/>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CIX</w:t>
            </w:r>
          </w:p>
        </w:tc>
        <w:tc>
          <w:tcPr>
            <w:tcW w:w="100" w:type="dxa"/>
            <w:vAlign w:val="bottom"/>
          </w:tcPr>
          <w:p>
            <w:pPr>
              <w:spacing w:after="0"/>
              <w:rPr>
                <w:sz w:val="17"/>
                <w:szCs w:val="17"/>
                <w:color w:val="auto"/>
              </w:rPr>
            </w:pPr>
          </w:p>
        </w:tc>
        <w:tc>
          <w:tcPr>
            <w:tcW w:w="50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5"/>
              </w:rPr>
              <w:t>NYSE American</w:t>
            </w:r>
          </w:p>
        </w:tc>
        <w:tc>
          <w:tcPr>
            <w:tcW w:w="0" w:type="dxa"/>
            <w:vAlign w:val="bottom"/>
          </w:tcPr>
          <w:p>
            <w:pPr>
              <w:spacing w:after="0"/>
              <w:rPr>
                <w:sz w:val="1"/>
                <w:szCs w:val="1"/>
                <w:color w:val="auto"/>
              </w:rPr>
            </w:pPr>
          </w:p>
        </w:tc>
      </w:tr>
    </w:tbl>
    <w:p>
      <w:pPr>
        <w:spacing w:after="0" w:line="196" w:lineRule="exact"/>
        <w:rPr>
          <w:sz w:val="24"/>
          <w:szCs w:val="24"/>
          <w:color w:val="auto"/>
        </w:rPr>
      </w:pPr>
    </w:p>
    <w:p>
      <w:pPr>
        <w:jc w:val="both"/>
        <w:spacing w:after="0" w:line="214" w:lineRule="exact"/>
        <w:rPr>
          <w:sz w:val="20"/>
          <w:szCs w:val="20"/>
          <w:color w:val="auto"/>
        </w:rPr>
      </w:pPr>
      <w:r>
        <w:rPr>
          <w:rFonts w:ascii="Arial" w:cs="Arial" w:eastAsia="Arial" w:hAnsi="Arial"/>
          <w:sz w:val="16"/>
          <w:szCs w:val="16"/>
          <w:b w:val="1"/>
          <w:bCs w:val="1"/>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No </w:t>
      </w:r>
      <w:r>
        <w:rPr>
          <w:rFonts w:ascii="MS PGothic" w:cs="MS PGothic" w:eastAsia="MS PGothic" w:hAnsi="MS PGothic"/>
          <w:sz w:val="16"/>
          <w:szCs w:val="16"/>
          <w:color w:val="auto"/>
        </w:rPr>
        <w:t>☐</w:t>
      </w:r>
    </w:p>
    <w:p>
      <w:pPr>
        <w:spacing w:after="0" w:line="189" w:lineRule="exact"/>
        <w:rPr>
          <w:sz w:val="24"/>
          <w:szCs w:val="24"/>
          <w:color w:val="auto"/>
        </w:rPr>
      </w:pPr>
    </w:p>
    <w:p>
      <w:pPr>
        <w:jc w:val="both"/>
        <w:spacing w:after="0" w:line="214" w:lineRule="exact"/>
        <w:rPr>
          <w:sz w:val="20"/>
          <w:szCs w:val="20"/>
          <w:color w:val="auto"/>
        </w:rPr>
      </w:pPr>
      <w:r>
        <w:rPr>
          <w:rFonts w:ascii="Arial" w:cs="Arial" w:eastAsia="Arial" w:hAnsi="Arial"/>
          <w:sz w:val="15"/>
          <w:szCs w:val="15"/>
          <w:b w:val="1"/>
          <w:bCs w:val="1"/>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b w:val="1"/>
          <w:bCs w:val="1"/>
          <w:color w:val="auto"/>
        </w:rPr>
        <w:t xml:space="preserve"> No </w:t>
      </w:r>
      <w:r>
        <w:rPr>
          <w:rFonts w:ascii="MS PGothic" w:cs="MS PGothic" w:eastAsia="MS PGothic" w:hAnsi="MS PGothic"/>
          <w:sz w:val="15"/>
          <w:szCs w:val="15"/>
          <w:color w:val="auto"/>
        </w:rPr>
        <w:t>☐</w:t>
      </w:r>
    </w:p>
    <w:p>
      <w:pPr>
        <w:spacing w:after="0" w:line="188" w:lineRule="exact"/>
        <w:rPr>
          <w:sz w:val="24"/>
          <w:szCs w:val="24"/>
          <w:color w:val="auto"/>
        </w:rPr>
      </w:pPr>
    </w:p>
    <w:p>
      <w:pPr>
        <w:jc w:val="both"/>
        <w:spacing w:after="0" w:line="277" w:lineRule="auto"/>
        <w:rPr>
          <w:sz w:val="20"/>
          <w:szCs w:val="20"/>
          <w:color w:val="auto"/>
        </w:rPr>
      </w:pPr>
      <w:r>
        <w:rPr>
          <w:rFonts w:ascii="Arial" w:cs="Arial" w:eastAsia="Arial" w:hAnsi="Arial"/>
          <w:sz w:val="16"/>
          <w:szCs w:val="16"/>
          <w:b w:val="1"/>
          <w:bCs w:val="1"/>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153" w:lineRule="exact"/>
        <w:rPr>
          <w:sz w:val="24"/>
          <w:szCs w:val="24"/>
          <w:color w:val="auto"/>
        </w:rPr>
      </w:pPr>
    </w:p>
    <w:p>
      <w:pPr>
        <w:spacing w:after="0" w:line="184" w:lineRule="exact"/>
        <w:tabs>
          <w:tab w:leader="none" w:pos="1860" w:val="left"/>
          <w:tab w:leader="none" w:pos="3340" w:val="left"/>
        </w:tabs>
        <w:rPr>
          <w:sz w:val="20"/>
          <w:szCs w:val="20"/>
          <w:color w:val="auto"/>
        </w:rPr>
      </w:pPr>
      <w:r>
        <w:rPr>
          <w:rFonts w:ascii="Arial" w:cs="Arial" w:eastAsia="Arial" w:hAnsi="Arial"/>
          <w:sz w:val="16"/>
          <w:szCs w:val="16"/>
          <w:b w:val="1"/>
          <w:bCs w:val="1"/>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b w:val="1"/>
          <w:bCs w:val="1"/>
          <w:color w:val="auto"/>
        </w:rPr>
        <w:tab/>
        <w:t xml:space="preserve">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b w:val="1"/>
          <w:bCs w:val="1"/>
          <w:color w:val="auto"/>
        </w:rPr>
        <w:t xml:space="preserve">Non-accelerated filer </w:t>
      </w: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Smaller reporting company </w:t>
      </w:r>
      <w:r>
        <w:rPr>
          <w:rFonts w:ascii="MS PGothic" w:cs="MS PGothic" w:eastAsia="MS PGothic" w:hAnsi="MS PGothic"/>
          <w:sz w:val="14"/>
          <w:szCs w:val="14"/>
          <w:color w:val="auto"/>
        </w:rPr>
        <w:t>☐</w:t>
      </w:r>
    </w:p>
    <w:p>
      <w:pPr>
        <w:spacing w:after="0" w:line="231" w:lineRule="exact"/>
        <w:rPr>
          <w:sz w:val="24"/>
          <w:szCs w:val="24"/>
          <w:color w:val="auto"/>
        </w:rPr>
      </w:pPr>
    </w:p>
    <w:p>
      <w:pPr>
        <w:spacing w:after="0" w:line="184" w:lineRule="exact"/>
        <w:rPr>
          <w:sz w:val="20"/>
          <w:szCs w:val="20"/>
          <w:color w:val="auto"/>
        </w:rPr>
      </w:pPr>
      <w:r>
        <w:rPr>
          <w:rFonts w:ascii="Arial" w:cs="Arial" w:eastAsia="Arial" w:hAnsi="Arial"/>
          <w:sz w:val="16"/>
          <w:szCs w:val="16"/>
          <w:b w:val="1"/>
          <w:bCs w:val="1"/>
          <w:color w:val="auto"/>
        </w:rPr>
        <w:t xml:space="preserve">Emerging growth company </w:t>
      </w:r>
      <w:r>
        <w:rPr>
          <w:rFonts w:ascii="MS PGothic" w:cs="MS PGothic" w:eastAsia="MS PGothic" w:hAnsi="MS PGothic"/>
          <w:sz w:val="16"/>
          <w:szCs w:val="16"/>
          <w:color w:val="auto"/>
        </w:rPr>
        <w:t>☐</w:t>
      </w:r>
    </w:p>
    <w:p>
      <w:pPr>
        <w:spacing w:after="0" w:line="257" w:lineRule="exact"/>
        <w:rPr>
          <w:sz w:val="24"/>
          <w:szCs w:val="24"/>
          <w:color w:val="auto"/>
        </w:rPr>
      </w:pPr>
    </w:p>
    <w:p>
      <w:pPr>
        <w:jc w:val="both"/>
        <w:spacing w:after="0" w:line="214" w:lineRule="exact"/>
        <w:rPr>
          <w:sz w:val="20"/>
          <w:szCs w:val="20"/>
          <w:color w:val="auto"/>
        </w:rPr>
      </w:pPr>
      <w:r>
        <w:rPr>
          <w:rFonts w:ascii="Arial" w:cs="Arial" w:eastAsia="Arial" w:hAnsi="Arial"/>
          <w:sz w:val="16"/>
          <w:szCs w:val="16"/>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3" w:lineRule="exact"/>
        <w:rPr>
          <w:sz w:val="24"/>
          <w:szCs w:val="24"/>
          <w:color w:val="auto"/>
        </w:rPr>
      </w:pPr>
    </w:p>
    <w:p>
      <w:pPr>
        <w:spacing w:after="0" w:line="184" w:lineRule="exact"/>
        <w:tabs>
          <w:tab w:leader="none" w:pos="7860" w:val="left"/>
          <w:tab w:leader="none" w:pos="8480" w:val="left"/>
        </w:tabs>
        <w:rPr>
          <w:sz w:val="20"/>
          <w:szCs w:val="20"/>
          <w:color w:val="auto"/>
        </w:rPr>
      </w:pPr>
      <w:r>
        <w:rPr>
          <w:rFonts w:ascii="Arial" w:cs="Arial" w:eastAsia="Arial" w:hAnsi="Arial"/>
          <w:sz w:val="15"/>
          <w:szCs w:val="15"/>
          <w:b w:val="1"/>
          <w:bCs w:val="1"/>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rPr>
        <w:t>☐</w:t>
      </w:r>
      <w:r>
        <w:rPr>
          <w:rFonts w:ascii="Arial" w:cs="Arial" w:eastAsia="Arial" w:hAnsi="Arial"/>
          <w:sz w:val="16"/>
          <w:szCs w:val="16"/>
          <w:b w:val="1"/>
          <w:bCs w:val="1"/>
          <w:color w:val="auto"/>
        </w:rPr>
        <w:tab/>
        <w:t xml:space="preserve">No </w:t>
      </w:r>
      <w:r>
        <w:rPr>
          <w:rFonts w:ascii="MS PGothic" w:cs="MS PGothic" w:eastAsia="MS PGothic" w:hAnsi="MS PGothic"/>
          <w:sz w:val="16"/>
          <w:szCs w:val="16"/>
          <w:color w:val="auto"/>
        </w:rPr>
        <w:t>☒</w:t>
      </w:r>
      <w:r>
        <w:rPr>
          <w:rFonts w:ascii="Arial" w:cs="Arial" w:eastAsia="Arial" w:hAnsi="Arial"/>
          <w:sz w:val="16"/>
          <w:szCs w:val="16"/>
          <w:b w:val="1"/>
          <w:bCs w:val="1"/>
          <w:color w:val="auto"/>
        </w:rPr>
        <w:t>.</w:t>
      </w:r>
    </w:p>
    <w:p>
      <w:pPr>
        <w:spacing w:after="0" w:line="25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As of April 30, 2020, the registrant had 12,443,057 shares of Class A common stock, $.01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426720</wp:posOffset>
            </wp:positionV>
            <wp:extent cx="71964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964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375920</wp:posOffset>
            </wp:positionV>
            <wp:extent cx="71964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64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902335</wp:posOffset>
            </wp:positionV>
            <wp:extent cx="71507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1"/>
        </w:trPr>
        <w:tc>
          <w:tcPr>
            <w:tcW w:w="760" w:type="dxa"/>
            <w:vAlign w:val="bottom"/>
          </w:tcPr>
          <w:p>
            <w:pPr>
              <w:spacing w:after="0"/>
              <w:rPr>
                <w:sz w:val="20"/>
                <w:szCs w:val="20"/>
                <w:color w:val="auto"/>
              </w:rPr>
            </w:pPr>
          </w:p>
        </w:tc>
        <w:tc>
          <w:tcPr>
            <w:tcW w:w="9680" w:type="dxa"/>
            <w:vAlign w:val="bottom"/>
          </w:tcPr>
          <w:p>
            <w:pPr>
              <w:ind w:left="3540"/>
              <w:spacing w:after="0"/>
              <w:rPr>
                <w:sz w:val="20"/>
                <w:szCs w:val="20"/>
                <w:color w:val="auto"/>
              </w:rPr>
            </w:pPr>
            <w:r>
              <w:rPr>
                <w:rFonts w:ascii="Arial" w:cs="Arial" w:eastAsia="Arial" w:hAnsi="Arial"/>
                <w:sz w:val="18"/>
                <w:szCs w:val="18"/>
                <w:b w:val="1"/>
                <w:bCs w:val="1"/>
                <w:color w:val="auto"/>
              </w:rPr>
              <w:t>COMPX INTERNATIONAL INC.</w:t>
            </w:r>
          </w:p>
        </w:tc>
        <w:tc>
          <w:tcPr>
            <w:tcW w:w="800" w:type="dxa"/>
            <w:vAlign w:val="bottom"/>
          </w:tcPr>
          <w:p>
            <w:pPr>
              <w:spacing w:after="0"/>
              <w:rPr>
                <w:sz w:val="20"/>
                <w:szCs w:val="20"/>
                <w:color w:val="auto"/>
              </w:rPr>
            </w:pPr>
          </w:p>
        </w:tc>
      </w:tr>
      <w:tr>
        <w:trPr>
          <w:trHeight w:val="428"/>
        </w:trPr>
        <w:tc>
          <w:tcPr>
            <w:tcW w:w="760" w:type="dxa"/>
            <w:vAlign w:val="bottom"/>
          </w:tcPr>
          <w:p>
            <w:pPr>
              <w:spacing w:after="0"/>
              <w:rPr>
                <w:sz w:val="24"/>
                <w:szCs w:val="24"/>
                <w:color w:val="auto"/>
              </w:rPr>
            </w:pPr>
          </w:p>
        </w:tc>
        <w:tc>
          <w:tcPr>
            <w:tcW w:w="9680" w:type="dxa"/>
            <w:vAlign w:val="bottom"/>
          </w:tcPr>
          <w:p>
            <w:pPr>
              <w:ind w:left="4640"/>
              <w:spacing w:after="0"/>
              <w:rPr>
                <w:sz w:val="20"/>
                <w:szCs w:val="20"/>
                <w:color w:val="auto"/>
              </w:rPr>
            </w:pPr>
            <w:r>
              <w:rPr>
                <w:rFonts w:ascii="Arial" w:cs="Arial" w:eastAsia="Arial" w:hAnsi="Arial"/>
                <w:sz w:val="18"/>
                <w:szCs w:val="18"/>
                <w:b w:val="1"/>
                <w:bCs w:val="1"/>
                <w:color w:val="auto"/>
              </w:rPr>
              <w:t>Index</w:t>
            </w:r>
          </w:p>
        </w:tc>
        <w:tc>
          <w:tcPr>
            <w:tcW w:w="800" w:type="dxa"/>
            <w:vAlign w:val="bottom"/>
          </w:tcPr>
          <w:p>
            <w:pPr>
              <w:spacing w:after="0"/>
              <w:rPr>
                <w:sz w:val="24"/>
                <w:szCs w:val="24"/>
                <w:color w:val="auto"/>
              </w:rPr>
            </w:pPr>
          </w:p>
        </w:tc>
      </w:tr>
      <w:tr>
        <w:trPr>
          <w:trHeight w:val="443"/>
        </w:trPr>
        <w:tc>
          <w:tcPr>
            <w:tcW w:w="76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680" w:type="dxa"/>
            <w:vAlign w:val="bottom"/>
          </w:tcPr>
          <w:p>
            <w:pPr>
              <w:ind w:left="140"/>
              <w:spacing w:after="0"/>
              <w:rPr>
                <w:sz w:val="20"/>
                <w:szCs w:val="20"/>
                <w:color w:val="auto"/>
              </w:rPr>
            </w:pPr>
            <w:r>
              <w:rPr>
                <w:rFonts w:ascii="Arial" w:cs="Arial" w:eastAsia="Arial" w:hAnsi="Arial"/>
                <w:sz w:val="18"/>
                <w:szCs w:val="18"/>
                <w:b w:val="1"/>
                <w:bCs w:val="1"/>
                <w:color w:val="auto"/>
              </w:rPr>
              <w:t>FINANCIAL INFORMATION</w:t>
            </w:r>
          </w:p>
        </w:tc>
        <w:tc>
          <w:tcPr>
            <w:tcW w:w="8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Page</w:t>
            </w:r>
          </w:p>
        </w:tc>
      </w:tr>
      <w:tr>
        <w:trPr>
          <w:trHeight w:val="207"/>
        </w:trPr>
        <w:tc>
          <w:tcPr>
            <w:tcW w:w="760" w:type="dxa"/>
            <w:vAlign w:val="bottom"/>
          </w:tcPr>
          <w:p>
            <w:pPr>
              <w:spacing w:after="0"/>
              <w:rPr>
                <w:sz w:val="20"/>
                <w:szCs w:val="20"/>
                <w:color w:val="auto"/>
              </w:rPr>
            </w:pPr>
            <w:r>
              <w:rPr>
                <w:rFonts w:ascii="Arial" w:cs="Arial" w:eastAsia="Arial" w:hAnsi="Arial"/>
                <w:sz w:val="18"/>
                <w:szCs w:val="18"/>
                <w:color w:val="auto"/>
              </w:rPr>
              <w:t>Item 1.</w:t>
            </w:r>
          </w:p>
        </w:tc>
        <w:tc>
          <w:tcPr>
            <w:tcW w:w="9680" w:type="dxa"/>
            <w:vAlign w:val="bottom"/>
          </w:tcPr>
          <w:p>
            <w:pPr>
              <w:ind w:left="120"/>
              <w:spacing w:after="0"/>
              <w:rPr>
                <w:sz w:val="20"/>
                <w:szCs w:val="20"/>
                <w:color w:val="auto"/>
              </w:rPr>
            </w:pPr>
            <w:r>
              <w:rPr>
                <w:rFonts w:ascii="Arial" w:cs="Arial" w:eastAsia="Arial" w:hAnsi="Arial"/>
                <w:sz w:val="18"/>
                <w:szCs w:val="18"/>
                <w:color w:val="auto"/>
              </w:rPr>
              <w:t>Financial Statements</w:t>
            </w:r>
          </w:p>
        </w:tc>
        <w:tc>
          <w:tcPr>
            <w:tcW w:w="800" w:type="dxa"/>
            <w:vAlign w:val="bottom"/>
          </w:tcPr>
          <w:p>
            <w:pPr>
              <w:spacing w:after="0"/>
              <w:rPr>
                <w:sz w:val="17"/>
                <w:szCs w:val="17"/>
                <w:color w:val="auto"/>
              </w:rPr>
            </w:pPr>
          </w:p>
        </w:tc>
      </w:tr>
      <w:tr>
        <w:trPr>
          <w:trHeight w:val="333"/>
        </w:trPr>
        <w:tc>
          <w:tcPr>
            <w:tcW w:w="760" w:type="dxa"/>
            <w:vAlign w:val="bottom"/>
          </w:tcPr>
          <w:p>
            <w:pPr>
              <w:spacing w:after="0"/>
              <w:rPr>
                <w:sz w:val="24"/>
                <w:szCs w:val="24"/>
                <w:color w:val="auto"/>
              </w:rPr>
            </w:pPr>
          </w:p>
        </w:tc>
        <w:tc>
          <w:tcPr>
            <w:tcW w:w="9680" w:type="dxa"/>
            <w:vAlign w:val="bottom"/>
          </w:tcPr>
          <w:p>
            <w:pPr>
              <w:ind w:left="1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 December 31, 2019 and March 31, 2020 (unaudited)</w:t>
              </w:r>
            </w:hyperlink>
          </w:p>
        </w:tc>
        <w:tc>
          <w:tcPr>
            <w:tcW w:w="800" w:type="dxa"/>
            <w:vAlign w:val="bottom"/>
          </w:tcPr>
          <w:p>
            <w:pPr>
              <w:ind w:left="300"/>
              <w:spacing w:after="0"/>
              <w:rPr>
                <w:sz w:val="20"/>
                <w:szCs w:val="20"/>
                <w:color w:val="auto"/>
              </w:rPr>
            </w:pPr>
            <w:r>
              <w:rPr>
                <w:rFonts w:ascii="Arial" w:cs="Arial" w:eastAsia="Arial" w:hAnsi="Arial"/>
                <w:sz w:val="18"/>
                <w:szCs w:val="18"/>
                <w:color w:val="auto"/>
              </w:rPr>
              <w:t>- 3 -</w:t>
            </w:r>
          </w:p>
        </w:tc>
      </w:tr>
      <w:tr>
        <w:trPr>
          <w:trHeight w:val="334"/>
        </w:trPr>
        <w:tc>
          <w:tcPr>
            <w:tcW w:w="760" w:type="dxa"/>
            <w:vAlign w:val="bottom"/>
          </w:tcPr>
          <w:p>
            <w:pPr>
              <w:spacing w:after="0"/>
              <w:rPr>
                <w:sz w:val="24"/>
                <w:szCs w:val="24"/>
                <w:color w:val="auto"/>
              </w:rPr>
            </w:pPr>
          </w:p>
        </w:tc>
        <w:tc>
          <w:tcPr>
            <w:tcW w:w="9680" w:type="dxa"/>
            <w:vAlign w:val="bottom"/>
          </w:tcPr>
          <w:p>
            <w:pPr>
              <w:ind w:left="1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Income (unaudited) – Three months ended March 31, 2019 and 2020</w:t>
              </w:r>
            </w:hyperlink>
          </w:p>
        </w:tc>
        <w:tc>
          <w:tcPr>
            <w:tcW w:w="800" w:type="dxa"/>
            <w:vAlign w:val="bottom"/>
          </w:tcPr>
          <w:p>
            <w:pPr>
              <w:ind w:left="300"/>
              <w:spacing w:after="0"/>
              <w:rPr>
                <w:sz w:val="20"/>
                <w:szCs w:val="20"/>
                <w:color w:val="auto"/>
              </w:rPr>
            </w:pPr>
            <w:r>
              <w:rPr>
                <w:rFonts w:ascii="Arial" w:cs="Arial" w:eastAsia="Arial" w:hAnsi="Arial"/>
                <w:sz w:val="18"/>
                <w:szCs w:val="18"/>
                <w:color w:val="auto"/>
              </w:rPr>
              <w:t>- 4 -</w:t>
            </w:r>
          </w:p>
        </w:tc>
      </w:tr>
      <w:tr>
        <w:trPr>
          <w:trHeight w:val="334"/>
        </w:trPr>
        <w:tc>
          <w:tcPr>
            <w:tcW w:w="760" w:type="dxa"/>
            <w:vAlign w:val="bottom"/>
          </w:tcPr>
          <w:p>
            <w:pPr>
              <w:spacing w:after="0"/>
              <w:rPr>
                <w:sz w:val="24"/>
                <w:szCs w:val="24"/>
                <w:color w:val="auto"/>
              </w:rPr>
            </w:pPr>
          </w:p>
        </w:tc>
        <w:tc>
          <w:tcPr>
            <w:tcW w:w="9680" w:type="dxa"/>
            <w:vAlign w:val="bottom"/>
          </w:tcPr>
          <w:p>
            <w:pPr>
              <w:ind w:left="120"/>
              <w:spacing w:after="0"/>
              <w:rPr>
                <w:rFonts w:ascii="Arial" w:cs="Arial" w:eastAsia="Arial" w:hAnsi="Arial"/>
                <w:sz w:val="18"/>
                <w:szCs w:val="18"/>
                <w:u w:val="single" w:color="auto"/>
                <w:color w:val="0000EE"/>
                <w:w w:val="97"/>
              </w:rPr>
            </w:pPr>
            <w:hyperlink w:anchor="page5">
              <w:r>
                <w:rPr>
                  <w:rFonts w:ascii="Arial" w:cs="Arial" w:eastAsia="Arial" w:hAnsi="Arial"/>
                  <w:sz w:val="18"/>
                  <w:szCs w:val="18"/>
                  <w:u w:val="single" w:color="auto"/>
                  <w:color w:val="0000EE"/>
                  <w:w w:val="97"/>
                </w:rPr>
                <w:t>Condensed Consolidated Statements of Stockholders’ Equity (unaudited) – Three months ended March 31, 2019 and 2020</w:t>
              </w:r>
            </w:hyperlink>
          </w:p>
        </w:tc>
        <w:tc>
          <w:tcPr>
            <w:tcW w:w="800" w:type="dxa"/>
            <w:vAlign w:val="bottom"/>
          </w:tcPr>
          <w:p>
            <w:pPr>
              <w:ind w:left="300"/>
              <w:spacing w:after="0"/>
              <w:rPr>
                <w:sz w:val="20"/>
                <w:szCs w:val="20"/>
                <w:color w:val="auto"/>
              </w:rPr>
            </w:pPr>
            <w:r>
              <w:rPr>
                <w:rFonts w:ascii="Arial" w:cs="Arial" w:eastAsia="Arial" w:hAnsi="Arial"/>
                <w:sz w:val="18"/>
                <w:szCs w:val="18"/>
                <w:color w:val="auto"/>
              </w:rPr>
              <w:t>- 5 -</w:t>
            </w:r>
          </w:p>
        </w:tc>
      </w:tr>
      <w:tr>
        <w:trPr>
          <w:trHeight w:val="334"/>
        </w:trPr>
        <w:tc>
          <w:tcPr>
            <w:tcW w:w="760" w:type="dxa"/>
            <w:vAlign w:val="bottom"/>
          </w:tcPr>
          <w:p>
            <w:pPr>
              <w:spacing w:after="0"/>
              <w:rPr>
                <w:sz w:val="24"/>
                <w:szCs w:val="24"/>
                <w:color w:val="auto"/>
              </w:rPr>
            </w:pPr>
          </w:p>
        </w:tc>
        <w:tc>
          <w:tcPr>
            <w:tcW w:w="9680" w:type="dxa"/>
            <w:vAlign w:val="bottom"/>
          </w:tcPr>
          <w:p>
            <w:pPr>
              <w:ind w:left="1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Cash Flows (unaudited) - Three months ended March 31, 2019 and 2020</w:t>
              </w:r>
            </w:hyperlink>
          </w:p>
        </w:tc>
        <w:tc>
          <w:tcPr>
            <w:tcW w:w="800" w:type="dxa"/>
            <w:vAlign w:val="bottom"/>
          </w:tcPr>
          <w:p>
            <w:pPr>
              <w:ind w:left="300"/>
              <w:spacing w:after="0"/>
              <w:rPr>
                <w:sz w:val="20"/>
                <w:szCs w:val="20"/>
                <w:color w:val="auto"/>
              </w:rPr>
            </w:pPr>
            <w:r>
              <w:rPr>
                <w:rFonts w:ascii="Arial" w:cs="Arial" w:eastAsia="Arial" w:hAnsi="Arial"/>
                <w:sz w:val="18"/>
                <w:szCs w:val="18"/>
                <w:color w:val="auto"/>
              </w:rPr>
              <w:t>- 6 -</w:t>
            </w:r>
          </w:p>
        </w:tc>
      </w:tr>
      <w:tr>
        <w:trPr>
          <w:trHeight w:val="334"/>
        </w:trPr>
        <w:tc>
          <w:tcPr>
            <w:tcW w:w="760" w:type="dxa"/>
            <w:vAlign w:val="bottom"/>
          </w:tcPr>
          <w:p>
            <w:pPr>
              <w:spacing w:after="0"/>
              <w:rPr>
                <w:sz w:val="24"/>
                <w:szCs w:val="24"/>
                <w:color w:val="auto"/>
              </w:rPr>
            </w:pPr>
          </w:p>
        </w:tc>
        <w:tc>
          <w:tcPr>
            <w:tcW w:w="9680" w:type="dxa"/>
            <w:vAlign w:val="bottom"/>
          </w:tcPr>
          <w:p>
            <w:pPr>
              <w:ind w:left="1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Condensed Consolidated Financial Statements (unaudited)</w:t>
              </w:r>
            </w:hyperlink>
          </w:p>
        </w:tc>
        <w:tc>
          <w:tcPr>
            <w:tcW w:w="800" w:type="dxa"/>
            <w:vAlign w:val="bottom"/>
          </w:tcPr>
          <w:p>
            <w:pPr>
              <w:ind w:left="300"/>
              <w:spacing w:after="0"/>
              <w:rPr>
                <w:sz w:val="20"/>
                <w:szCs w:val="20"/>
                <w:color w:val="auto"/>
              </w:rPr>
            </w:pPr>
            <w:r>
              <w:rPr>
                <w:rFonts w:ascii="Arial" w:cs="Arial" w:eastAsia="Arial" w:hAnsi="Arial"/>
                <w:sz w:val="18"/>
                <w:szCs w:val="18"/>
                <w:color w:val="auto"/>
              </w:rPr>
              <w:t>- 7 -</w:t>
            </w:r>
          </w:p>
        </w:tc>
      </w:tr>
      <w:tr>
        <w:trPr>
          <w:trHeight w:val="334"/>
        </w:trPr>
        <w:tc>
          <w:tcPr>
            <w:tcW w:w="760" w:type="dxa"/>
            <w:vAlign w:val="bottom"/>
          </w:tcPr>
          <w:p>
            <w:pPr>
              <w:spacing w:after="0"/>
              <w:rPr>
                <w:sz w:val="20"/>
                <w:szCs w:val="20"/>
                <w:color w:val="auto"/>
              </w:rPr>
            </w:pPr>
            <w:r>
              <w:rPr>
                <w:rFonts w:ascii="Arial" w:cs="Arial" w:eastAsia="Arial" w:hAnsi="Arial"/>
                <w:sz w:val="18"/>
                <w:szCs w:val="18"/>
                <w:color w:val="auto"/>
              </w:rPr>
              <w:t>Item 2.</w:t>
            </w:r>
          </w:p>
        </w:tc>
        <w:tc>
          <w:tcPr>
            <w:tcW w:w="9680" w:type="dxa"/>
            <w:vAlign w:val="bottom"/>
          </w:tcPr>
          <w:p>
            <w:pPr>
              <w:ind w:left="12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Management’s Discussion and Analysis of Financial Condition and Results of Operations</w:t>
              </w:r>
            </w:hyperlink>
          </w:p>
        </w:tc>
        <w:tc>
          <w:tcPr>
            <w:tcW w:w="800" w:type="dxa"/>
            <w:vAlign w:val="bottom"/>
          </w:tcPr>
          <w:p>
            <w:pPr>
              <w:ind w:left="280"/>
              <w:spacing w:after="0"/>
              <w:rPr>
                <w:sz w:val="20"/>
                <w:szCs w:val="20"/>
                <w:color w:val="auto"/>
              </w:rPr>
            </w:pPr>
            <w:r>
              <w:rPr>
                <w:rFonts w:ascii="Arial" w:cs="Arial" w:eastAsia="Arial" w:hAnsi="Arial"/>
                <w:sz w:val="18"/>
                <w:szCs w:val="18"/>
                <w:color w:val="auto"/>
              </w:rPr>
              <w:t>-11-</w:t>
            </w:r>
          </w:p>
        </w:tc>
      </w:tr>
      <w:tr>
        <w:trPr>
          <w:trHeight w:val="334"/>
        </w:trPr>
        <w:tc>
          <w:tcPr>
            <w:tcW w:w="760" w:type="dxa"/>
            <w:vAlign w:val="bottom"/>
          </w:tcPr>
          <w:p>
            <w:pPr>
              <w:spacing w:after="0"/>
              <w:rPr>
                <w:sz w:val="20"/>
                <w:szCs w:val="20"/>
                <w:color w:val="auto"/>
              </w:rPr>
            </w:pPr>
            <w:r>
              <w:rPr>
                <w:rFonts w:ascii="Arial" w:cs="Arial" w:eastAsia="Arial" w:hAnsi="Arial"/>
                <w:sz w:val="18"/>
                <w:szCs w:val="18"/>
                <w:color w:val="auto"/>
              </w:rPr>
              <w:t>Item 3.</w:t>
            </w:r>
          </w:p>
        </w:tc>
        <w:tc>
          <w:tcPr>
            <w:tcW w:w="9680" w:type="dxa"/>
            <w:vAlign w:val="bottom"/>
          </w:tcPr>
          <w:p>
            <w:pPr>
              <w:ind w:left="12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Quantitative and Qualitative Disclosure About Market Risk</w:t>
              </w:r>
            </w:hyperlink>
          </w:p>
        </w:tc>
        <w:tc>
          <w:tcPr>
            <w:tcW w:w="800" w:type="dxa"/>
            <w:vAlign w:val="bottom"/>
          </w:tcPr>
          <w:p>
            <w:pPr>
              <w:ind w:left="280"/>
              <w:spacing w:after="0"/>
              <w:rPr>
                <w:sz w:val="20"/>
                <w:szCs w:val="20"/>
                <w:color w:val="auto"/>
              </w:rPr>
            </w:pPr>
            <w:r>
              <w:rPr>
                <w:rFonts w:ascii="Arial" w:cs="Arial" w:eastAsia="Arial" w:hAnsi="Arial"/>
                <w:sz w:val="18"/>
                <w:szCs w:val="18"/>
                <w:color w:val="auto"/>
              </w:rPr>
              <w:t>-16-</w:t>
            </w:r>
          </w:p>
        </w:tc>
      </w:tr>
      <w:tr>
        <w:trPr>
          <w:trHeight w:val="334"/>
        </w:trPr>
        <w:tc>
          <w:tcPr>
            <w:tcW w:w="760" w:type="dxa"/>
            <w:vAlign w:val="bottom"/>
          </w:tcPr>
          <w:p>
            <w:pPr>
              <w:spacing w:after="0"/>
              <w:rPr>
                <w:sz w:val="20"/>
                <w:szCs w:val="20"/>
                <w:color w:val="auto"/>
              </w:rPr>
            </w:pPr>
            <w:r>
              <w:rPr>
                <w:rFonts w:ascii="Arial" w:cs="Arial" w:eastAsia="Arial" w:hAnsi="Arial"/>
                <w:sz w:val="18"/>
                <w:szCs w:val="18"/>
                <w:color w:val="auto"/>
              </w:rPr>
              <w:t>Item 4.</w:t>
            </w:r>
          </w:p>
        </w:tc>
        <w:tc>
          <w:tcPr>
            <w:tcW w:w="9680" w:type="dxa"/>
            <w:vAlign w:val="bottom"/>
          </w:tcPr>
          <w:p>
            <w:pPr>
              <w:ind w:left="12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Controls and Procedures</w:t>
              </w:r>
            </w:hyperlink>
          </w:p>
        </w:tc>
        <w:tc>
          <w:tcPr>
            <w:tcW w:w="800" w:type="dxa"/>
            <w:vAlign w:val="bottom"/>
          </w:tcPr>
          <w:p>
            <w:pPr>
              <w:ind w:left="280"/>
              <w:spacing w:after="0"/>
              <w:rPr>
                <w:sz w:val="20"/>
                <w:szCs w:val="20"/>
                <w:color w:val="auto"/>
              </w:rPr>
            </w:pPr>
            <w:r>
              <w:rPr>
                <w:rFonts w:ascii="Arial" w:cs="Arial" w:eastAsia="Arial" w:hAnsi="Arial"/>
                <w:sz w:val="18"/>
                <w:szCs w:val="18"/>
                <w:color w:val="auto"/>
              </w:rPr>
              <w:t>-16-</w:t>
            </w:r>
          </w:p>
        </w:tc>
      </w:tr>
      <w:tr>
        <w:trPr>
          <w:trHeight w:val="334"/>
        </w:trPr>
        <w:tc>
          <w:tcPr>
            <w:tcW w:w="7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680" w:type="dxa"/>
            <w:vAlign w:val="bottom"/>
          </w:tcPr>
          <w:p>
            <w:pPr>
              <w:ind w:left="120"/>
              <w:spacing w:after="0"/>
              <w:rPr>
                <w:rFonts w:ascii="Arial" w:cs="Arial" w:eastAsia="Arial" w:hAnsi="Arial"/>
                <w:sz w:val="18"/>
                <w:szCs w:val="18"/>
                <w:b w:val="1"/>
                <w:bCs w:val="1"/>
                <w:u w:val="single" w:color="auto"/>
                <w:color w:val="0000EE"/>
              </w:rPr>
            </w:pPr>
            <w:hyperlink w:anchor="page17">
              <w:r>
                <w:rPr>
                  <w:rFonts w:ascii="Arial" w:cs="Arial" w:eastAsia="Arial" w:hAnsi="Arial"/>
                  <w:sz w:val="18"/>
                  <w:szCs w:val="18"/>
                  <w:b w:val="1"/>
                  <w:bCs w:val="1"/>
                  <w:u w:val="single" w:color="auto"/>
                  <w:color w:val="0000EE"/>
                </w:rPr>
                <w:t>OTHER INFORMATION</w:t>
              </w:r>
            </w:hyperlink>
          </w:p>
        </w:tc>
        <w:tc>
          <w:tcPr>
            <w:tcW w:w="800" w:type="dxa"/>
            <w:vAlign w:val="bottom"/>
          </w:tcPr>
          <w:p>
            <w:pPr>
              <w:spacing w:after="0"/>
              <w:rPr>
                <w:sz w:val="24"/>
                <w:szCs w:val="24"/>
                <w:color w:val="auto"/>
              </w:rPr>
            </w:pPr>
          </w:p>
        </w:tc>
      </w:tr>
      <w:tr>
        <w:trPr>
          <w:trHeight w:val="334"/>
        </w:trPr>
        <w:tc>
          <w:tcPr>
            <w:tcW w:w="760" w:type="dxa"/>
            <w:vAlign w:val="bottom"/>
          </w:tcPr>
          <w:p>
            <w:pPr>
              <w:spacing w:after="0"/>
              <w:rPr>
                <w:sz w:val="20"/>
                <w:szCs w:val="20"/>
                <w:color w:val="auto"/>
              </w:rPr>
            </w:pPr>
            <w:r>
              <w:rPr>
                <w:rFonts w:ascii="Arial" w:cs="Arial" w:eastAsia="Arial" w:hAnsi="Arial"/>
                <w:sz w:val="18"/>
                <w:szCs w:val="18"/>
                <w:color w:val="auto"/>
              </w:rPr>
              <w:t>Item 1A.</w:t>
            </w:r>
          </w:p>
        </w:tc>
        <w:tc>
          <w:tcPr>
            <w:tcW w:w="9680" w:type="dxa"/>
            <w:vAlign w:val="bottom"/>
          </w:tcPr>
          <w:p>
            <w:pPr>
              <w:ind w:left="12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Risk Factors</w:t>
              </w:r>
            </w:hyperlink>
          </w:p>
        </w:tc>
        <w:tc>
          <w:tcPr>
            <w:tcW w:w="800" w:type="dxa"/>
            <w:vAlign w:val="bottom"/>
          </w:tcPr>
          <w:p>
            <w:pPr>
              <w:ind w:left="280"/>
              <w:spacing w:after="0"/>
              <w:rPr>
                <w:sz w:val="20"/>
                <w:szCs w:val="20"/>
                <w:color w:val="auto"/>
              </w:rPr>
            </w:pPr>
            <w:r>
              <w:rPr>
                <w:rFonts w:ascii="Arial" w:cs="Arial" w:eastAsia="Arial" w:hAnsi="Arial"/>
                <w:sz w:val="18"/>
                <w:szCs w:val="18"/>
                <w:color w:val="auto"/>
              </w:rPr>
              <w:t>-17-</w:t>
            </w:r>
          </w:p>
        </w:tc>
      </w:tr>
      <w:tr>
        <w:trPr>
          <w:trHeight w:val="334"/>
        </w:trPr>
        <w:tc>
          <w:tcPr>
            <w:tcW w:w="760" w:type="dxa"/>
            <w:vAlign w:val="bottom"/>
          </w:tcPr>
          <w:p>
            <w:pPr>
              <w:spacing w:after="0"/>
              <w:rPr>
                <w:sz w:val="20"/>
                <w:szCs w:val="20"/>
                <w:color w:val="auto"/>
              </w:rPr>
            </w:pPr>
            <w:r>
              <w:rPr>
                <w:rFonts w:ascii="Arial" w:cs="Arial" w:eastAsia="Arial" w:hAnsi="Arial"/>
                <w:sz w:val="18"/>
                <w:szCs w:val="18"/>
                <w:color w:val="auto"/>
              </w:rPr>
              <w:t>Item 6.</w:t>
            </w:r>
          </w:p>
        </w:tc>
        <w:tc>
          <w:tcPr>
            <w:tcW w:w="9680" w:type="dxa"/>
            <w:vAlign w:val="bottom"/>
          </w:tcPr>
          <w:p>
            <w:pPr>
              <w:ind w:left="12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Exhibits</w:t>
              </w:r>
            </w:hyperlink>
          </w:p>
        </w:tc>
        <w:tc>
          <w:tcPr>
            <w:tcW w:w="800" w:type="dxa"/>
            <w:vAlign w:val="bottom"/>
          </w:tcPr>
          <w:p>
            <w:pPr>
              <w:ind w:left="280"/>
              <w:spacing w:after="0"/>
              <w:rPr>
                <w:sz w:val="20"/>
                <w:szCs w:val="20"/>
                <w:color w:val="auto"/>
              </w:rPr>
            </w:pPr>
            <w:r>
              <w:rPr>
                <w:rFonts w:ascii="Arial" w:cs="Arial" w:eastAsia="Arial" w:hAnsi="Arial"/>
                <w:sz w:val="18"/>
                <w:szCs w:val="18"/>
                <w:color w:val="auto"/>
              </w:rPr>
              <w:t>-17-</w:t>
            </w:r>
          </w:p>
        </w:tc>
      </w:tr>
    </w:tbl>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Items 2, 3, 4 and 5 of Part II are omitted because there is no information to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5073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0"/>
        </w:trPr>
        <w:tc>
          <w:tcPr>
            <w:tcW w:w="84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8440" w:type="dxa"/>
            <w:vAlign w:val="bottom"/>
            <w:shd w:val="clear" w:color="auto" w:fill="CFF0FC"/>
          </w:tcPr>
          <w:p>
            <w:pPr>
              <w:spacing w:after="0" w:line="154" w:lineRule="exact"/>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40" w:type="dxa"/>
            <w:vAlign w:val="bottom"/>
            <w:shd w:val="clear" w:color="auto" w:fill="CFF0FC"/>
          </w:tcPr>
          <w:p>
            <w:pPr>
              <w:jc w:val="center"/>
              <w:ind w:right="93"/>
              <w:spacing w:after="0" w:line="154" w:lineRule="exact"/>
              <w:rPr>
                <w:sz w:val="20"/>
                <w:szCs w:val="20"/>
                <w:color w:val="auto"/>
              </w:rPr>
            </w:pPr>
            <w:r>
              <w:rPr>
                <w:rFonts w:ascii="Arial" w:cs="Arial" w:eastAsia="Arial" w:hAnsi="Arial"/>
                <w:sz w:val="14"/>
                <w:szCs w:val="14"/>
                <w:b w:val="1"/>
                <w:bCs w:val="1"/>
                <w:color w:val="auto"/>
                <w:w w:val="91"/>
              </w:rPr>
              <w:t>(unaudited)</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844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63,255</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64,046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4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11,870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15,232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 net</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18,348</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18,962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95,097</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99,654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44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Note receivable from affiliate</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28,100</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40" w:type="dxa"/>
            <w:vAlign w:val="bottom"/>
          </w:tcPr>
          <w:p>
            <w:pPr>
              <w:ind w:left="26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23,742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23,742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noncurrent</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assets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52,432</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49,832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40" w:type="dxa"/>
            <w:vAlign w:val="bottom"/>
          </w:tcPr>
          <w:p>
            <w:pPr>
              <w:ind w:left="260"/>
              <w:spacing w:after="0"/>
              <w:rPr>
                <w:sz w:val="20"/>
                <w:szCs w:val="20"/>
                <w:color w:val="auto"/>
              </w:rPr>
            </w:pPr>
            <w:r>
              <w:rPr>
                <w:rFonts w:ascii="Arial" w:cs="Arial" w:eastAsia="Arial" w:hAnsi="Arial"/>
                <w:sz w:val="18"/>
                <w:szCs w:val="18"/>
                <w:color w:val="auto"/>
              </w:rPr>
              <w:t>Land</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4,940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4,940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Buildings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23,047</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23,047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40" w:type="dxa"/>
            <w:vAlign w:val="bottom"/>
          </w:tcPr>
          <w:p>
            <w:pPr>
              <w:ind w:left="260"/>
              <w:spacing w:after="0"/>
              <w:rPr>
                <w:sz w:val="20"/>
                <w:szCs w:val="20"/>
                <w:color w:val="auto"/>
              </w:rPr>
            </w:pPr>
            <w:r>
              <w:rPr>
                <w:rFonts w:ascii="Arial" w:cs="Arial" w:eastAsia="Arial" w:hAnsi="Arial"/>
                <w:sz w:val="18"/>
                <w:szCs w:val="18"/>
                <w:color w:val="auto"/>
              </w:rPr>
              <w:t>Equipment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67,718</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68,443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Construction in progress</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1,002</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96,707</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96,893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accumulated depreciation</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65,692</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66,531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property and equipment</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31,015</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30,362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178,544</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179,848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84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40" w:type="dxa"/>
            <w:vAlign w:val="bottom"/>
          </w:tcPr>
          <w:p>
            <w:pPr>
              <w:ind w:left="260"/>
              <w:spacing w:after="0"/>
              <w:rPr>
                <w:sz w:val="20"/>
                <w:szCs w:val="20"/>
                <w:color w:val="auto"/>
              </w:rPr>
            </w:pPr>
            <w:r>
              <w:rPr>
                <w:rFonts w:ascii="Arial" w:cs="Arial" w:eastAsia="Arial" w:hAnsi="Arial"/>
                <w:sz w:val="18"/>
                <w:szCs w:val="18"/>
                <w:color w:val="auto"/>
              </w:rPr>
              <w:t>Accounts payable and accrued liabilities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12,078</w:t>
            </w:r>
          </w:p>
        </w:tc>
        <w:tc>
          <w:tcPr>
            <w:tcW w:w="280" w:type="dxa"/>
            <w:vAlign w:val="bottom"/>
          </w:tcPr>
          <w:p>
            <w:pPr>
              <w:spacing w:after="0"/>
              <w:rPr>
                <w:sz w:val="19"/>
                <w:szCs w:val="19"/>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9,007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payable to affiliates</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984</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13,062</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11,246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Noncurrent liabilities -</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income taxes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3,287</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3,380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40" w:type="dxa"/>
            <w:vAlign w:val="bottom"/>
          </w:tcPr>
          <w:p>
            <w:pPr>
              <w:ind w:left="260"/>
              <w:spacing w:after="0"/>
              <w:rPr>
                <w:sz w:val="20"/>
                <w:szCs w:val="20"/>
                <w:color w:val="auto"/>
              </w:rPr>
            </w:pPr>
            <w:r>
              <w:rPr>
                <w:rFonts w:ascii="Arial" w:cs="Arial" w:eastAsia="Arial" w:hAnsi="Arial"/>
                <w:sz w:val="18"/>
                <w:szCs w:val="18"/>
                <w:color w:val="auto"/>
              </w:rPr>
              <w:t>Preferred stock</w:t>
            </w:r>
          </w:p>
        </w:tc>
        <w:tc>
          <w:tcPr>
            <w:tcW w:w="12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7"/>
        </w:trPr>
        <w:tc>
          <w:tcPr>
            <w:tcW w:w="8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Class A common stock</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4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55,869</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55,869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Retained earnings</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106,202</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109,229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162,195</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165,222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178,544</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179,848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Commitments and contingencies (Note 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5073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57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4"/>
        </w:trPr>
        <w:tc>
          <w:tcPr>
            <w:tcW w:w="57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98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72"/>
              <w:spacing w:after="0" w:line="154"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r>
      <w:tr>
        <w:trPr>
          <w:trHeight w:val="154"/>
        </w:trPr>
        <w:tc>
          <w:tcPr>
            <w:tcW w:w="57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60" w:type="dxa"/>
            <w:vAlign w:val="bottom"/>
            <w:gridSpan w:val="3"/>
          </w:tcPr>
          <w:p>
            <w:pPr>
              <w:jc w:val="center"/>
              <w:spacing w:after="0" w:line="154" w:lineRule="exact"/>
              <w:rPr>
                <w:sz w:val="20"/>
                <w:szCs w:val="20"/>
                <w:color w:val="auto"/>
              </w:rPr>
            </w:pPr>
            <w:r>
              <w:rPr>
                <w:rFonts w:ascii="Arial" w:cs="Arial" w:eastAsia="Arial" w:hAnsi="Arial"/>
                <w:sz w:val="14"/>
                <w:szCs w:val="14"/>
                <w:b w:val="1"/>
                <w:bCs w:val="1"/>
                <w:color w:val="auto"/>
                <w:w w:val="91"/>
              </w:rPr>
              <w:t>(unaudited)</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7"/>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860" w:type="dxa"/>
            <w:vAlign w:val="bottom"/>
            <w:gridSpan w:val="2"/>
            <w:shd w:val="clear" w:color="auto" w:fill="CFF0FC"/>
          </w:tcPr>
          <w:p>
            <w:pPr>
              <w:jc w:val="right"/>
              <w:ind w:right="828"/>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31,176</w:t>
            </w:r>
          </w:p>
        </w:tc>
        <w:tc>
          <w:tcPr>
            <w:tcW w:w="3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1"/>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32,311</w:t>
            </w:r>
          </w:p>
        </w:tc>
        <w:tc>
          <w:tcPr>
            <w:tcW w:w="120" w:type="dxa"/>
            <w:vAlign w:val="bottom"/>
            <w:shd w:val="clear" w:color="auto" w:fill="CFF0FC"/>
          </w:tcPr>
          <w:p>
            <w:pPr>
              <w:spacing w:after="0"/>
              <w:rPr>
                <w:sz w:val="19"/>
                <w:szCs w:val="19"/>
                <w:color w:val="auto"/>
              </w:rPr>
            </w:pPr>
          </w:p>
        </w:tc>
      </w:tr>
      <w:tr>
        <w:trPr>
          <w:trHeight w:val="227"/>
        </w:trPr>
        <w:tc>
          <w:tcPr>
            <w:tcW w:w="5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18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21,552</w:t>
            </w:r>
          </w:p>
        </w:tc>
        <w:tc>
          <w:tcPr>
            <w:tcW w:w="34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21,880</w:t>
            </w:r>
          </w:p>
        </w:tc>
        <w:tc>
          <w:tcPr>
            <w:tcW w:w="120" w:type="dxa"/>
            <w:vAlign w:val="bottom"/>
            <w:tcBorders>
              <w:bottom w:val="single" w:sz="8" w:color="CFF0FC"/>
            </w:tcBorders>
          </w:tcPr>
          <w:p>
            <w:pPr>
              <w:spacing w:after="0"/>
              <w:rPr>
                <w:sz w:val="19"/>
                <w:szCs w:val="19"/>
                <w:color w:val="auto"/>
              </w:rPr>
            </w:pPr>
          </w:p>
        </w:tc>
      </w:tr>
      <w:tr>
        <w:trPr>
          <w:trHeight w:val="221"/>
        </w:trPr>
        <w:tc>
          <w:tcPr>
            <w:tcW w:w="5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margin</w:t>
            </w:r>
          </w:p>
        </w:tc>
        <w:tc>
          <w:tcPr>
            <w:tcW w:w="18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9,624</w:t>
            </w:r>
          </w:p>
        </w:tc>
        <w:tc>
          <w:tcPr>
            <w:tcW w:w="3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10,431</w:t>
            </w:r>
          </w:p>
        </w:tc>
        <w:tc>
          <w:tcPr>
            <w:tcW w:w="120" w:type="dxa"/>
            <w:vAlign w:val="bottom"/>
            <w:shd w:val="clear" w:color="auto" w:fill="CFF0FC"/>
          </w:tcPr>
          <w:p>
            <w:pPr>
              <w:spacing w:after="0"/>
              <w:rPr>
                <w:sz w:val="19"/>
                <w:szCs w:val="19"/>
                <w:color w:val="auto"/>
              </w:rPr>
            </w:pPr>
          </w:p>
        </w:tc>
      </w:tr>
      <w:tr>
        <w:trPr>
          <w:trHeight w:val="227"/>
        </w:trPr>
        <w:tc>
          <w:tcPr>
            <w:tcW w:w="5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 expense</w:t>
            </w:r>
          </w:p>
        </w:tc>
        <w:tc>
          <w:tcPr>
            <w:tcW w:w="18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5,334</w:t>
            </w:r>
          </w:p>
        </w:tc>
        <w:tc>
          <w:tcPr>
            <w:tcW w:w="34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5,411</w:t>
            </w:r>
          </w:p>
        </w:tc>
        <w:tc>
          <w:tcPr>
            <w:tcW w:w="120" w:type="dxa"/>
            <w:vAlign w:val="bottom"/>
            <w:tcBorders>
              <w:bottom w:val="single" w:sz="8" w:color="CFF0FC"/>
            </w:tcBorders>
          </w:tcPr>
          <w:p>
            <w:pPr>
              <w:spacing w:after="0"/>
              <w:rPr>
                <w:sz w:val="19"/>
                <w:szCs w:val="19"/>
                <w:color w:val="auto"/>
              </w:rPr>
            </w:pPr>
          </w:p>
        </w:tc>
      </w:tr>
      <w:tr>
        <w:trPr>
          <w:trHeight w:val="221"/>
        </w:trPr>
        <w:tc>
          <w:tcPr>
            <w:tcW w:w="5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income</w:t>
            </w:r>
          </w:p>
        </w:tc>
        <w:tc>
          <w:tcPr>
            <w:tcW w:w="18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4,290</w:t>
            </w:r>
          </w:p>
        </w:tc>
        <w:tc>
          <w:tcPr>
            <w:tcW w:w="3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5,020</w:t>
            </w:r>
          </w:p>
        </w:tc>
        <w:tc>
          <w:tcPr>
            <w:tcW w:w="120" w:type="dxa"/>
            <w:vAlign w:val="bottom"/>
            <w:shd w:val="clear" w:color="auto" w:fill="CFF0FC"/>
          </w:tcPr>
          <w:p>
            <w:pPr>
              <w:spacing w:after="0"/>
              <w:rPr>
                <w:sz w:val="19"/>
                <w:szCs w:val="19"/>
                <w:color w:val="auto"/>
              </w:rPr>
            </w:pPr>
          </w:p>
        </w:tc>
      </w:tr>
      <w:tr>
        <w:trPr>
          <w:trHeight w:val="227"/>
        </w:trPr>
        <w:tc>
          <w:tcPr>
            <w:tcW w:w="5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income</w:t>
            </w:r>
          </w:p>
        </w:tc>
        <w:tc>
          <w:tcPr>
            <w:tcW w:w="18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34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607</w:t>
            </w:r>
          </w:p>
        </w:tc>
        <w:tc>
          <w:tcPr>
            <w:tcW w:w="120" w:type="dxa"/>
            <w:vAlign w:val="bottom"/>
            <w:tcBorders>
              <w:bottom w:val="single" w:sz="8" w:color="CFF0FC"/>
            </w:tcBorders>
          </w:tcPr>
          <w:p>
            <w:pPr>
              <w:spacing w:after="0"/>
              <w:rPr>
                <w:sz w:val="19"/>
                <w:szCs w:val="19"/>
                <w:color w:val="auto"/>
              </w:rPr>
            </w:pPr>
          </w:p>
        </w:tc>
      </w:tr>
      <w:tr>
        <w:trPr>
          <w:trHeight w:val="221"/>
        </w:trPr>
        <w:tc>
          <w:tcPr>
            <w:tcW w:w="5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before taxes</w:t>
            </w:r>
          </w:p>
        </w:tc>
        <w:tc>
          <w:tcPr>
            <w:tcW w:w="18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5,127</w:t>
            </w:r>
          </w:p>
        </w:tc>
        <w:tc>
          <w:tcPr>
            <w:tcW w:w="3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5,627</w:t>
            </w:r>
          </w:p>
        </w:tc>
        <w:tc>
          <w:tcPr>
            <w:tcW w:w="120" w:type="dxa"/>
            <w:vAlign w:val="bottom"/>
            <w:shd w:val="clear" w:color="auto" w:fill="CFF0FC"/>
          </w:tcPr>
          <w:p>
            <w:pPr>
              <w:spacing w:after="0"/>
              <w:rPr>
                <w:sz w:val="19"/>
                <w:szCs w:val="19"/>
                <w:color w:val="auto"/>
              </w:rPr>
            </w:pPr>
          </w:p>
        </w:tc>
      </w:tr>
      <w:tr>
        <w:trPr>
          <w:trHeight w:val="227"/>
        </w:trPr>
        <w:tc>
          <w:tcPr>
            <w:tcW w:w="5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18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w:t>
            </w:r>
          </w:p>
        </w:tc>
        <w:tc>
          <w:tcPr>
            <w:tcW w:w="34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1,356</w:t>
            </w:r>
          </w:p>
        </w:tc>
        <w:tc>
          <w:tcPr>
            <w:tcW w:w="120" w:type="dxa"/>
            <w:vAlign w:val="bottom"/>
            <w:tcBorders>
              <w:bottom w:val="single" w:sz="8" w:color="CFF0FC"/>
            </w:tcBorders>
          </w:tcPr>
          <w:p>
            <w:pPr>
              <w:spacing w:after="0"/>
              <w:rPr>
                <w:sz w:val="19"/>
                <w:szCs w:val="19"/>
                <w:color w:val="auto"/>
              </w:rPr>
            </w:pPr>
          </w:p>
        </w:tc>
      </w:tr>
      <w:tr>
        <w:trPr>
          <w:trHeight w:val="221"/>
        </w:trPr>
        <w:tc>
          <w:tcPr>
            <w:tcW w:w="57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18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82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3,986</w:t>
            </w:r>
          </w:p>
        </w:tc>
        <w:tc>
          <w:tcPr>
            <w:tcW w:w="34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1"/>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4,271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34"/>
        </w:trPr>
        <w:tc>
          <w:tcPr>
            <w:tcW w:w="5760" w:type="dxa"/>
            <w:vAlign w:val="bottom"/>
          </w:tcPr>
          <w:p>
            <w:pPr>
              <w:spacing w:after="0"/>
              <w:rPr>
                <w:sz w:val="20"/>
                <w:szCs w:val="20"/>
                <w:color w:val="auto"/>
              </w:rPr>
            </w:pPr>
            <w:r>
              <w:rPr>
                <w:rFonts w:ascii="Arial" w:cs="Arial" w:eastAsia="Arial" w:hAnsi="Arial"/>
                <w:sz w:val="18"/>
                <w:szCs w:val="18"/>
                <w:color w:val="auto"/>
              </w:rPr>
              <w:t>Basic and diluted net income per common share</w:t>
            </w:r>
          </w:p>
        </w:tc>
        <w:tc>
          <w:tcPr>
            <w:tcW w:w="2860" w:type="dxa"/>
            <w:vAlign w:val="bottom"/>
            <w:gridSpan w:val="2"/>
          </w:tcPr>
          <w:p>
            <w:pPr>
              <w:jc w:val="right"/>
              <w:ind w:right="82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0.32</w:t>
            </w:r>
          </w:p>
        </w:tc>
        <w:tc>
          <w:tcPr>
            <w:tcW w:w="340" w:type="dxa"/>
            <w:vAlign w:val="bottom"/>
          </w:tcPr>
          <w:p>
            <w:pPr>
              <w:spacing w:after="0"/>
              <w:rPr>
                <w:sz w:val="24"/>
                <w:szCs w:val="24"/>
                <w:color w:val="auto"/>
              </w:rPr>
            </w:pPr>
          </w:p>
        </w:tc>
        <w:tc>
          <w:tcPr>
            <w:tcW w:w="540" w:type="dxa"/>
            <w:vAlign w:val="bottom"/>
          </w:tcPr>
          <w:p>
            <w:pPr>
              <w:jc w:val="right"/>
              <w:ind w:right="351"/>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0.34</w:t>
            </w:r>
          </w:p>
        </w:tc>
        <w:tc>
          <w:tcPr>
            <w:tcW w:w="120" w:type="dxa"/>
            <w:vAlign w:val="bottom"/>
          </w:tcPr>
          <w:p>
            <w:pPr>
              <w:spacing w:after="0"/>
              <w:rPr>
                <w:sz w:val="24"/>
                <w:szCs w:val="24"/>
                <w:color w:val="auto"/>
              </w:rPr>
            </w:pPr>
          </w:p>
        </w:tc>
      </w:tr>
      <w:tr>
        <w:trPr>
          <w:trHeight w:val="20"/>
        </w:trPr>
        <w:tc>
          <w:tcPr>
            <w:tcW w:w="5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35"/>
        </w:trPr>
        <w:tc>
          <w:tcPr>
            <w:tcW w:w="5760" w:type="dxa"/>
            <w:vAlign w:val="bottom"/>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188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12,436</w:t>
            </w:r>
          </w:p>
        </w:tc>
        <w:tc>
          <w:tcPr>
            <w:tcW w:w="34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12,443</w:t>
            </w:r>
          </w:p>
        </w:tc>
        <w:tc>
          <w:tcPr>
            <w:tcW w:w="120" w:type="dxa"/>
            <w:vAlign w:val="bottom"/>
          </w:tcPr>
          <w:p>
            <w:pPr>
              <w:spacing w:after="0"/>
              <w:rPr>
                <w:sz w:val="24"/>
                <w:szCs w:val="24"/>
                <w:color w:val="auto"/>
              </w:rPr>
            </w:pPr>
          </w:p>
        </w:tc>
      </w:tr>
      <w:tr>
        <w:trPr>
          <w:trHeight w:val="20"/>
        </w:trPr>
        <w:tc>
          <w:tcPr>
            <w:tcW w:w="5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5073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8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8"/>
          </w:tcPr>
          <w:p>
            <w:pPr>
              <w:ind w:left="20"/>
              <w:spacing w:after="0"/>
              <w:rPr>
                <w:sz w:val="20"/>
                <w:szCs w:val="20"/>
                <w:color w:val="auto"/>
              </w:rPr>
            </w:pPr>
            <w:r>
              <w:rPr>
                <w:rFonts w:ascii="Arial" w:cs="Arial" w:eastAsia="Arial" w:hAnsi="Arial"/>
                <w:sz w:val="18"/>
                <w:szCs w:val="18"/>
                <w:b w:val="1"/>
                <w:bCs w:val="1"/>
                <w:color w:val="auto"/>
                <w:w w:val="94"/>
              </w:rPr>
              <w:t>For the three months ended March 31, 2019</w:t>
            </w: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45"/>
        </w:trPr>
        <w:tc>
          <w:tcPr>
            <w:tcW w:w="4840" w:type="dxa"/>
            <w:vAlign w:val="bottom"/>
          </w:tcPr>
          <w:p>
            <w:pPr>
              <w:spacing w:after="0"/>
              <w:rPr>
                <w:sz w:val="12"/>
                <w:szCs w:val="12"/>
                <w:color w:val="auto"/>
              </w:rPr>
            </w:pPr>
          </w:p>
        </w:tc>
        <w:tc>
          <w:tcPr>
            <w:tcW w:w="840" w:type="dxa"/>
            <w:vAlign w:val="bottom"/>
          </w:tcPr>
          <w:p>
            <w:pPr>
              <w:jc w:val="center"/>
              <w:ind w:left="228"/>
              <w:spacing w:after="0" w:line="145" w:lineRule="exact"/>
              <w:rPr>
                <w:sz w:val="20"/>
                <w:szCs w:val="20"/>
                <w:color w:val="auto"/>
              </w:rPr>
            </w:pPr>
            <w:r>
              <w:rPr>
                <w:rFonts w:ascii="Arial" w:cs="Arial" w:eastAsia="Arial" w:hAnsi="Arial"/>
                <w:sz w:val="14"/>
                <w:szCs w:val="14"/>
                <w:b w:val="1"/>
                <w:bCs w:val="1"/>
                <w:color w:val="auto"/>
                <w:w w:val="89"/>
              </w:rPr>
              <w:t>Class A</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520"/>
              <w:spacing w:after="0" w:line="145" w:lineRule="exact"/>
              <w:rPr>
                <w:sz w:val="20"/>
                <w:szCs w:val="20"/>
                <w:color w:val="auto"/>
              </w:rPr>
            </w:pPr>
            <w:r>
              <w:rPr>
                <w:rFonts w:ascii="Arial" w:cs="Arial" w:eastAsia="Arial" w:hAnsi="Arial"/>
                <w:sz w:val="14"/>
                <w:szCs w:val="14"/>
                <w:b w:val="1"/>
                <w:bCs w:val="1"/>
                <w:color w:val="auto"/>
                <w:w w:val="96"/>
              </w:rPr>
              <w:t>Additional</w:t>
            </w: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ind w:right="179"/>
              <w:spacing w:after="0" w:line="145"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r>
      <w:tr>
        <w:trPr>
          <w:trHeight w:val="160"/>
        </w:trPr>
        <w:tc>
          <w:tcPr>
            <w:tcW w:w="4840" w:type="dxa"/>
            <w:vAlign w:val="bottom"/>
          </w:tcPr>
          <w:p>
            <w:pPr>
              <w:spacing w:after="0"/>
              <w:rPr>
                <w:sz w:val="13"/>
                <w:szCs w:val="13"/>
                <w:color w:val="auto"/>
              </w:rPr>
            </w:pPr>
          </w:p>
        </w:tc>
        <w:tc>
          <w:tcPr>
            <w:tcW w:w="840" w:type="dxa"/>
            <w:vAlign w:val="bottom"/>
          </w:tcPr>
          <w:p>
            <w:pPr>
              <w:jc w:val="center"/>
              <w:ind w:left="208"/>
              <w:spacing w:after="0"/>
              <w:rPr>
                <w:sz w:val="20"/>
                <w:szCs w:val="20"/>
                <w:color w:val="auto"/>
              </w:rPr>
            </w:pPr>
            <w:r>
              <w:rPr>
                <w:rFonts w:ascii="Arial" w:cs="Arial" w:eastAsia="Arial" w:hAnsi="Arial"/>
                <w:sz w:val="14"/>
                <w:szCs w:val="14"/>
                <w:b w:val="1"/>
                <w:bCs w:val="1"/>
                <w:color w:val="auto"/>
                <w:w w:val="89"/>
              </w:rPr>
              <w:t>common</w:t>
            </w: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5"/>
              </w:rPr>
              <w:t>paid-in</w:t>
            </w:r>
          </w:p>
        </w:tc>
        <w:tc>
          <w:tcPr>
            <w:tcW w:w="280" w:type="dxa"/>
            <w:vAlign w:val="bottom"/>
          </w:tcPr>
          <w:p>
            <w:pPr>
              <w:spacing w:after="0"/>
              <w:rPr>
                <w:sz w:val="13"/>
                <w:szCs w:val="13"/>
                <w:color w:val="auto"/>
              </w:rPr>
            </w:pPr>
          </w:p>
        </w:tc>
        <w:tc>
          <w:tcPr>
            <w:tcW w:w="15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Retained</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stockholders'</w:t>
            </w:r>
          </w:p>
        </w:tc>
      </w:tr>
      <w:tr>
        <w:trPr>
          <w:trHeight w:val="170"/>
        </w:trPr>
        <w:tc>
          <w:tcPr>
            <w:tcW w:w="4840" w:type="dxa"/>
            <w:vAlign w:val="bottom"/>
          </w:tcPr>
          <w:p>
            <w:pPr>
              <w:spacing w:after="0"/>
              <w:rPr>
                <w:sz w:val="14"/>
                <w:szCs w:val="14"/>
                <w:color w:val="auto"/>
              </w:rPr>
            </w:pPr>
          </w:p>
        </w:tc>
        <w:tc>
          <w:tcPr>
            <w:tcW w:w="840" w:type="dxa"/>
            <w:vAlign w:val="bottom"/>
          </w:tcPr>
          <w:p>
            <w:pPr>
              <w:jc w:val="center"/>
              <w:ind w:left="208"/>
              <w:spacing w:after="0"/>
              <w:rPr>
                <w:sz w:val="20"/>
                <w:szCs w:val="20"/>
                <w:color w:val="auto"/>
              </w:rPr>
            </w:pPr>
            <w:r>
              <w:rPr>
                <w:rFonts w:ascii="Arial" w:cs="Arial" w:eastAsia="Arial" w:hAnsi="Arial"/>
                <w:sz w:val="14"/>
                <w:szCs w:val="14"/>
                <w:b w:val="1"/>
                <w:bCs w:val="1"/>
                <w:color w:val="auto"/>
                <w:w w:val="87"/>
              </w:rPr>
              <w:t>stock</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capital</w:t>
            </w:r>
          </w:p>
        </w:tc>
        <w:tc>
          <w:tcPr>
            <w:tcW w:w="280" w:type="dxa"/>
            <w:vAlign w:val="bottom"/>
          </w:tcPr>
          <w:p>
            <w:pPr>
              <w:spacing w:after="0"/>
              <w:rPr>
                <w:sz w:val="14"/>
                <w:szCs w:val="14"/>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equity</w:t>
            </w:r>
          </w:p>
        </w:tc>
      </w:tr>
      <w:tr>
        <w:trPr>
          <w:trHeight w:val="221"/>
        </w:trPr>
        <w:tc>
          <w:tcPr>
            <w:tcW w:w="4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840" w:type="dxa"/>
            <w:vAlign w:val="bottom"/>
            <w:tcBorders>
              <w:top w:val="single" w:sz="8" w:color="auto"/>
            </w:tcBorders>
            <w:shd w:val="clear" w:color="auto" w:fill="CFF0FC"/>
          </w:tcPr>
          <w:p>
            <w:pPr>
              <w:jc w:val="right"/>
              <w:ind w:right="688"/>
              <w:spacing w:after="0"/>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124</w:t>
            </w:r>
          </w:p>
        </w:tc>
        <w:tc>
          <w:tcPr>
            <w:tcW w:w="3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55,751</w:t>
            </w:r>
          </w:p>
        </w:tc>
        <w:tc>
          <w:tcPr>
            <w:tcW w:w="3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93,687</w:t>
            </w:r>
          </w:p>
        </w:tc>
        <w:tc>
          <w:tcPr>
            <w:tcW w:w="3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149,562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4840" w:type="dxa"/>
            <w:vAlign w:val="bottom"/>
          </w:tcPr>
          <w:p>
            <w:pPr>
              <w:spacing w:after="0"/>
              <w:rPr>
                <w:sz w:val="20"/>
                <w:szCs w:val="20"/>
                <w:color w:val="auto"/>
              </w:rPr>
            </w:pPr>
            <w:r>
              <w:rPr>
                <w:rFonts w:ascii="Arial" w:cs="Arial" w:eastAsia="Arial" w:hAnsi="Arial"/>
                <w:sz w:val="18"/>
                <w:szCs w:val="18"/>
                <w:color w:val="auto"/>
              </w:rPr>
              <w:t>Net income</w:t>
            </w:r>
          </w:p>
        </w:tc>
        <w:tc>
          <w:tcPr>
            <w:tcW w:w="8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3,986</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3,986</w:t>
            </w:r>
          </w:p>
        </w:tc>
        <w:tc>
          <w:tcPr>
            <w:tcW w:w="100" w:type="dxa"/>
            <w:vAlign w:val="bottom"/>
          </w:tcPr>
          <w:p>
            <w:pPr>
              <w:spacing w:after="0"/>
              <w:rPr>
                <w:sz w:val="19"/>
                <w:szCs w:val="19"/>
                <w:color w:val="auto"/>
              </w:rPr>
            </w:pPr>
          </w:p>
        </w:tc>
      </w:tr>
      <w:tr>
        <w:trPr>
          <w:trHeight w:val="228"/>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Cash dividends ($0.07 per share)</w:t>
            </w: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(870)</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(870)</w:t>
            </w:r>
          </w:p>
        </w:tc>
      </w:tr>
      <w:tr>
        <w:trPr>
          <w:trHeight w:val="220"/>
        </w:trPr>
        <w:tc>
          <w:tcPr>
            <w:tcW w:w="4840" w:type="dxa"/>
            <w:vAlign w:val="bottom"/>
          </w:tcPr>
          <w:p>
            <w:pPr>
              <w:spacing w:after="0"/>
              <w:rPr>
                <w:sz w:val="20"/>
                <w:szCs w:val="20"/>
                <w:color w:val="auto"/>
              </w:rPr>
            </w:pPr>
            <w:r>
              <w:rPr>
                <w:rFonts w:ascii="Arial" w:cs="Arial" w:eastAsia="Arial" w:hAnsi="Arial"/>
                <w:sz w:val="18"/>
                <w:szCs w:val="18"/>
                <w:color w:val="auto"/>
              </w:rPr>
              <w:t>Balance at March 31, 2019</w:t>
            </w:r>
          </w:p>
        </w:tc>
        <w:tc>
          <w:tcPr>
            <w:tcW w:w="84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124</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55,751</w:t>
            </w:r>
          </w:p>
        </w:tc>
        <w:tc>
          <w:tcPr>
            <w:tcW w:w="3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96,803</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152,678</w:t>
            </w:r>
          </w:p>
        </w:tc>
        <w:tc>
          <w:tcPr>
            <w:tcW w:w="100" w:type="dxa"/>
            <w:vAlign w:val="bottom"/>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8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9"/>
          </w:tcPr>
          <w:p>
            <w:pPr>
              <w:ind w:left="300"/>
              <w:spacing w:after="0"/>
              <w:rPr>
                <w:sz w:val="20"/>
                <w:szCs w:val="20"/>
                <w:color w:val="auto"/>
              </w:rPr>
            </w:pPr>
            <w:r>
              <w:rPr>
                <w:rFonts w:ascii="Arial" w:cs="Arial" w:eastAsia="Arial" w:hAnsi="Arial"/>
                <w:sz w:val="18"/>
                <w:szCs w:val="18"/>
                <w:b w:val="1"/>
                <w:bCs w:val="1"/>
                <w:color w:val="auto"/>
                <w:w w:val="93"/>
              </w:rPr>
              <w:t>For the three months ended March 31, 2020</w:t>
            </w:r>
          </w:p>
        </w:tc>
        <w:tc>
          <w:tcPr>
            <w:tcW w:w="1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45"/>
        </w:trPr>
        <w:tc>
          <w:tcPr>
            <w:tcW w:w="4860" w:type="dxa"/>
            <w:vAlign w:val="bottom"/>
          </w:tcPr>
          <w:p>
            <w:pPr>
              <w:spacing w:after="0"/>
              <w:rPr>
                <w:sz w:val="12"/>
                <w:szCs w:val="12"/>
                <w:color w:val="auto"/>
              </w:rPr>
            </w:pPr>
          </w:p>
        </w:tc>
        <w:tc>
          <w:tcPr>
            <w:tcW w:w="860" w:type="dxa"/>
            <w:vAlign w:val="bottom"/>
          </w:tcPr>
          <w:p>
            <w:pPr>
              <w:jc w:val="center"/>
              <w:ind w:left="202"/>
              <w:spacing w:after="0" w:line="145" w:lineRule="exact"/>
              <w:rPr>
                <w:sz w:val="20"/>
                <w:szCs w:val="20"/>
                <w:color w:val="auto"/>
              </w:rPr>
            </w:pPr>
            <w:r>
              <w:rPr>
                <w:rFonts w:ascii="Arial" w:cs="Arial" w:eastAsia="Arial" w:hAnsi="Arial"/>
                <w:sz w:val="14"/>
                <w:szCs w:val="14"/>
                <w:b w:val="1"/>
                <w:bCs w:val="1"/>
                <w:color w:val="auto"/>
                <w:w w:val="89"/>
              </w:rPr>
              <w:t>Class A</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480"/>
              <w:spacing w:after="0" w:line="145" w:lineRule="exact"/>
              <w:rPr>
                <w:sz w:val="20"/>
                <w:szCs w:val="20"/>
                <w:color w:val="auto"/>
              </w:rPr>
            </w:pPr>
            <w:r>
              <w:rPr>
                <w:rFonts w:ascii="Arial" w:cs="Arial" w:eastAsia="Arial" w:hAnsi="Arial"/>
                <w:sz w:val="14"/>
                <w:szCs w:val="14"/>
                <w:b w:val="1"/>
                <w:bCs w:val="1"/>
                <w:color w:val="auto"/>
                <w:w w:val="96"/>
              </w:rPr>
              <w:t>Additional</w:t>
            </w: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center"/>
              <w:ind w:right="139"/>
              <w:spacing w:after="0" w:line="145" w:lineRule="exact"/>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2"/>
                <w:szCs w:val="12"/>
                <w:color w:val="auto"/>
              </w:rPr>
            </w:pPr>
          </w:p>
        </w:tc>
      </w:tr>
      <w:tr>
        <w:trPr>
          <w:trHeight w:val="160"/>
        </w:trPr>
        <w:tc>
          <w:tcPr>
            <w:tcW w:w="4860" w:type="dxa"/>
            <w:vAlign w:val="bottom"/>
          </w:tcPr>
          <w:p>
            <w:pPr>
              <w:spacing w:after="0"/>
              <w:rPr>
                <w:sz w:val="13"/>
                <w:szCs w:val="13"/>
                <w:color w:val="auto"/>
              </w:rPr>
            </w:pPr>
          </w:p>
        </w:tc>
        <w:tc>
          <w:tcPr>
            <w:tcW w:w="860" w:type="dxa"/>
            <w:vAlign w:val="bottom"/>
          </w:tcPr>
          <w:p>
            <w:pPr>
              <w:jc w:val="center"/>
              <w:ind w:left="222"/>
              <w:spacing w:after="0"/>
              <w:rPr>
                <w:sz w:val="20"/>
                <w:szCs w:val="20"/>
                <w:color w:val="auto"/>
              </w:rPr>
            </w:pPr>
            <w:r>
              <w:rPr>
                <w:rFonts w:ascii="Arial" w:cs="Arial" w:eastAsia="Arial" w:hAnsi="Arial"/>
                <w:sz w:val="14"/>
                <w:szCs w:val="14"/>
                <w:b w:val="1"/>
                <w:bCs w:val="1"/>
                <w:color w:val="auto"/>
                <w:w w:val="89"/>
              </w:rPr>
              <w:t>common</w:t>
            </w: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paid-in</w:t>
            </w:r>
          </w:p>
        </w:tc>
        <w:tc>
          <w:tcPr>
            <w:tcW w:w="280" w:type="dxa"/>
            <w:vAlign w:val="bottom"/>
          </w:tcPr>
          <w:p>
            <w:pPr>
              <w:spacing w:after="0"/>
              <w:rPr>
                <w:sz w:val="13"/>
                <w:szCs w:val="13"/>
                <w:color w:val="auto"/>
              </w:rPr>
            </w:pPr>
          </w:p>
        </w:tc>
        <w:tc>
          <w:tcPr>
            <w:tcW w:w="15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Retained</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stockholders'</w:t>
            </w:r>
          </w:p>
        </w:tc>
      </w:tr>
      <w:tr>
        <w:trPr>
          <w:trHeight w:val="170"/>
        </w:trPr>
        <w:tc>
          <w:tcPr>
            <w:tcW w:w="4860" w:type="dxa"/>
            <w:vAlign w:val="bottom"/>
          </w:tcPr>
          <w:p>
            <w:pPr>
              <w:spacing w:after="0"/>
              <w:rPr>
                <w:sz w:val="14"/>
                <w:szCs w:val="14"/>
                <w:color w:val="auto"/>
              </w:rPr>
            </w:pPr>
          </w:p>
        </w:tc>
        <w:tc>
          <w:tcPr>
            <w:tcW w:w="860" w:type="dxa"/>
            <w:vAlign w:val="bottom"/>
          </w:tcPr>
          <w:p>
            <w:pPr>
              <w:jc w:val="center"/>
              <w:ind w:left="222"/>
              <w:spacing w:after="0"/>
              <w:rPr>
                <w:sz w:val="20"/>
                <w:szCs w:val="20"/>
                <w:color w:val="auto"/>
              </w:rPr>
            </w:pPr>
            <w:r>
              <w:rPr>
                <w:rFonts w:ascii="Arial" w:cs="Arial" w:eastAsia="Arial" w:hAnsi="Arial"/>
                <w:sz w:val="14"/>
                <w:szCs w:val="14"/>
                <w:b w:val="1"/>
                <w:bCs w:val="1"/>
                <w:color w:val="auto"/>
                <w:w w:val="87"/>
              </w:rPr>
              <w:t>stock</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capital</w:t>
            </w:r>
          </w:p>
        </w:tc>
        <w:tc>
          <w:tcPr>
            <w:tcW w:w="280" w:type="dxa"/>
            <w:vAlign w:val="bottom"/>
          </w:tcPr>
          <w:p>
            <w:pPr>
              <w:spacing w:after="0"/>
              <w:rPr>
                <w:sz w:val="14"/>
                <w:szCs w:val="14"/>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equity</w:t>
            </w:r>
          </w:p>
        </w:tc>
      </w:tr>
      <w:tr>
        <w:trPr>
          <w:trHeight w:val="221"/>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860" w:type="dxa"/>
            <w:vAlign w:val="bottom"/>
            <w:tcBorders>
              <w:top w:val="single" w:sz="8" w:color="auto"/>
            </w:tcBorders>
            <w:shd w:val="clear" w:color="auto" w:fill="CFF0FC"/>
          </w:tcPr>
          <w:p>
            <w:pPr>
              <w:jc w:val="right"/>
              <w:ind w:right="682"/>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124</w:t>
            </w:r>
          </w:p>
        </w:tc>
        <w:tc>
          <w:tcPr>
            <w:tcW w:w="3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55,869</w:t>
            </w:r>
          </w:p>
        </w:tc>
        <w:tc>
          <w:tcPr>
            <w:tcW w:w="3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106,202</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162,195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7"/>
        </w:trPr>
        <w:tc>
          <w:tcPr>
            <w:tcW w:w="4860" w:type="dxa"/>
            <w:vAlign w:val="bottom"/>
          </w:tcPr>
          <w:p>
            <w:pPr>
              <w:spacing w:after="0"/>
              <w:rPr>
                <w:sz w:val="20"/>
                <w:szCs w:val="20"/>
                <w:color w:val="auto"/>
              </w:rPr>
            </w:pPr>
            <w:r>
              <w:rPr>
                <w:rFonts w:ascii="Arial" w:cs="Arial" w:eastAsia="Arial" w:hAnsi="Arial"/>
                <w:sz w:val="18"/>
                <w:szCs w:val="18"/>
                <w:color w:val="auto"/>
              </w:rPr>
              <w:t>Net income</w:t>
            </w:r>
          </w:p>
        </w:tc>
        <w:tc>
          <w:tcPr>
            <w:tcW w:w="8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4,271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4,271</w:t>
            </w:r>
          </w:p>
        </w:tc>
        <w:tc>
          <w:tcPr>
            <w:tcW w:w="120" w:type="dxa"/>
            <w:vAlign w:val="bottom"/>
          </w:tcPr>
          <w:p>
            <w:pPr>
              <w:spacing w:after="0"/>
              <w:rPr>
                <w:sz w:val="19"/>
                <w:szCs w:val="19"/>
                <w:color w:val="auto"/>
              </w:rPr>
            </w:pPr>
          </w:p>
        </w:tc>
      </w:tr>
      <w:tr>
        <w:trPr>
          <w:trHeight w:val="228"/>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Cash dividends ($0.10 per share)</w:t>
            </w: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(1,244)</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(1,244)</w:t>
            </w:r>
          </w:p>
        </w:tc>
      </w:tr>
      <w:tr>
        <w:trPr>
          <w:trHeight w:val="221"/>
        </w:trPr>
        <w:tc>
          <w:tcPr>
            <w:tcW w:w="4860" w:type="dxa"/>
            <w:vAlign w:val="bottom"/>
          </w:tcPr>
          <w:p>
            <w:pPr>
              <w:spacing w:after="0"/>
              <w:rPr>
                <w:sz w:val="20"/>
                <w:szCs w:val="20"/>
                <w:color w:val="auto"/>
              </w:rPr>
            </w:pPr>
            <w:r>
              <w:rPr>
                <w:rFonts w:ascii="Arial" w:cs="Arial" w:eastAsia="Arial" w:hAnsi="Arial"/>
                <w:sz w:val="18"/>
                <w:szCs w:val="18"/>
                <w:b w:val="1"/>
                <w:bCs w:val="1"/>
                <w:color w:val="auto"/>
              </w:rPr>
              <w:t>Balance at March 31, 2020</w:t>
            </w:r>
          </w:p>
        </w:tc>
        <w:tc>
          <w:tcPr>
            <w:tcW w:w="860" w:type="dxa"/>
            <w:vAlign w:val="bottom"/>
            <w:tcBorders>
              <w:top w:val="single" w:sz="8" w:color="auto"/>
              <w:bottom w:val="single" w:sz="8" w:color="auto"/>
            </w:tcBorders>
          </w:tcPr>
          <w:p>
            <w:pPr>
              <w:jc w:val="right"/>
              <w:ind w:right="682"/>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124</w:t>
            </w: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55,869</w:t>
            </w:r>
          </w:p>
        </w:tc>
        <w:tc>
          <w:tcPr>
            <w:tcW w:w="3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109,229</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165,222</w:t>
            </w:r>
          </w:p>
        </w:tc>
        <w:tc>
          <w:tcPr>
            <w:tcW w:w="120" w:type="dxa"/>
            <w:vAlign w:val="bottom"/>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5073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ind w:right="-439"/>
        <w:spacing w:after="0"/>
        <w:rPr>
          <w:sz w:val="20"/>
          <w:szCs w:val="20"/>
          <w:color w:val="auto"/>
        </w:rPr>
      </w:pPr>
      <w:r>
        <w:rPr>
          <w:rFonts w:ascii="Arial" w:cs="Arial" w:eastAsia="Arial" w:hAnsi="Arial"/>
          <w:sz w:val="18"/>
          <w:szCs w:val="18"/>
          <w:b w:val="1"/>
          <w:bCs w:val="1"/>
          <w:color w:val="auto"/>
        </w:rPr>
        <w:t>COMPX INTERNATIONAL INC.</w:t>
      </w:r>
    </w:p>
    <w:p>
      <w:pPr>
        <w:spacing w:after="0" w:line="114"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14"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0"/>
              </w:rPr>
              <w:t>Three months ended</w:t>
            </w:r>
          </w:p>
        </w:tc>
      </w:tr>
      <w:tr>
        <w:trPr>
          <w:trHeight w:val="212"/>
        </w:trPr>
        <w:tc>
          <w:tcPr>
            <w:tcW w:w="8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center"/>
              <w:ind w:left="474"/>
              <w:spacing w:after="0"/>
              <w:rPr>
                <w:sz w:val="20"/>
                <w:szCs w:val="20"/>
                <w:color w:val="auto"/>
              </w:rPr>
            </w:pPr>
            <w:r>
              <w:rPr>
                <w:rFonts w:ascii="Arial" w:cs="Arial" w:eastAsia="Arial" w:hAnsi="Arial"/>
                <w:sz w:val="14"/>
                <w:szCs w:val="14"/>
                <w:b w:val="1"/>
                <w:bCs w:val="1"/>
                <w:color w:val="auto"/>
                <w:w w:val="95"/>
              </w:rPr>
              <w:t>March 31,</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1"/>
        </w:trPr>
        <w:tc>
          <w:tcPr>
            <w:tcW w:w="8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r>
      <w:tr>
        <w:trPr>
          <w:trHeight w:val="221"/>
        </w:trPr>
        <w:tc>
          <w:tcPr>
            <w:tcW w:w="8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3"/>
          </w:tcPr>
          <w:p>
            <w:pPr>
              <w:jc w:val="center"/>
              <w:ind w:left="494"/>
              <w:spacing w:after="0"/>
              <w:rPr>
                <w:sz w:val="20"/>
                <w:szCs w:val="20"/>
                <w:color w:val="auto"/>
              </w:rPr>
            </w:pPr>
            <w:r>
              <w:rPr>
                <w:rFonts w:ascii="Arial" w:cs="Arial" w:eastAsia="Arial" w:hAnsi="Arial"/>
                <w:sz w:val="14"/>
                <w:szCs w:val="14"/>
                <w:b w:val="1"/>
                <w:bCs w:val="1"/>
                <w:color w:val="auto"/>
                <w:w w:val="94"/>
              </w:rPr>
              <w:t>(unaudited)</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81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812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3,986</w:t>
            </w:r>
          </w:p>
        </w:tc>
        <w:tc>
          <w:tcPr>
            <w:tcW w:w="26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4,271</w:t>
            </w:r>
          </w:p>
        </w:tc>
        <w:tc>
          <w:tcPr>
            <w:tcW w:w="100" w:type="dxa"/>
            <w:vAlign w:val="bottom"/>
          </w:tcPr>
          <w:p>
            <w:pPr>
              <w:spacing w:after="0"/>
              <w:rPr>
                <w:sz w:val="19"/>
                <w:szCs w:val="19"/>
                <w:color w:val="auto"/>
              </w:rPr>
            </w:pPr>
          </w:p>
        </w:tc>
      </w:tr>
      <w:tr>
        <w:trPr>
          <w:trHeight w:val="227"/>
        </w:trPr>
        <w:tc>
          <w:tcPr>
            <w:tcW w:w="8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950</w:t>
            </w:r>
          </w:p>
        </w:tc>
        <w:tc>
          <w:tcPr>
            <w:tcW w:w="100" w:type="dxa"/>
            <w:vAlign w:val="bottom"/>
            <w:shd w:val="clear" w:color="auto" w:fill="CFF0FC"/>
          </w:tcPr>
          <w:p>
            <w:pPr>
              <w:spacing w:after="0"/>
              <w:rPr>
                <w:sz w:val="19"/>
                <w:szCs w:val="19"/>
                <w:color w:val="auto"/>
              </w:rPr>
            </w:pPr>
          </w:p>
        </w:tc>
      </w:tr>
      <w:tr>
        <w:trPr>
          <w:trHeight w:val="227"/>
        </w:trPr>
        <w:tc>
          <w:tcPr>
            <w:tcW w:w="812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93</w:t>
            </w:r>
          </w:p>
        </w:tc>
        <w:tc>
          <w:tcPr>
            <w:tcW w:w="100" w:type="dxa"/>
            <w:vAlign w:val="bottom"/>
          </w:tcPr>
          <w:p>
            <w:pPr>
              <w:spacing w:after="0"/>
              <w:rPr>
                <w:sz w:val="19"/>
                <w:szCs w:val="19"/>
                <w:color w:val="auto"/>
              </w:rPr>
            </w:pPr>
          </w:p>
        </w:tc>
      </w:tr>
      <w:tr>
        <w:trPr>
          <w:trHeight w:val="227"/>
        </w:trPr>
        <w:tc>
          <w:tcPr>
            <w:tcW w:w="8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net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62</w:t>
            </w:r>
          </w:p>
        </w:tc>
        <w:tc>
          <w:tcPr>
            <w:tcW w:w="100" w:type="dxa"/>
            <w:vAlign w:val="bottom"/>
            <w:shd w:val="clear" w:color="auto" w:fill="CFF0FC"/>
          </w:tcPr>
          <w:p>
            <w:pPr>
              <w:spacing w:after="0"/>
              <w:rPr>
                <w:sz w:val="19"/>
                <w:szCs w:val="19"/>
                <w:color w:val="auto"/>
              </w:rPr>
            </w:pPr>
          </w:p>
        </w:tc>
      </w:tr>
      <w:tr>
        <w:trPr>
          <w:trHeight w:val="227"/>
        </w:trPr>
        <w:tc>
          <w:tcPr>
            <w:tcW w:w="8120" w:type="dxa"/>
            <w:vAlign w:val="bottom"/>
          </w:tcPr>
          <w:p>
            <w:pPr>
              <w:ind w:left="260"/>
              <w:spacing w:after="0"/>
              <w:rPr>
                <w:sz w:val="20"/>
                <w:szCs w:val="20"/>
                <w:color w:val="auto"/>
              </w:rPr>
            </w:pPr>
            <w:r>
              <w:rPr>
                <w:rFonts w:ascii="Arial" w:cs="Arial" w:eastAsia="Arial" w:hAnsi="Arial"/>
                <w:sz w:val="18"/>
                <w:szCs w:val="18"/>
                <w:color w:val="auto"/>
              </w:rPr>
              <w:t>Change in assets and liabilities: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81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(3,221)</w:t>
            </w:r>
          </w:p>
        </w:tc>
        <w:tc>
          <w:tcPr>
            <w:tcW w:w="3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(3,362)</w:t>
            </w:r>
          </w:p>
        </w:tc>
      </w:tr>
      <w:tr>
        <w:trPr>
          <w:trHeight w:val="227"/>
        </w:trPr>
        <w:tc>
          <w:tcPr>
            <w:tcW w:w="8120" w:type="dxa"/>
            <w:vAlign w:val="bottom"/>
          </w:tcPr>
          <w:p>
            <w:pPr>
              <w:ind w:left="500"/>
              <w:spacing w:after="0"/>
              <w:rPr>
                <w:sz w:val="20"/>
                <w:szCs w:val="20"/>
                <w:color w:val="auto"/>
              </w:rPr>
            </w:pPr>
            <w:r>
              <w:rPr>
                <w:rFonts w:ascii="Arial" w:cs="Arial" w:eastAsia="Arial" w:hAnsi="Arial"/>
                <w:sz w:val="18"/>
                <w:szCs w:val="18"/>
                <w:color w:val="auto"/>
              </w:rPr>
              <w:t>Inventories, net</w:t>
            </w:r>
          </w:p>
        </w:tc>
        <w:tc>
          <w:tcPr>
            <w:tcW w:w="24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(1,475)</w:t>
            </w:r>
          </w:p>
        </w:tc>
        <w:tc>
          <w:tcPr>
            <w:tcW w:w="3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(673)</w:t>
            </w:r>
          </w:p>
        </w:tc>
      </w:tr>
      <w:tr>
        <w:trPr>
          <w:trHeight w:val="227"/>
        </w:trPr>
        <w:tc>
          <w:tcPr>
            <w:tcW w:w="81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 and accrued liabilities</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(3,216)</w:t>
            </w:r>
          </w:p>
        </w:tc>
        <w:tc>
          <w:tcPr>
            <w:tcW w:w="3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(3,011)</w:t>
            </w:r>
          </w:p>
        </w:tc>
      </w:tr>
      <w:tr>
        <w:trPr>
          <w:trHeight w:val="227"/>
        </w:trPr>
        <w:tc>
          <w:tcPr>
            <w:tcW w:w="8120" w:type="dxa"/>
            <w:vAlign w:val="bottom"/>
          </w:tcPr>
          <w:p>
            <w:pPr>
              <w:ind w:left="500"/>
              <w:spacing w:after="0"/>
              <w:rPr>
                <w:sz w:val="20"/>
                <w:szCs w:val="20"/>
                <w:color w:val="auto"/>
              </w:rPr>
            </w:pPr>
            <w:r>
              <w:rPr>
                <w:rFonts w:ascii="Arial" w:cs="Arial" w:eastAsia="Arial" w:hAnsi="Arial"/>
                <w:sz w:val="18"/>
                <w:szCs w:val="18"/>
                <w:color w:val="auto"/>
              </w:rPr>
              <w:t>Accounts with affiliates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541</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1,389</w:t>
            </w:r>
          </w:p>
        </w:tc>
        <w:tc>
          <w:tcPr>
            <w:tcW w:w="100" w:type="dxa"/>
            <w:vAlign w:val="bottom"/>
          </w:tcPr>
          <w:p>
            <w:pPr>
              <w:spacing w:after="0"/>
              <w:rPr>
                <w:sz w:val="19"/>
                <w:szCs w:val="19"/>
                <w:color w:val="auto"/>
              </w:rPr>
            </w:pPr>
          </w:p>
        </w:tc>
      </w:tr>
      <w:tr>
        <w:trPr>
          <w:trHeight w:val="227"/>
        </w:trPr>
        <w:tc>
          <w:tcPr>
            <w:tcW w:w="81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Prepaids and other, net</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2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76</w:t>
            </w:r>
          </w:p>
        </w:tc>
        <w:tc>
          <w:tcPr>
            <w:tcW w:w="100" w:type="dxa"/>
            <w:vAlign w:val="bottom"/>
            <w:shd w:val="clear" w:color="auto" w:fill="CFF0FC"/>
          </w:tcPr>
          <w:p>
            <w:pPr>
              <w:spacing w:after="0"/>
              <w:rPr>
                <w:sz w:val="19"/>
                <w:szCs w:val="19"/>
                <w:color w:val="auto"/>
              </w:rPr>
            </w:pPr>
          </w:p>
        </w:tc>
      </w:tr>
      <w:tr>
        <w:trPr>
          <w:trHeight w:val="221"/>
        </w:trPr>
        <w:tc>
          <w:tcPr>
            <w:tcW w:w="812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(2,036)</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w:t>
            </w:r>
          </w:p>
        </w:tc>
        <w:tc>
          <w:tcPr>
            <w:tcW w:w="100" w:type="dxa"/>
            <w:vAlign w:val="bottom"/>
            <w:tcBorders>
              <w:bottom w:val="single" w:sz="8" w:color="CFF0FC"/>
            </w:tcBorders>
          </w:tcPr>
          <w:p>
            <w:pPr>
              <w:spacing w:after="0"/>
              <w:rPr>
                <w:sz w:val="19"/>
                <w:szCs w:val="19"/>
                <w:color w:val="auto"/>
              </w:rPr>
            </w:pPr>
          </w:p>
        </w:tc>
      </w:tr>
      <w:tr>
        <w:trPr>
          <w:trHeight w:val="221"/>
        </w:trPr>
        <w:tc>
          <w:tcPr>
            <w:tcW w:w="81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8120" w:type="dxa"/>
            <w:vAlign w:val="bottom"/>
          </w:tcPr>
          <w:p>
            <w:pPr>
              <w:ind w:left="26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(439)</w:t>
            </w:r>
          </w:p>
        </w:tc>
        <w:tc>
          <w:tcPr>
            <w:tcW w:w="3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(360)</w:t>
            </w:r>
          </w:p>
        </w:tc>
      </w:tr>
      <w:tr>
        <w:trPr>
          <w:trHeight w:val="227"/>
        </w:trPr>
        <w:tc>
          <w:tcPr>
            <w:tcW w:w="8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Note receivable from affiliate: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8120" w:type="dxa"/>
            <w:vAlign w:val="bottom"/>
          </w:tcPr>
          <w:p>
            <w:pPr>
              <w:ind w:left="500"/>
              <w:spacing w:after="0"/>
              <w:rPr>
                <w:sz w:val="20"/>
                <w:szCs w:val="20"/>
                <w:color w:val="auto"/>
              </w:rPr>
            </w:pPr>
            <w:r>
              <w:rPr>
                <w:rFonts w:ascii="Arial" w:cs="Arial" w:eastAsia="Arial" w:hAnsi="Arial"/>
                <w:sz w:val="18"/>
                <w:szCs w:val="18"/>
                <w:color w:val="auto"/>
              </w:rPr>
              <w:t>Collections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11,400</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18,228</w:t>
            </w:r>
          </w:p>
        </w:tc>
        <w:tc>
          <w:tcPr>
            <w:tcW w:w="100" w:type="dxa"/>
            <w:vAlign w:val="bottom"/>
          </w:tcPr>
          <w:p>
            <w:pPr>
              <w:spacing w:after="0"/>
              <w:rPr>
                <w:sz w:val="19"/>
                <w:szCs w:val="19"/>
                <w:color w:val="auto"/>
              </w:rPr>
            </w:pPr>
          </w:p>
        </w:tc>
      </w:tr>
      <w:tr>
        <w:trPr>
          <w:trHeight w:val="227"/>
        </w:trPr>
        <w:tc>
          <w:tcPr>
            <w:tcW w:w="81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Advances</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(17,400)</w:t>
            </w:r>
          </w:p>
        </w:tc>
        <w:tc>
          <w:tcPr>
            <w:tcW w:w="3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(15,628)</w:t>
            </w:r>
          </w:p>
        </w:tc>
      </w:tr>
      <w:tr>
        <w:trPr>
          <w:trHeight w:val="221"/>
        </w:trPr>
        <w:tc>
          <w:tcPr>
            <w:tcW w:w="812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(6,439)</w:t>
            </w:r>
          </w:p>
        </w:tc>
        <w:tc>
          <w:tcPr>
            <w:tcW w:w="26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2,240</w:t>
            </w:r>
          </w:p>
        </w:tc>
        <w:tc>
          <w:tcPr>
            <w:tcW w:w="100" w:type="dxa"/>
            <w:vAlign w:val="bottom"/>
            <w:tcBorders>
              <w:bottom w:val="single" w:sz="8" w:color="CFF0FC"/>
            </w:tcBorders>
          </w:tcPr>
          <w:p>
            <w:pPr>
              <w:spacing w:after="0"/>
              <w:rPr>
                <w:sz w:val="19"/>
                <w:szCs w:val="19"/>
                <w:color w:val="auto"/>
              </w:rPr>
            </w:pPr>
          </w:p>
        </w:tc>
      </w:tr>
      <w:tr>
        <w:trPr>
          <w:trHeight w:val="221"/>
        </w:trPr>
        <w:tc>
          <w:tcPr>
            <w:tcW w:w="81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 -</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8120" w:type="dxa"/>
            <w:vAlign w:val="bottom"/>
          </w:tcPr>
          <w:p>
            <w:pPr>
              <w:ind w:left="260"/>
              <w:spacing w:after="0"/>
              <w:rPr>
                <w:sz w:val="20"/>
                <w:szCs w:val="20"/>
                <w:color w:val="auto"/>
              </w:rPr>
            </w:pPr>
            <w:r>
              <w:rPr>
                <w:rFonts w:ascii="Arial" w:cs="Arial" w:eastAsia="Arial" w:hAnsi="Arial"/>
                <w:sz w:val="18"/>
                <w:szCs w:val="18"/>
                <w:color w:val="auto"/>
              </w:rPr>
              <w:t>Dividends paid</w:t>
            </w:r>
          </w:p>
        </w:tc>
        <w:tc>
          <w:tcPr>
            <w:tcW w:w="24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(870)</w:t>
            </w:r>
          </w:p>
        </w:tc>
        <w:tc>
          <w:tcPr>
            <w:tcW w:w="3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(1,244)</w:t>
            </w:r>
          </w:p>
        </w:tc>
      </w:tr>
      <w:tr>
        <w:trPr>
          <w:trHeight w:val="221"/>
        </w:trPr>
        <w:tc>
          <w:tcPr>
            <w:tcW w:w="8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 net change from:</w:t>
            </w: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8120" w:type="dxa"/>
            <w:vAlign w:val="bottom"/>
          </w:tcPr>
          <w:p>
            <w:pPr>
              <w:ind w:left="260"/>
              <w:spacing w:after="0"/>
              <w:rPr>
                <w:sz w:val="20"/>
                <w:szCs w:val="20"/>
                <w:color w:val="auto"/>
              </w:rPr>
            </w:pPr>
            <w:r>
              <w:rPr>
                <w:rFonts w:ascii="Arial" w:cs="Arial" w:eastAsia="Arial" w:hAnsi="Arial"/>
                <w:sz w:val="18"/>
                <w:szCs w:val="18"/>
                <w:color w:val="auto"/>
              </w:rPr>
              <w:t>Operating, investing and financing activities</w:t>
            </w:r>
          </w:p>
        </w:tc>
        <w:tc>
          <w:tcPr>
            <w:tcW w:w="24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(9,345)</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791</w:t>
            </w:r>
          </w:p>
        </w:tc>
        <w:tc>
          <w:tcPr>
            <w:tcW w:w="100" w:type="dxa"/>
            <w:vAlign w:val="bottom"/>
          </w:tcPr>
          <w:p>
            <w:pPr>
              <w:spacing w:after="0"/>
              <w:rPr>
                <w:sz w:val="19"/>
                <w:szCs w:val="19"/>
                <w:color w:val="auto"/>
              </w:rPr>
            </w:pPr>
          </w:p>
        </w:tc>
      </w:tr>
      <w:tr>
        <w:trPr>
          <w:trHeight w:val="227"/>
        </w:trPr>
        <w:tc>
          <w:tcPr>
            <w:tcW w:w="812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45,414</w:t>
            </w:r>
          </w:p>
        </w:tc>
        <w:tc>
          <w:tcPr>
            <w:tcW w:w="2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63,255</w:t>
            </w:r>
          </w:p>
        </w:tc>
        <w:tc>
          <w:tcPr>
            <w:tcW w:w="100" w:type="dxa"/>
            <w:vAlign w:val="bottom"/>
            <w:shd w:val="clear" w:color="auto" w:fill="CFF0FC"/>
          </w:tcPr>
          <w:p>
            <w:pPr>
              <w:spacing w:after="0"/>
              <w:rPr>
                <w:sz w:val="19"/>
                <w:szCs w:val="19"/>
                <w:color w:val="auto"/>
              </w:rPr>
            </w:pPr>
          </w:p>
        </w:tc>
      </w:tr>
      <w:tr>
        <w:trPr>
          <w:trHeight w:val="261"/>
        </w:trPr>
        <w:tc>
          <w:tcPr>
            <w:tcW w:w="8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end of period</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36,069</w:t>
            </w:r>
          </w:p>
        </w:tc>
        <w:tc>
          <w:tcPr>
            <w:tcW w:w="26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64,046</w:t>
            </w:r>
          </w:p>
        </w:tc>
        <w:tc>
          <w:tcPr>
            <w:tcW w:w="100" w:type="dxa"/>
            <w:vAlign w:val="bottom"/>
            <w:tcBorders>
              <w:bottom w:val="single" w:sz="8" w:color="CFF0FC"/>
            </w:tcBorders>
          </w:tcPr>
          <w:p>
            <w:pPr>
              <w:spacing w:after="0"/>
              <w:rPr>
                <w:sz w:val="22"/>
                <w:szCs w:val="22"/>
                <w:color w:val="auto"/>
              </w:rPr>
            </w:pPr>
          </w:p>
        </w:tc>
      </w:tr>
      <w:tr>
        <w:trPr>
          <w:trHeight w:val="207"/>
        </w:trPr>
        <w:tc>
          <w:tcPr>
            <w:tcW w:w="8120" w:type="dxa"/>
            <w:vAlign w:val="bottom"/>
            <w:shd w:val="clear" w:color="auto" w:fill="CFF0FC"/>
          </w:tcPr>
          <w:p>
            <w:pPr>
              <w:spacing w:after="0" w:line="206" w:lineRule="exact"/>
              <w:rPr>
                <w:sz w:val="20"/>
                <w:szCs w:val="20"/>
                <w:color w:val="auto"/>
              </w:rPr>
            </w:pPr>
            <w:r>
              <w:rPr>
                <w:rFonts w:ascii="Arial" w:cs="Arial" w:eastAsia="Arial" w:hAnsi="Arial"/>
                <w:sz w:val="18"/>
                <w:szCs w:val="18"/>
                <w:color w:val="auto"/>
              </w:rPr>
              <w:t>Supplemental disclosures -</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1"/>
        </w:trPr>
        <w:tc>
          <w:tcPr>
            <w:tcW w:w="8120" w:type="dxa"/>
            <w:vAlign w:val="bottom"/>
          </w:tcPr>
          <w:p>
            <w:pPr>
              <w:ind w:left="260"/>
              <w:spacing w:after="0"/>
              <w:rPr>
                <w:sz w:val="20"/>
                <w:szCs w:val="20"/>
                <w:color w:val="auto"/>
              </w:rPr>
            </w:pPr>
            <w:r>
              <w:rPr>
                <w:rFonts w:ascii="Arial" w:cs="Arial" w:eastAsia="Arial" w:hAnsi="Arial"/>
                <w:sz w:val="18"/>
                <w:szCs w:val="18"/>
                <w:color w:val="auto"/>
              </w:rPr>
              <w:t>Cash paid for income taxes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993</w:t>
            </w:r>
          </w:p>
        </w:tc>
        <w:tc>
          <w:tcPr>
            <w:tcW w:w="260" w:type="dxa"/>
            <w:vAlign w:val="bottom"/>
          </w:tcPr>
          <w:p>
            <w:pPr>
              <w:spacing w:after="0"/>
              <w:rPr>
                <w:sz w:val="20"/>
                <w:szCs w:val="20"/>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5073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0800"/>
          </w:cols>
          <w:pgMar w:left="320" w:top="121" w:right="7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118"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6"/>
          <w:szCs w:val="16"/>
          <w:i w:val="1"/>
          <w:iCs w:val="1"/>
          <w:color w:val="auto"/>
        </w:rPr>
        <w:t>Organization</w:t>
      </w:r>
      <w:r>
        <w:rPr>
          <w:rFonts w:ascii="Arial" w:cs="Arial" w:eastAsia="Arial" w:hAnsi="Arial"/>
          <w:sz w:val="16"/>
          <w:szCs w:val="16"/>
          <w:color w:val="auto"/>
        </w:rPr>
        <w:t>. We (NYSE American: CIX) were 86% owned by NL Industries, Inc. (NYSE: NL) at March 31, 2020. We manufacture and sell</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 products (security products and recreational marine components). At March 31, 2020, Valhi, Inc. (NYSE: VHI) owned 83% of NL’s outstanding common stock and a wholly-owned subsidiary of Contran Corporation owned 92% of Valhi’s outstanding common stock. At March 31, 2020, a majority of Contran’s outstanding voting stock was held directly by Lisa K. Simmons and Serena Simmons Connelly and various family trusts established for the benefit of Ms. Simmons and Ms. Connelly and their children and for which Ms. Simmons or Ms. Connelly, as applicable, served as trustee (collectively, the “Other Trusts”). In addition, each of Ms. Simmons and Ms. Connelly served as co-chair of the Contran board of directors. The remainder of Contran’s outstanding voting stock is held by another trust (the “Family Trust”), which was established for the benefit of Ms. Simmons and Ms. Connelly and their children and for which a third-party financial institution serves as trustee. Consequently, at March 31, 2020, Ms. Simmons, Ms. Connelly and the Family Trust may be deemed to control Contran, and therefore may be deemed to indirectly control the wholly-owned subsidiary of Contran, Valhi, NL and us.</w:t>
      </w:r>
    </w:p>
    <w:p>
      <w:pPr>
        <w:spacing w:after="0" w:line="60" w:lineRule="exact"/>
        <w:rPr>
          <w:sz w:val="20"/>
          <w:szCs w:val="20"/>
          <w:color w:val="auto"/>
        </w:rPr>
      </w:pPr>
    </w:p>
    <w:p>
      <w:pPr>
        <w:jc w:val="both"/>
        <w:ind w:firstLine="510"/>
        <w:spacing w:after="0" w:line="266" w:lineRule="auto"/>
        <w:rPr>
          <w:sz w:val="20"/>
          <w:szCs w:val="20"/>
          <w:color w:val="auto"/>
        </w:rPr>
      </w:pPr>
      <w:r>
        <w:rPr>
          <w:rFonts w:ascii="Arial" w:cs="Arial" w:eastAsia="Arial" w:hAnsi="Arial"/>
          <w:sz w:val="17"/>
          <w:szCs w:val="17"/>
          <w:color w:val="auto"/>
        </w:rPr>
        <w:t>Following the death of Ms. Connelly on April 22, 2020, Ms. Simmons and the Family Trust continue to directly hold their shares of Contran voting stock. Under the terms of the Contran Corporation Amended and Restated Stockholders Agreement dated September 9, 2019 (the “Contran Stockholders Agreement”), and with respect to the shares of Contran voting stock held directly by Ms. Connelly at the time of her death (the “Connelly Direct Shares”), the independent executor of the estate of Ms. Connelly (prior to the completion of the probate of such estate) and the legatee of the Connelly Direct Shares (following completion of the probate of such estate) is required to vote the Connelly Direct Shares in the same manner as Ms. Simmons. Also under the terms of the Contran Stockholders Agreement, and with respect to the shares of Contran voting stock held by the Other Trusts for which Ms. Connelly previously served as trustee and for which her successor trustee is someone other than Ms. Simmons (the “Connelly Indirect Shares”), such successor trustee is also required to vote the Connelly Indirect Shares in the same manner as Ms. Simmons. Such voting rights of Ms. Simmons with respect to the Connelly Direct Shares and the Connelly Indirect Shares last through April 22, 2030 and are personal to Ms. Simmons. Consequently, at April 22, 2020, Ms. Simmons and the Family Trust may be deemed to control Contran, and therefore may be deemed to indirectly control the wholly-owned subsidiary of Contran, Valhi, NL and us.</w:t>
      </w:r>
    </w:p>
    <w:p>
      <w:pPr>
        <w:spacing w:after="0" w:line="292" w:lineRule="exact"/>
        <w:rPr>
          <w:sz w:val="20"/>
          <w:szCs w:val="20"/>
          <w:color w:val="auto"/>
        </w:rPr>
      </w:pPr>
    </w:p>
    <w:p>
      <w:pPr>
        <w:jc w:val="both"/>
        <w:ind w:firstLine="510"/>
        <w:spacing w:after="0" w:line="284" w:lineRule="auto"/>
        <w:rPr>
          <w:sz w:val="20"/>
          <w:szCs w:val="20"/>
          <w:color w:val="auto"/>
        </w:rPr>
      </w:pPr>
      <w:r>
        <w:rPr>
          <w:rFonts w:ascii="Arial" w:cs="Arial" w:eastAsia="Arial" w:hAnsi="Arial"/>
          <w:sz w:val="16"/>
          <w:szCs w:val="16"/>
          <w:i w:val="1"/>
          <w:iCs w:val="1"/>
          <w:color w:val="auto"/>
        </w:rPr>
        <w:t xml:space="preserve">Basis of presentation. </w:t>
      </w:r>
      <w:r>
        <w:rPr>
          <w:rFonts w:ascii="Arial" w:cs="Arial" w:eastAsia="Arial" w:hAnsi="Arial"/>
          <w:sz w:val="16"/>
          <w:szCs w:val="16"/>
          <w:color w:val="auto"/>
        </w:rPr>
        <w:t>Consolidated in this Quarterly Report are the results of CompX International Inc. and its subsidiaries. The unaudited</w:t>
      </w:r>
      <w:r>
        <w:rPr>
          <w:rFonts w:ascii="Arial" w:cs="Arial" w:eastAsia="Arial" w:hAnsi="Arial"/>
          <w:sz w:val="16"/>
          <w:szCs w:val="16"/>
          <w:i w:val="1"/>
          <w:iCs w:val="1"/>
          <w:color w:val="auto"/>
        </w:rPr>
        <w:t xml:space="preserve"> </w:t>
      </w:r>
      <w:r>
        <w:rPr>
          <w:rFonts w:ascii="Arial" w:cs="Arial" w:eastAsia="Arial" w:hAnsi="Arial"/>
          <w:sz w:val="16"/>
          <w:szCs w:val="16"/>
          <w:color w:val="auto"/>
        </w:rPr>
        <w:t>Condensed Consolidated Financial Statements contained in this Quarterly Report have been prepared on the same basis as the audited Consolidated Financial Statements included in our Annual Report on Form 10-K for the year ended December 31, 2019 that we filed with the Securities and Exchange Commission (“SEC”) on February 26, 2020 (the “2019 Annual Report”). In our opinion, we have made all necessary adjustments (which include only normal recurring adjustments) in order to state fairly, in all material respects, our consolidated financial position, results of operations and cash flows as of the dates and for the periods presented. We have condensed the Consolidated Balance Sheet at December 31, 2019 contained in this Quarterly Report as compared to our audited Consolidated Financial Statements at that date, and we have omitted certain information and footnote disclosures (including those related to the Consolidated Balance Sheet at December 31, 2019) normally included in financial statements prepared in accordance with accounting principles generally accepted in the United States of America (“GAAP”). Our results of operations for the interim period ended March 31, 2020 may not be indicative of our operating results for the full year. The Condensed Consolidated Financial Statements contained in this Quarterly Report should be read in conjunction with our 2019 Consolidated Financial Statements contained in our 2019 Annual Report.</w:t>
      </w:r>
    </w:p>
    <w:p>
      <w:pPr>
        <w:spacing w:after="0" w:line="66"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Our operations are reported on a 52 or 53-week year. For presentation purposes, annual and quarterly information in the Condensed Consolidated Financial Statements and accompanying notes are presented as ended March 31, 2019, December 31, 2019 and March 31, 2020. The actual dates of our annual and quarterly periods are March 31, 2019, December 29, 2019 and March 29, 2020, respectively. Unless otherwise indicated, references in this report to “we”, “us” or “our” refer to CompX International Inc. and its subsidiaries, taken as a whole.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5073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 2 – Business segment information: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6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0"/>
              </w:rPr>
              <w:t>Three months ended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2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center"/>
              <w:ind w:left="716"/>
              <w:spacing w:after="0"/>
              <w:rPr>
                <w:sz w:val="20"/>
                <w:szCs w:val="20"/>
                <w:color w:val="auto"/>
              </w:rPr>
            </w:pPr>
            <w:r>
              <w:rPr>
                <w:rFonts w:ascii="Arial" w:cs="Arial" w:eastAsia="Arial" w:hAnsi="Arial"/>
                <w:sz w:val="14"/>
                <w:szCs w:val="14"/>
                <w:b w:val="1"/>
                <w:bCs w:val="1"/>
                <w:color w:val="auto"/>
                <w:w w:val="95"/>
              </w:rPr>
              <w:t>March 31,</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2019</w:t>
            </w:r>
          </w:p>
        </w:tc>
        <w:tc>
          <w:tcPr>
            <w:tcW w:w="2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3"/>
          </w:tcPr>
          <w:p>
            <w:pPr>
              <w:jc w:val="center"/>
              <w:ind w:left="736"/>
              <w:spacing w:after="0"/>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4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ind w:left="500"/>
              <w:spacing w:after="0"/>
              <w:rPr>
                <w:sz w:val="20"/>
                <w:szCs w:val="20"/>
                <w:color w:val="auto"/>
              </w:rPr>
            </w:pPr>
            <w:r>
              <w:rPr>
                <w:rFonts w:ascii="Arial" w:cs="Arial" w:eastAsia="Arial" w:hAnsi="Arial"/>
                <w:sz w:val="18"/>
                <w:szCs w:val="18"/>
                <w:color w:val="auto"/>
              </w:rPr>
              <w:t>Security Products</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24,704</w:t>
            </w:r>
          </w:p>
        </w:tc>
        <w:tc>
          <w:tcPr>
            <w:tcW w:w="28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25,469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Marine Components</w:t>
            </w:r>
          </w:p>
        </w:tc>
        <w:tc>
          <w:tcPr>
            <w:tcW w:w="40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6,472</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6,842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26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net sales</w:t>
            </w:r>
          </w:p>
        </w:tc>
        <w:tc>
          <w:tcPr>
            <w:tcW w:w="406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31,176</w:t>
            </w:r>
          </w:p>
        </w:tc>
        <w:tc>
          <w:tcPr>
            <w:tcW w:w="28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32,311</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4260" w:type="dxa"/>
            <w:vAlign w:val="bottom"/>
            <w:shd w:val="clear" w:color="auto" w:fill="CFF0FC"/>
          </w:tcPr>
          <w:p>
            <w:pPr>
              <w:spacing w:after="0"/>
              <w:rPr>
                <w:sz w:val="18"/>
                <w:szCs w:val="18"/>
                <w:color w:val="auto"/>
              </w:rPr>
            </w:pPr>
          </w:p>
        </w:tc>
        <w:tc>
          <w:tcPr>
            <w:tcW w:w="4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Arial" w:cs="Arial" w:eastAsia="Arial" w:hAnsi="Arial"/>
                <w:sz w:val="18"/>
                <w:szCs w:val="18"/>
                <w:color w:val="auto"/>
              </w:rPr>
              <w:t>Operating income (loss):</w:t>
            </w:r>
          </w:p>
        </w:tc>
        <w:tc>
          <w:tcPr>
            <w:tcW w:w="4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2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Security Products</w:t>
            </w:r>
          </w:p>
        </w:tc>
        <w:tc>
          <w:tcPr>
            <w:tcW w:w="4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5,713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ind w:left="500"/>
              <w:spacing w:after="0"/>
              <w:rPr>
                <w:sz w:val="20"/>
                <w:szCs w:val="20"/>
                <w:color w:val="auto"/>
              </w:rPr>
            </w:pPr>
            <w:r>
              <w:rPr>
                <w:rFonts w:ascii="Arial" w:cs="Arial" w:eastAsia="Arial" w:hAnsi="Arial"/>
                <w:sz w:val="18"/>
                <w:szCs w:val="18"/>
                <w:color w:val="auto"/>
              </w:rPr>
              <w:t>Marine Components</w:t>
            </w:r>
          </w:p>
        </w:tc>
        <w:tc>
          <w:tcPr>
            <w:tcW w:w="4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1,082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Corporate operating expenses</w:t>
            </w:r>
          </w:p>
        </w:tc>
        <w:tc>
          <w:tcPr>
            <w:tcW w:w="4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(1,687)</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(1,775)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tcPr>
          <w:p>
            <w:pPr>
              <w:ind w:left="740"/>
              <w:spacing w:after="0"/>
              <w:rPr>
                <w:sz w:val="20"/>
                <w:szCs w:val="20"/>
                <w:color w:val="auto"/>
              </w:rPr>
            </w:pPr>
            <w:r>
              <w:rPr>
                <w:rFonts w:ascii="Arial" w:cs="Arial" w:eastAsia="Arial" w:hAnsi="Arial"/>
                <w:sz w:val="18"/>
                <w:szCs w:val="18"/>
                <w:color w:val="auto"/>
              </w:rPr>
              <w:t>Total operating income</w:t>
            </w:r>
          </w:p>
        </w:tc>
        <w:tc>
          <w:tcPr>
            <w:tcW w:w="40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4,290</w:t>
            </w:r>
          </w:p>
        </w:tc>
        <w:tc>
          <w:tcPr>
            <w:tcW w:w="2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income</w:t>
            </w:r>
          </w:p>
        </w:tc>
        <w:tc>
          <w:tcPr>
            <w:tcW w:w="40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837</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607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tcPr>
          <w:p>
            <w:pPr>
              <w:spacing w:after="0"/>
              <w:rPr>
                <w:sz w:val="20"/>
                <w:szCs w:val="20"/>
                <w:color w:val="auto"/>
              </w:rPr>
            </w:pPr>
            <w:r>
              <w:rPr>
                <w:rFonts w:ascii="Arial" w:cs="Arial" w:eastAsia="Arial" w:hAnsi="Arial"/>
                <w:sz w:val="18"/>
                <w:szCs w:val="18"/>
                <w:color w:val="auto"/>
              </w:rPr>
              <w:t>Income before taxes</w:t>
            </w:r>
          </w:p>
        </w:tc>
        <w:tc>
          <w:tcPr>
            <w:tcW w:w="40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5,127</w:t>
            </w:r>
          </w:p>
        </w:tc>
        <w:tc>
          <w:tcPr>
            <w:tcW w:w="28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ind w:left="520"/>
              <w:spacing w:after="0"/>
              <w:rPr>
                <w:sz w:val="20"/>
                <w:szCs w:val="20"/>
                <w:color w:val="auto"/>
              </w:rPr>
            </w:pPr>
            <w:r>
              <w:rPr>
                <w:rFonts w:ascii="Arial" w:cs="Arial" w:eastAsia="Arial" w:hAnsi="Arial"/>
                <w:sz w:val="18"/>
                <w:szCs w:val="18"/>
                <w:color w:val="auto"/>
              </w:rPr>
              <w:t>Intersegment sales are not material.</w:t>
            </w:r>
          </w:p>
        </w:tc>
        <w:tc>
          <w:tcPr>
            <w:tcW w:w="4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260" w:type="dxa"/>
            <w:vAlign w:val="bottom"/>
            <w:vMerge w:val="continue"/>
          </w:tcPr>
          <w:p>
            <w:pPr>
              <w:spacing w:after="0"/>
              <w:rPr>
                <w:sz w:val="24"/>
                <w:szCs w:val="24"/>
                <w:color w:val="auto"/>
              </w:rPr>
            </w:pPr>
          </w:p>
        </w:tc>
        <w:tc>
          <w:tcPr>
            <w:tcW w:w="4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260" w:type="dxa"/>
            <w:vAlign w:val="bottom"/>
          </w:tcPr>
          <w:p>
            <w:pPr>
              <w:spacing w:after="0"/>
              <w:rPr>
                <w:sz w:val="20"/>
                <w:szCs w:val="20"/>
                <w:color w:val="auto"/>
              </w:rPr>
            </w:pPr>
            <w:r>
              <w:rPr>
                <w:rFonts w:ascii="Arial" w:cs="Arial" w:eastAsia="Arial" w:hAnsi="Arial"/>
                <w:sz w:val="18"/>
                <w:szCs w:val="18"/>
                <w:b w:val="1"/>
                <w:bCs w:val="1"/>
                <w:color w:val="auto"/>
              </w:rPr>
              <w:t>Note 3 – Accounts receivable, net:</w:t>
            </w:r>
          </w:p>
        </w:tc>
        <w:tc>
          <w:tcPr>
            <w:tcW w:w="4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42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December 31,</w:t>
            </w:r>
          </w:p>
        </w:tc>
        <w:tc>
          <w:tcPr>
            <w:tcW w:w="300" w:type="dxa"/>
            <w:vAlign w:val="bottom"/>
          </w:tcPr>
          <w:p>
            <w:pPr>
              <w:spacing w:after="0"/>
              <w:rPr>
                <w:sz w:val="24"/>
                <w:szCs w:val="2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March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2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2019</w:t>
            </w:r>
          </w:p>
        </w:tc>
        <w:tc>
          <w:tcPr>
            <w:tcW w:w="2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3"/>
          </w:tcPr>
          <w:p>
            <w:pPr>
              <w:jc w:val="center"/>
              <w:ind w:left="736"/>
              <w:spacing w:after="0"/>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4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ind w:left="260"/>
              <w:spacing w:after="0"/>
              <w:rPr>
                <w:sz w:val="20"/>
                <w:szCs w:val="20"/>
                <w:color w:val="auto"/>
              </w:rPr>
            </w:pPr>
            <w:r>
              <w:rPr>
                <w:rFonts w:ascii="Arial" w:cs="Arial" w:eastAsia="Arial" w:hAnsi="Arial"/>
                <w:sz w:val="18"/>
                <w:szCs w:val="18"/>
                <w:color w:val="auto"/>
              </w:rPr>
              <w:t>Security Products</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10,321</w:t>
            </w:r>
          </w:p>
        </w:tc>
        <w:tc>
          <w:tcPr>
            <w:tcW w:w="28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12,830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Marine Components</w:t>
            </w:r>
          </w:p>
        </w:tc>
        <w:tc>
          <w:tcPr>
            <w:tcW w:w="4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1,619</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2,472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ind w:left="260"/>
              <w:spacing w:after="0"/>
              <w:rPr>
                <w:sz w:val="20"/>
                <w:szCs w:val="20"/>
                <w:color w:val="auto"/>
              </w:rPr>
            </w:pPr>
            <w:r>
              <w:rPr>
                <w:rFonts w:ascii="Arial" w:cs="Arial" w:eastAsia="Arial" w:hAnsi="Arial"/>
                <w:sz w:val="18"/>
                <w:szCs w:val="18"/>
                <w:color w:val="auto"/>
              </w:rPr>
              <w:t>Allowance for doubtful accounts</w:t>
            </w:r>
          </w:p>
        </w:tc>
        <w:tc>
          <w:tcPr>
            <w:tcW w:w="4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(70)</w:t>
            </w:r>
          </w:p>
        </w:tc>
        <w:tc>
          <w:tcPr>
            <w:tcW w:w="3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accounts receivable, net</w:t>
            </w:r>
          </w:p>
        </w:tc>
        <w:tc>
          <w:tcPr>
            <w:tcW w:w="40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11,870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15,232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8"/>
                <w:szCs w:val="18"/>
                <w:b w:val="1"/>
                <w:bCs w:val="1"/>
                <w:color w:val="auto"/>
              </w:rPr>
              <w:t>Note 4 – Inventories, net:</w:t>
            </w:r>
          </w:p>
        </w:tc>
        <w:tc>
          <w:tcPr>
            <w:tcW w:w="4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4"/>
        </w:trPr>
        <w:tc>
          <w:tcPr>
            <w:tcW w:w="4260" w:type="dxa"/>
            <w:vAlign w:val="bottom"/>
            <w:vMerge w:val="continue"/>
          </w:tcPr>
          <w:p>
            <w:pPr>
              <w:spacing w:after="0"/>
              <w:rPr>
                <w:sz w:val="24"/>
                <w:szCs w:val="24"/>
                <w:color w:val="auto"/>
              </w:rPr>
            </w:pPr>
          </w:p>
        </w:tc>
        <w:tc>
          <w:tcPr>
            <w:tcW w:w="4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42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December 31,</w:t>
            </w:r>
          </w:p>
        </w:tc>
        <w:tc>
          <w:tcPr>
            <w:tcW w:w="300" w:type="dxa"/>
            <w:vAlign w:val="bottom"/>
          </w:tcPr>
          <w:p>
            <w:pPr>
              <w:spacing w:after="0"/>
              <w:rPr>
                <w:sz w:val="24"/>
                <w:szCs w:val="2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March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42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2019</w:t>
            </w: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26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gridSpan w:val="3"/>
          </w:tcPr>
          <w:p>
            <w:pPr>
              <w:jc w:val="center"/>
              <w:ind w:left="736"/>
              <w:spacing w:after="0" w:line="154" w:lineRule="exact"/>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4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ind w:left="260"/>
              <w:spacing w:after="0"/>
              <w:rPr>
                <w:sz w:val="20"/>
                <w:szCs w:val="20"/>
                <w:color w:val="auto"/>
              </w:rPr>
            </w:pPr>
            <w:r>
              <w:rPr>
                <w:rFonts w:ascii="Arial" w:cs="Arial" w:eastAsia="Arial" w:hAnsi="Arial"/>
                <w:sz w:val="18"/>
                <w:szCs w:val="18"/>
                <w:color w:val="auto"/>
              </w:rPr>
              <w:t>Security Products</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2,134</w:t>
            </w:r>
          </w:p>
        </w:tc>
        <w:tc>
          <w:tcPr>
            <w:tcW w:w="28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2,397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Marine Components</w:t>
            </w:r>
          </w:p>
        </w:tc>
        <w:tc>
          <w:tcPr>
            <w:tcW w:w="40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807</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707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raw materials</w:t>
            </w:r>
          </w:p>
        </w:tc>
        <w:tc>
          <w:tcPr>
            <w:tcW w:w="40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2,941</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3,104</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Work-in-process:</w:t>
            </w:r>
          </w:p>
        </w:tc>
        <w:tc>
          <w:tcPr>
            <w:tcW w:w="4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ind w:left="260"/>
              <w:spacing w:after="0"/>
              <w:rPr>
                <w:sz w:val="20"/>
                <w:szCs w:val="20"/>
                <w:color w:val="auto"/>
              </w:rPr>
            </w:pPr>
            <w:r>
              <w:rPr>
                <w:rFonts w:ascii="Arial" w:cs="Arial" w:eastAsia="Arial" w:hAnsi="Arial"/>
                <w:sz w:val="18"/>
                <w:szCs w:val="18"/>
                <w:color w:val="auto"/>
              </w:rPr>
              <w:t>Security Products</w:t>
            </w:r>
          </w:p>
        </w:tc>
        <w:tc>
          <w:tcPr>
            <w:tcW w:w="4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9,138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9,549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Marine Components</w:t>
            </w:r>
          </w:p>
        </w:tc>
        <w:tc>
          <w:tcPr>
            <w:tcW w:w="40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2,633</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2,688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work-in-process</w:t>
            </w:r>
          </w:p>
        </w:tc>
        <w:tc>
          <w:tcPr>
            <w:tcW w:w="40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11,771</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12,237</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4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ind w:left="260"/>
              <w:spacing w:after="0"/>
              <w:rPr>
                <w:sz w:val="20"/>
                <w:szCs w:val="20"/>
                <w:color w:val="auto"/>
              </w:rPr>
            </w:pPr>
            <w:r>
              <w:rPr>
                <w:rFonts w:ascii="Arial" w:cs="Arial" w:eastAsia="Arial" w:hAnsi="Arial"/>
                <w:sz w:val="18"/>
                <w:szCs w:val="18"/>
                <w:color w:val="auto"/>
              </w:rPr>
              <w:t>Security Products</w:t>
            </w:r>
          </w:p>
        </w:tc>
        <w:tc>
          <w:tcPr>
            <w:tcW w:w="4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2,582</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2,526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Marine Components</w:t>
            </w:r>
          </w:p>
        </w:tc>
        <w:tc>
          <w:tcPr>
            <w:tcW w:w="40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1,054</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1,095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finished goods</w:t>
            </w:r>
          </w:p>
        </w:tc>
        <w:tc>
          <w:tcPr>
            <w:tcW w:w="40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3,636</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3,621</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inventories, net</w:t>
            </w:r>
          </w:p>
        </w:tc>
        <w:tc>
          <w:tcPr>
            <w:tcW w:w="40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18,348</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18,962</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4060" w:type="dxa"/>
            <w:vAlign w:val="bottom"/>
            <w:vMerge w:val="restart"/>
          </w:tcPr>
          <w:p>
            <w:pPr>
              <w:jc w:val="right"/>
              <w:ind w:right="2451"/>
              <w:spacing w:after="0"/>
              <w:rPr>
                <w:sz w:val="20"/>
                <w:szCs w:val="20"/>
                <w:color w:val="auto"/>
              </w:rPr>
            </w:pPr>
            <w:r>
              <w:rPr>
                <w:rFonts w:ascii="Arial" w:cs="Arial" w:eastAsia="Arial" w:hAnsi="Arial"/>
                <w:sz w:val="18"/>
                <w:szCs w:val="18"/>
                <w:color w:val="auto"/>
              </w:rPr>
              <w:t>- 8 -</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8"/>
        </w:trPr>
        <w:tc>
          <w:tcPr>
            <w:tcW w:w="426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6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7146290</wp:posOffset>
            </wp:positionH>
            <wp:positionV relativeFrom="paragraph">
              <wp:posOffset>-7620</wp:posOffset>
            </wp:positionV>
            <wp:extent cx="8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268" w:right="3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5 – Accounts payable and accrued liabilities: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6"/>
              </w:rPr>
              <w:t>December 31,</w:t>
            </w:r>
          </w:p>
        </w:tc>
        <w:tc>
          <w:tcPr>
            <w:tcW w:w="300" w:type="dxa"/>
            <w:vAlign w:val="bottom"/>
          </w:tcPr>
          <w:p>
            <w:pPr>
              <w:spacing w:after="0"/>
              <w:rPr>
                <w:sz w:val="14"/>
                <w:szCs w:val="1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0"/>
        </w:trPr>
        <w:tc>
          <w:tcPr>
            <w:tcW w:w="8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8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gridSpan w:val="3"/>
          </w:tcPr>
          <w:p>
            <w:pPr>
              <w:jc w:val="center"/>
              <w:ind w:left="737"/>
              <w:spacing w:after="0" w:line="154" w:lineRule="exact"/>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832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320" w:type="dxa"/>
            <w:vAlign w:val="bottom"/>
          </w:tcPr>
          <w:p>
            <w:pPr>
              <w:ind w:left="500"/>
              <w:spacing w:after="0"/>
              <w:rPr>
                <w:sz w:val="20"/>
                <w:szCs w:val="20"/>
                <w:color w:val="auto"/>
              </w:rPr>
            </w:pPr>
            <w:r>
              <w:rPr>
                <w:rFonts w:ascii="Arial" w:cs="Arial" w:eastAsia="Arial" w:hAnsi="Arial"/>
                <w:sz w:val="18"/>
                <w:szCs w:val="18"/>
                <w:color w:val="auto"/>
              </w:rPr>
              <w:t>Security Products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1,975</w:t>
            </w:r>
          </w:p>
        </w:tc>
        <w:tc>
          <w:tcPr>
            <w:tcW w:w="28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2,106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Marine Components</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320" w:type="dxa"/>
            <w:vAlign w:val="bottom"/>
          </w:tcPr>
          <w:p>
            <w:pPr>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Employee benefits</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8,331</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4,552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320" w:type="dxa"/>
            <w:vAlign w:val="bottom"/>
          </w:tcPr>
          <w:p>
            <w:pPr>
              <w:ind w:left="500"/>
              <w:spacing w:after="0"/>
              <w:rPr>
                <w:sz w:val="20"/>
                <w:szCs w:val="20"/>
                <w:color w:val="auto"/>
              </w:rPr>
            </w:pPr>
            <w:r>
              <w:rPr>
                <w:rFonts w:ascii="Arial" w:cs="Arial" w:eastAsia="Arial" w:hAnsi="Arial"/>
                <w:sz w:val="18"/>
                <w:szCs w:val="18"/>
                <w:color w:val="auto"/>
              </w:rPr>
              <w:t>Customer tooling</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Taxes other than on income</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3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accounts payable and accrued liabilities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12,078</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9,007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8"/>
                <w:szCs w:val="18"/>
                <w:b w:val="1"/>
                <w:bCs w:val="1"/>
                <w:color w:val="auto"/>
              </w:rPr>
              <w:t>Note 6 – Provision for income taxes:</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83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8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0"/>
              </w:rPr>
              <w:t>Three months ended</w:t>
            </w:r>
          </w:p>
        </w:tc>
        <w:tc>
          <w:tcPr>
            <w:tcW w:w="0" w:type="dxa"/>
            <w:vAlign w:val="bottom"/>
          </w:tcPr>
          <w:p>
            <w:pPr>
              <w:spacing w:after="0"/>
              <w:rPr>
                <w:sz w:val="1"/>
                <w:szCs w:val="1"/>
                <w:color w:val="auto"/>
              </w:rPr>
            </w:pPr>
          </w:p>
        </w:tc>
      </w:tr>
      <w:tr>
        <w:trPr>
          <w:trHeight w:val="170"/>
        </w:trPr>
        <w:tc>
          <w:tcPr>
            <w:tcW w:w="8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center"/>
              <w:ind w:left="717"/>
              <w:spacing w:after="0"/>
              <w:rPr>
                <w:sz w:val="20"/>
                <w:szCs w:val="20"/>
                <w:color w:val="auto"/>
              </w:rPr>
            </w:pPr>
            <w:r>
              <w:rPr>
                <w:rFonts w:ascii="Arial" w:cs="Arial" w:eastAsia="Arial" w:hAnsi="Arial"/>
                <w:sz w:val="14"/>
                <w:szCs w:val="14"/>
                <w:b w:val="1"/>
                <w:bCs w:val="1"/>
                <w:color w:val="auto"/>
                <w:w w:val="95"/>
              </w:rPr>
              <w:t>March 31,</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83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17"/>
              <w:spacing w:after="0" w:line="154"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4"/>
              <w:spacing w:after="0" w:line="154"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8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3"/>
          </w:tcPr>
          <w:p>
            <w:pPr>
              <w:jc w:val="center"/>
              <w:ind w:left="737"/>
              <w:spacing w:after="0"/>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8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8320" w:type="dxa"/>
            <w:vAlign w:val="bottom"/>
            <w:shd w:val="clear" w:color="auto" w:fill="CFF0FC"/>
          </w:tcPr>
          <w:p>
            <w:pPr>
              <w:spacing w:after="0"/>
              <w:rPr>
                <w:sz w:val="20"/>
                <w:szCs w:val="20"/>
                <w:color w:val="auto"/>
              </w:rPr>
            </w:pPr>
            <w:r>
              <w:rPr>
                <w:rFonts w:ascii="Arial" w:cs="Arial" w:eastAsia="Arial" w:hAnsi="Arial"/>
                <w:sz w:val="18"/>
                <w:szCs w:val="18"/>
                <w:color w:val="auto"/>
              </w:rPr>
              <w:t>Expected tax expense, at the U.S. federal statutory</w:t>
            </w: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vMerge w:val="restart"/>
            <w:shd w:val="clear" w:color="auto" w:fill="CFF0FC"/>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1,182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tax rate of 21%</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1,077</w:t>
            </w:r>
          </w:p>
        </w:tc>
        <w:tc>
          <w:tcPr>
            <w:tcW w:w="280" w:type="dxa"/>
            <w:vAlign w:val="bottom"/>
            <w:shd w:val="clear" w:color="auto" w:fill="CFF0FC"/>
          </w:tcPr>
          <w:p>
            <w:pPr>
              <w:spacing w:after="0"/>
              <w:rPr>
                <w:sz w:val="19"/>
                <w:szCs w:val="19"/>
                <w:color w:val="auto"/>
              </w:rPr>
            </w:pPr>
          </w:p>
        </w:tc>
        <w:tc>
          <w:tcPr>
            <w:tcW w:w="300" w:type="dxa"/>
            <w:vAlign w:val="bottom"/>
            <w:vMerge w:val="continue"/>
            <w:shd w:val="clear" w:color="auto" w:fill="CFF0FC"/>
          </w:tcPr>
          <w:p>
            <w:pPr>
              <w:spacing w:after="0"/>
              <w:rPr>
                <w:sz w:val="19"/>
                <w:szCs w:val="19"/>
                <w:color w:val="auto"/>
              </w:rPr>
            </w:pPr>
          </w:p>
        </w:tc>
        <w:tc>
          <w:tcPr>
            <w:tcW w:w="98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320" w:type="dxa"/>
            <w:vAlign w:val="bottom"/>
          </w:tcPr>
          <w:p>
            <w:pPr>
              <w:spacing w:after="0"/>
              <w:rPr>
                <w:sz w:val="20"/>
                <w:szCs w:val="20"/>
                <w:color w:val="auto"/>
              </w:rPr>
            </w:pPr>
            <w:r>
              <w:rPr>
                <w:rFonts w:ascii="Arial" w:cs="Arial" w:eastAsia="Arial" w:hAnsi="Arial"/>
                <w:sz w:val="18"/>
                <w:szCs w:val="18"/>
                <w:color w:val="auto"/>
              </w:rPr>
              <w:t>State income taxes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179</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320" w:type="dxa"/>
            <w:vAlign w:val="bottom"/>
            <w:shd w:val="clear" w:color="auto" w:fill="CFF0FC"/>
          </w:tcPr>
          <w:p>
            <w:pPr>
              <w:spacing w:after="0"/>
              <w:rPr>
                <w:sz w:val="20"/>
                <w:szCs w:val="20"/>
                <w:color w:val="auto"/>
              </w:rPr>
            </w:pPr>
            <w:r>
              <w:rPr>
                <w:rFonts w:ascii="Arial" w:cs="Arial" w:eastAsia="Arial" w:hAnsi="Arial"/>
                <w:sz w:val="18"/>
                <w:szCs w:val="18"/>
                <w:color w:val="auto"/>
              </w:rPr>
              <w:t>FDII benefit</w:t>
            </w:r>
          </w:p>
        </w:tc>
        <w:tc>
          <w:tcPr>
            <w:tcW w:w="1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(119)</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rPr>
                <w:sz w:val="1"/>
                <w:szCs w:val="1"/>
                <w:color w:val="auto"/>
              </w:rPr>
            </w:pPr>
          </w:p>
        </w:tc>
      </w:tr>
      <w:tr>
        <w:trPr>
          <w:trHeight w:val="227"/>
        </w:trPr>
        <w:tc>
          <w:tcPr>
            <w:tcW w:w="8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net</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3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income tax expense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1,141</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1,356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ind w:right="20" w:firstLine="510"/>
        <w:spacing w:after="0" w:line="271" w:lineRule="auto"/>
        <w:rPr>
          <w:sz w:val="20"/>
          <w:szCs w:val="20"/>
          <w:color w:val="auto"/>
        </w:rPr>
      </w:pPr>
      <w:r>
        <w:rPr>
          <w:rFonts w:ascii="Arial" w:cs="Arial" w:eastAsia="Arial" w:hAnsi="Arial"/>
          <w:sz w:val="18"/>
          <w:szCs w:val="18"/>
          <w:color w:val="auto"/>
        </w:rPr>
        <w:t>We qualify for the foreign derived intangible income deduction. We recognized a current cash tax benefit of $28,000 in the first quarter of 2020 and $119,000 in the first quarter of 2019 ($98,000 of our 2019 current cash tax benefit is related to 2018).</w:t>
      </w:r>
    </w:p>
    <w:p>
      <w:pPr>
        <w:spacing w:after="0" w:line="68" w:lineRule="exact"/>
        <w:rPr>
          <w:sz w:val="20"/>
          <w:szCs w:val="20"/>
          <w:color w:val="auto"/>
        </w:rPr>
      </w:pPr>
    </w:p>
    <w:p>
      <w:pPr>
        <w:jc w:val="both"/>
        <w:ind w:firstLine="510"/>
        <w:spacing w:after="0" w:line="297" w:lineRule="auto"/>
        <w:rPr>
          <w:sz w:val="20"/>
          <w:szCs w:val="20"/>
          <w:color w:val="auto"/>
        </w:rPr>
      </w:pPr>
      <w:r>
        <w:rPr>
          <w:rFonts w:ascii="Arial" w:cs="Arial" w:eastAsia="Arial" w:hAnsi="Arial"/>
          <w:sz w:val="16"/>
          <w:szCs w:val="16"/>
          <w:color w:val="auto"/>
        </w:rPr>
        <w:t>On March 27, 2020, the “Coronavirus Aid, Relief and Economic Security (CARES) Act” was signed into law in response to the COVID-19 pandemic. The CARES Act, among other things, includes provisions relating to refundable payroll tax credits, deferment of employer side social security payments, modifications to the limitation of business interest for 2019 and 2020 and technical corrections to tax depreciation methods for qualified improvement property. We have evaluated the relevant provisions of the CARES Act and determined the impact is not material to our tax provision.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Financial instruments:</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financial instruments that are not carried at fair value but which require fair value disclosure:</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center"/>
              <w:ind w:left="580"/>
              <w:spacing w:after="0"/>
              <w:rPr>
                <w:sz w:val="20"/>
                <w:szCs w:val="20"/>
                <w:color w:val="auto"/>
              </w:rPr>
            </w:pPr>
            <w:r>
              <w:rPr>
                <w:rFonts w:ascii="Arial" w:cs="Arial" w:eastAsia="Arial" w:hAnsi="Arial"/>
                <w:sz w:val="14"/>
                <w:szCs w:val="14"/>
                <w:b w:val="1"/>
                <w:bCs w:val="1"/>
                <w:color w:val="auto"/>
                <w:w w:val="90"/>
              </w:rPr>
              <w:t>December 31,</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2"/>
          </w:tcPr>
          <w:p>
            <w:pPr>
              <w:jc w:val="center"/>
              <w:ind w:left="520"/>
              <w:spacing w:after="0"/>
              <w:rPr>
                <w:sz w:val="20"/>
                <w:szCs w:val="20"/>
                <w:color w:val="auto"/>
              </w:rPr>
            </w:pPr>
            <w:r>
              <w:rPr>
                <w:rFonts w:ascii="Arial" w:cs="Arial" w:eastAsia="Arial" w:hAnsi="Arial"/>
                <w:sz w:val="14"/>
                <w:szCs w:val="14"/>
                <w:b w:val="1"/>
                <w:bCs w:val="1"/>
                <w:color w:val="auto"/>
                <w:w w:val="95"/>
              </w:rPr>
              <w:t>March 31,</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36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w w:val="83"/>
              </w:rPr>
              <w:t>2019</w:t>
            </w:r>
          </w:p>
        </w:tc>
        <w:tc>
          <w:tcPr>
            <w:tcW w:w="8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w w:val="83"/>
              </w:rPr>
              <w:t>2020</w:t>
            </w: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5"/>
        </w:trPr>
        <w:tc>
          <w:tcPr>
            <w:tcW w:w="36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ind w:right="240"/>
              <w:spacing w:after="0" w:line="145" w:lineRule="exact"/>
              <w:rPr>
                <w:sz w:val="20"/>
                <w:szCs w:val="20"/>
                <w:color w:val="auto"/>
              </w:rPr>
            </w:pPr>
            <w:r>
              <w:rPr>
                <w:rFonts w:ascii="Arial" w:cs="Arial" w:eastAsia="Arial" w:hAnsi="Arial"/>
                <w:sz w:val="14"/>
                <w:szCs w:val="14"/>
                <w:b w:val="1"/>
                <w:bCs w:val="1"/>
                <w:color w:val="auto"/>
              </w:rPr>
              <w:t>Carrying</w:t>
            </w:r>
          </w:p>
        </w:tc>
        <w:tc>
          <w:tcPr>
            <w:tcW w:w="640" w:type="dxa"/>
            <w:vAlign w:val="bottom"/>
          </w:tcPr>
          <w:p>
            <w:pPr>
              <w:spacing w:after="0"/>
              <w:rPr>
                <w:sz w:val="12"/>
                <w:szCs w:val="12"/>
                <w:color w:val="auto"/>
              </w:rPr>
            </w:pPr>
          </w:p>
        </w:tc>
        <w:tc>
          <w:tcPr>
            <w:tcW w:w="880" w:type="dxa"/>
            <w:vAlign w:val="bottom"/>
          </w:tcPr>
          <w:p>
            <w:pPr>
              <w:jc w:val="right"/>
              <w:ind w:right="420"/>
              <w:spacing w:after="0" w:line="145" w:lineRule="exact"/>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jc w:val="right"/>
              <w:ind w:right="260"/>
              <w:spacing w:after="0" w:line="145" w:lineRule="exact"/>
              <w:rPr>
                <w:sz w:val="20"/>
                <w:szCs w:val="20"/>
                <w:color w:val="auto"/>
              </w:rPr>
            </w:pPr>
            <w:r>
              <w:rPr>
                <w:rFonts w:ascii="Arial" w:cs="Arial" w:eastAsia="Arial" w:hAnsi="Arial"/>
                <w:sz w:val="14"/>
                <w:szCs w:val="14"/>
                <w:b w:val="1"/>
                <w:bCs w:val="1"/>
                <w:color w:val="auto"/>
                <w:w w:val="93"/>
              </w:rPr>
              <w:t>Carrying</w:t>
            </w:r>
          </w:p>
        </w:tc>
        <w:tc>
          <w:tcPr>
            <w:tcW w:w="600" w:type="dxa"/>
            <w:vAlign w:val="bottom"/>
          </w:tcPr>
          <w:p>
            <w:pPr>
              <w:spacing w:after="0"/>
              <w:rPr>
                <w:sz w:val="12"/>
                <w:szCs w:val="12"/>
                <w:color w:val="auto"/>
              </w:rPr>
            </w:pPr>
          </w:p>
        </w:tc>
        <w:tc>
          <w:tcPr>
            <w:tcW w:w="920" w:type="dxa"/>
            <w:vAlign w:val="bottom"/>
          </w:tcPr>
          <w:p>
            <w:pPr>
              <w:jc w:val="center"/>
              <w:ind w:right="258"/>
              <w:spacing w:after="0" w:line="145"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2"/>
                <w:szCs w:val="12"/>
                <w:color w:val="auto"/>
              </w:rPr>
            </w:pPr>
          </w:p>
        </w:tc>
      </w:tr>
      <w:tr>
        <w:trPr>
          <w:trHeight w:val="170"/>
        </w:trPr>
        <w:tc>
          <w:tcPr>
            <w:tcW w:w="36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300"/>
              <w:spacing w:after="0"/>
              <w:rPr>
                <w:sz w:val="20"/>
                <w:szCs w:val="20"/>
                <w:color w:val="auto"/>
              </w:rPr>
            </w:pPr>
            <w:r>
              <w:rPr>
                <w:rFonts w:ascii="Arial" w:cs="Arial" w:eastAsia="Arial" w:hAnsi="Arial"/>
                <w:sz w:val="14"/>
                <w:szCs w:val="14"/>
                <w:b w:val="1"/>
                <w:bCs w:val="1"/>
                <w:color w:val="auto"/>
              </w:rPr>
              <w:t>amount</w:t>
            </w:r>
          </w:p>
        </w:tc>
        <w:tc>
          <w:tcPr>
            <w:tcW w:w="640" w:type="dxa"/>
            <w:vAlign w:val="bottom"/>
          </w:tcPr>
          <w:p>
            <w:pPr>
              <w:spacing w:after="0"/>
              <w:rPr>
                <w:sz w:val="14"/>
                <w:szCs w:val="14"/>
                <w:color w:val="auto"/>
              </w:rPr>
            </w:pPr>
          </w:p>
        </w:tc>
        <w:tc>
          <w:tcPr>
            <w:tcW w:w="880" w:type="dxa"/>
            <w:vAlign w:val="bottom"/>
          </w:tcPr>
          <w:p>
            <w:pPr>
              <w:jc w:val="right"/>
              <w:ind w:right="380"/>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jc w:val="right"/>
              <w:ind w:right="300"/>
              <w:spacing w:after="0"/>
              <w:rPr>
                <w:sz w:val="20"/>
                <w:szCs w:val="20"/>
                <w:color w:val="auto"/>
              </w:rPr>
            </w:pPr>
            <w:r>
              <w:rPr>
                <w:rFonts w:ascii="Arial" w:cs="Arial" w:eastAsia="Arial" w:hAnsi="Arial"/>
                <w:sz w:val="14"/>
                <w:szCs w:val="14"/>
                <w:b w:val="1"/>
                <w:bCs w:val="1"/>
                <w:color w:val="auto"/>
                <w:w w:val="98"/>
              </w:rPr>
              <w:t>amount</w:t>
            </w:r>
          </w:p>
        </w:tc>
        <w:tc>
          <w:tcPr>
            <w:tcW w:w="600" w:type="dxa"/>
            <w:vAlign w:val="bottom"/>
          </w:tcPr>
          <w:p>
            <w:pPr>
              <w:spacing w:after="0"/>
              <w:rPr>
                <w:sz w:val="14"/>
                <w:szCs w:val="14"/>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value</w:t>
            </w:r>
          </w:p>
        </w:tc>
      </w:tr>
      <w:tr>
        <w:trPr>
          <w:trHeight w:val="154"/>
        </w:trPr>
        <w:tc>
          <w:tcPr>
            <w:tcW w:w="36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gridSpan w:val="3"/>
          </w:tcPr>
          <w:p>
            <w:pPr>
              <w:jc w:val="right"/>
              <w:ind w:right="20"/>
              <w:spacing w:after="0" w:line="154" w:lineRule="exact"/>
              <w:rPr>
                <w:sz w:val="20"/>
                <w:szCs w:val="20"/>
                <w:color w:val="auto"/>
              </w:rPr>
            </w:pPr>
            <w:r>
              <w:rPr>
                <w:rFonts w:ascii="Arial" w:cs="Arial" w:eastAsia="Arial" w:hAnsi="Arial"/>
                <w:sz w:val="14"/>
                <w:szCs w:val="14"/>
                <w:b w:val="1"/>
                <w:bCs w:val="1"/>
                <w:color w:val="auto"/>
              </w:rPr>
              <w:t>(In thousands)</w:t>
            </w:r>
          </w:p>
        </w:tc>
        <w:tc>
          <w:tcPr>
            <w:tcW w:w="9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41"/>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63,255</w:t>
            </w:r>
          </w:p>
        </w:tc>
        <w:tc>
          <w:tcPr>
            <w:tcW w:w="640" w:type="dxa"/>
            <w:vAlign w:val="bottom"/>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63,255</w:t>
            </w: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64,046</w:t>
            </w:r>
          </w:p>
        </w:tc>
        <w:tc>
          <w:tcPr>
            <w:tcW w:w="600" w:type="dxa"/>
            <w:vAlign w:val="bottom"/>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64,046</w:t>
            </w:r>
          </w:p>
        </w:tc>
        <w:tc>
          <w:tcPr>
            <w:tcW w:w="120" w:type="dxa"/>
            <w:vAlign w:val="bottom"/>
            <w:shd w:val="clear" w:color="auto" w:fill="CFF0FC"/>
          </w:tcPr>
          <w:p>
            <w:pPr>
              <w:spacing w:after="0"/>
              <w:rPr>
                <w:sz w:val="20"/>
                <w:szCs w:val="20"/>
                <w:color w:val="auto"/>
              </w:rPr>
            </w:pPr>
          </w:p>
        </w:tc>
      </w:tr>
      <w:tr>
        <w:trPr>
          <w:trHeight w:val="240"/>
        </w:trPr>
        <w:tc>
          <w:tcPr>
            <w:tcW w:w="36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11,870</w:t>
            </w:r>
          </w:p>
        </w:tc>
        <w:tc>
          <w:tcPr>
            <w:tcW w:w="6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11,870</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15,232</w:t>
            </w:r>
          </w:p>
        </w:tc>
        <w:tc>
          <w:tcPr>
            <w:tcW w:w="6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15,232</w:t>
            </w:r>
          </w:p>
        </w:tc>
        <w:tc>
          <w:tcPr>
            <w:tcW w:w="120" w:type="dxa"/>
            <w:vAlign w:val="bottom"/>
          </w:tcPr>
          <w:p>
            <w:pPr>
              <w:spacing w:after="0"/>
              <w:rPr>
                <w:sz w:val="20"/>
                <w:szCs w:val="20"/>
                <w:color w:val="auto"/>
              </w:rPr>
            </w:pPr>
          </w:p>
        </w:tc>
      </w:tr>
      <w:tr>
        <w:trPr>
          <w:trHeight w:val="241"/>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1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2,514</w:t>
            </w:r>
          </w:p>
        </w:tc>
        <w:tc>
          <w:tcPr>
            <w:tcW w:w="6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2,514</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2,778</w:t>
            </w:r>
          </w:p>
        </w:tc>
        <w:tc>
          <w:tcPr>
            <w:tcW w:w="6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2,778</w:t>
            </w:r>
          </w:p>
        </w:tc>
        <w:tc>
          <w:tcPr>
            <w:tcW w:w="120" w:type="dxa"/>
            <w:vAlign w:val="bottom"/>
            <w:shd w:val="clear" w:color="auto" w:fill="CFF0FC"/>
          </w:tcPr>
          <w:p>
            <w:pPr>
              <w:spacing w:after="0"/>
              <w:rPr>
                <w:sz w:val="20"/>
                <w:szCs w:val="20"/>
                <w:color w:val="auto"/>
              </w:rPr>
            </w:pPr>
          </w:p>
        </w:tc>
      </w:tr>
    </w:tbl>
    <w:p>
      <w:pPr>
        <w:spacing w:after="0" w:line="24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Due to their near-term maturities, the carrying amounts of accounts receivable and accounts payable are considered equivalent to fair value.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5073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8 – Related party transactions:</w:t>
      </w:r>
    </w:p>
    <w:p>
      <w:pPr>
        <w:spacing w:after="0" w:line="118" w:lineRule="exact"/>
        <w:rPr>
          <w:sz w:val="20"/>
          <w:szCs w:val="20"/>
          <w:color w:val="auto"/>
        </w:rPr>
      </w:pPr>
    </w:p>
    <w:p>
      <w:pPr>
        <w:jc w:val="both"/>
        <w:ind w:firstLine="510"/>
        <w:spacing w:after="0" w:line="266" w:lineRule="auto"/>
        <w:rPr>
          <w:sz w:val="20"/>
          <w:szCs w:val="20"/>
          <w:color w:val="auto"/>
        </w:rPr>
      </w:pPr>
      <w:r>
        <w:rPr>
          <w:rFonts w:ascii="Arial" w:cs="Arial" w:eastAsia="Arial" w:hAnsi="Arial"/>
          <w:sz w:val="17"/>
          <w:szCs w:val="17"/>
          <w:color w:val="auto"/>
        </w:rPr>
        <w:t>From time to time, we may have loans and advances outstanding between us and various related parties pursuant to term and demand notes. We generally enter into these loans and advances for cash management purposes. When we loan funds to related parties, we are generally able to earn a higher rate of return on the loan than we would earn if we invested the funds in other instruments, and when we borrow from related parties, we are generally able to pay a lower rate of interest than we would pay if we had incurred third-party indebtedness. While certain of these loans to affiliates may be of a lesser credit quality than cash equivalent instruments otherwise available to us, we believe we have considered the credit risks in the terms of the applicable loans. In this regard, we have an unsecured revolving demand promissory note with Valhi whereby we agreed to loan Valhi up to $40 million. Our loan to Valhi, as amended, bears interest at prime plus 1.00%, payable quarterly, with all principal due on demand, but in any event no earlier than December 31, 2021. Loans made to Valhi at any time under the agreement are at our discretion. At March 31, 2020, the outstanding principal balance receivable from Valhi under the promissory note was $25.5 million. Interest income (including unused commitment fees) on our loan to Valhi was $0.6 million and $0.4 million for the three months ended March 31, 2019 and 2020, respectively. On March 31, 2020 (two days after our fiscal quarterly period, but on the last day of the fiscal period for Valhi), we loaned $5.0 million to Valhi, increasing the outstanding principal balance receivable from Valhi under the promissory note to $30.5 million.</w:t>
      </w:r>
    </w:p>
    <w:p>
      <w:pPr>
        <w:spacing w:after="0" w:line="75"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8"/>
          <w:szCs w:val="18"/>
          <w:color w:val="auto"/>
        </w:rPr>
        <w:t>We made a cash payment of $0.9 million to NL in lieu of state tax one day after our fiscal quarterly period, but one day prior to the end of the fiscal quarterly period for NL.</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w:t>
      </w:r>
    </w:p>
    <w:p>
      <w:pPr>
        <w:spacing w:after="0" w:line="154"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6"/>
          <w:szCs w:val="16"/>
          <w:color w:val="auto"/>
        </w:rPr>
        <w:t xml:space="preserve">In December 2019, the Financial Accounting Standards Board issued ASU 2019-12,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which changes the accounting for certain income tax transactions and reduces complexity in accounting for income taxes in certain areas. The ASU introduces new guidance including providing a policy election for an entity to not allocate consolidated current and deferred tax expense when a member of a consolidated tax return is not subject to income tax in its separate financial statements and is a disregarded entity by the taxing authority; and providing guidance to evaluate whether a step-up in tax basis of goodwill relates to a business combination in which book goodwill was recognized or a separate transaction. The ASU also changes existing guidance in a number of areas, including: the method of making an intraperiod allocation of total income tax expense if there is a loss in continuing operations and gains outside of continuing operations; accounting for tax law changes and year-to-date losses in interim periods; and determining how to apply the income tax guidance to franchise taxes that are partially based on income. We adopted this ASU in the first quarter of 2020 and the adoption of this standard did not have a material effect on our condensed consolidated financial statements.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Subsequent Events:</w:t>
      </w:r>
    </w:p>
    <w:p>
      <w:pPr>
        <w:spacing w:after="0" w:line="145" w:lineRule="exact"/>
        <w:rPr>
          <w:sz w:val="20"/>
          <w:szCs w:val="20"/>
          <w:color w:val="auto"/>
        </w:rPr>
      </w:pPr>
    </w:p>
    <w:p>
      <w:pPr>
        <w:jc w:val="both"/>
        <w:ind w:firstLine="510"/>
        <w:spacing w:after="0" w:line="267" w:lineRule="auto"/>
        <w:rPr>
          <w:sz w:val="20"/>
          <w:szCs w:val="20"/>
          <w:color w:val="auto"/>
        </w:rPr>
      </w:pPr>
      <w:r>
        <w:rPr>
          <w:rFonts w:ascii="Arial" w:cs="Arial" w:eastAsia="Arial" w:hAnsi="Arial"/>
          <w:sz w:val="17"/>
          <w:szCs w:val="17"/>
          <w:color w:val="auto"/>
        </w:rPr>
        <w:t>Following the spread of the COVID-19 virus beyond China in late January 2020, various national, state and local governments began to implement a number of increasingly restrictive measures to contain the spread of the virus, including travel restrictions, gathering limitations, event cancellations, border closures and stay-at-home orders, resulting in sharp contractions of vast areas of the global economy beginning in March 2020. While measured efforts are underway to resume commercial activities in most global markets, the impacts of COVID-19, including the efforts to mitigate its spread, are expected to continue to challenge workers, businesses and governments for the foreseeable future. Although the COVID-19 pandemic had limited impact on our operations during the first quarter of 2020, we believe U.S. and worldwide gross domestic product will be significantly impacted for an indeterminate period, including the demand for our products and those of our customers. Consequently, we expect to report lower sales and earnings than would otherwise have been expected for the remainder of 2020. The extent of the impact will depend on numerous factors, including future developments, and therefore is uncertain and cannot be predicted.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5073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268" w:right="339" w:bottom="1440" w:gutter="0" w:footer="0" w:header="0"/>
        </w:sectPr>
      </w:pPr>
    </w:p>
    <w:bookmarkStart w:id="10" w:name="page11"/>
    <w:bookmarkEnd w:id="10"/>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18"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We are a leading manufacturer of engineered components utilized in a variety of applications and industries. Through our Security Products segment we manufacture mechanical and electronic cabinet locks and other locking mechanisms used in recreational transportation, postal, office and institutional furniture, cabinetry, tool storage and healthcare applications. We also manufacture stainless steel exhaust systems, gauges, throttle controls, wake enhancement systems and trim tabs for the recreational marine and other industries through our Marine Components segment.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8"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as amended. Statements in this Quarterly Report that are not historical facts are forward-looking in nature and represent management’s beliefs and assumptions based on currently available information. In some cases, you can identify forward-looking statements by the use of words such as “believes,” “intends,” “may,” “should,” “could,” “anticipates,” “expects” or comparable terminology, or by discussions of strategies or trends. Although we believe that the expectations reflected in such forward-looking statements are reasonable, we do not know if these expectations will be correct. Such statements by their nature involve substantial risks and uncertainties that could significantly impact expected results. Actual future results could differ materially from those predicted. The factors that could cause actual future results to differ materially from those described herein are the risks and uncertainties discussed in this Quarterly Report and those described from time to time in our other filings with the SEC and include, but are not limited to, the following:</w:t>
      </w:r>
    </w:p>
    <w:p>
      <w:pPr>
        <w:spacing w:after="0" w:line="59" w:lineRule="exact"/>
        <w:rPr>
          <w:sz w:val="20"/>
          <w:szCs w:val="20"/>
          <w:color w:val="auto"/>
        </w:rPr>
      </w:pPr>
    </w:p>
    <w:p>
      <w:pPr>
        <w:ind w:left="1020" w:hanging="50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demand for our products,</w:t>
      </w:r>
    </w:p>
    <w:p>
      <w:pPr>
        <w:spacing w:after="0" w:line="113" w:lineRule="exact"/>
        <w:rPr>
          <w:rFonts w:ascii="Arial" w:cs="Arial" w:eastAsia="Arial" w:hAnsi="Arial"/>
          <w:sz w:val="18"/>
          <w:szCs w:val="18"/>
          <w:color w:val="auto"/>
        </w:rPr>
      </w:pPr>
    </w:p>
    <w:p>
      <w:pPr>
        <w:ind w:left="1020" w:hanging="505"/>
        <w:spacing w:after="0" w:line="271"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our raw material and other operating costs (such as zinc, brass, aluminum, steel and energy costs) and our ability to pass those costs on to our customers or offset them with reductions in other operating costs,</w:t>
      </w:r>
    </w:p>
    <w:p>
      <w:pPr>
        <w:spacing w:after="0" w:line="67" w:lineRule="exact"/>
        <w:rPr>
          <w:rFonts w:ascii="Arial" w:cs="Arial" w:eastAsia="Arial" w:hAnsi="Arial"/>
          <w:sz w:val="18"/>
          <w:szCs w:val="18"/>
          <w:color w:val="auto"/>
        </w:rPr>
      </w:pPr>
    </w:p>
    <w:p>
      <w:pPr>
        <w:ind w:left="1020" w:hanging="50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Price and product competition from low-cost manufacturing sources (such as China),</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pricing and production decisions,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and competitor strategies including substitute products,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Uncertainties associated with the development of new products and product features,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litigation,</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protect or defend our intellectual property rights,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difficulties in integrating future acquisitions,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Decisions to sell operating assets other than in the ordinary course of business,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Environmental matters (such as those requiring emission and discharge standards for existing and new facilities),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ultimate outcome of income tax audits, tax settlement initiatives or other tax matters, including future tax reform,</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current or future government regulations (including employee healthcare benefit related regulations),</w:t>
      </w:r>
    </w:p>
    <w:p>
      <w:pPr>
        <w:spacing w:after="0" w:line="113" w:lineRule="exact"/>
        <w:rPr>
          <w:rFonts w:ascii="Arial" w:cs="Arial" w:eastAsia="Arial" w:hAnsi="Arial"/>
          <w:sz w:val="18"/>
          <w:szCs w:val="18"/>
          <w:color w:val="auto"/>
        </w:rPr>
      </w:pPr>
    </w:p>
    <w:p>
      <w:pPr>
        <w:jc w:val="both"/>
        <w:ind w:left="1020" w:hanging="505"/>
        <w:spacing w:after="0" w:line="307" w:lineRule="auto"/>
        <w:tabs>
          <w:tab w:leader="none" w:pos="1020" w:val="left"/>
        </w:tabs>
        <w:numPr>
          <w:ilvl w:val="0"/>
          <w:numId w:val="2"/>
        </w:numPr>
        <w:rPr>
          <w:rFonts w:ascii="Arial" w:cs="Arial" w:eastAsia="Arial" w:hAnsi="Arial"/>
          <w:sz w:val="16"/>
          <w:szCs w:val="16"/>
          <w:color w:val="auto"/>
        </w:rPr>
      </w:pPr>
      <w:r>
        <w:rPr>
          <w:rFonts w:ascii="Arial" w:cs="Arial" w:eastAsia="Arial" w:hAnsi="Arial"/>
          <w:sz w:val="16"/>
          <w:szCs w:val="16"/>
          <w:color w:val="auto"/>
        </w:rPr>
        <w:t>General global economic and political conditions that disrupt or introduce instability into our supply chain, impact our customers’ level of demand or our customers’ perception regarding demand or impair our ability to operate our facilities (including changes in the level of gross domestic product in various regions of the world, natural disasters, terrorist acts, global conflicts and public health crises such as COVID-19),</w:t>
      </w:r>
    </w:p>
    <w:p>
      <w:pPr>
        <w:spacing w:after="0" w:line="42" w:lineRule="exact"/>
        <w:rPr>
          <w:rFonts w:ascii="Arial" w:cs="Arial" w:eastAsia="Arial" w:hAnsi="Arial"/>
          <w:sz w:val="16"/>
          <w:szCs w:val="16"/>
          <w:color w:val="auto"/>
        </w:rPr>
      </w:pPr>
    </w:p>
    <w:p>
      <w:pPr>
        <w:ind w:left="1020" w:hanging="505"/>
        <w:spacing w:after="0" w:line="301" w:lineRule="auto"/>
        <w:tabs>
          <w:tab w:leader="none" w:pos="1020" w:val="left"/>
        </w:tabs>
        <w:numPr>
          <w:ilvl w:val="0"/>
          <w:numId w:val="2"/>
        </w:numPr>
        <w:rPr>
          <w:rFonts w:ascii="Arial" w:cs="Arial" w:eastAsia="Arial" w:hAnsi="Arial"/>
          <w:sz w:val="17"/>
          <w:szCs w:val="17"/>
          <w:color w:val="auto"/>
        </w:rPr>
      </w:pPr>
      <w:r>
        <w:rPr>
          <w:rFonts w:ascii="Arial" w:cs="Arial" w:eastAsia="Arial" w:hAnsi="Arial"/>
          <w:sz w:val="17"/>
          <w:szCs w:val="17"/>
          <w:color w:val="auto"/>
        </w:rPr>
        <w:t>Operating interruptions (including, but not limited to labor disputes, hazardous chemical leaks, natural disasters, fires, explosions, unscheduled or unplanned downtime, transportation interruptions, cyber-attacks and public health crises such as COVID-19); and</w:t>
      </w:r>
    </w:p>
    <w:p>
      <w:pPr>
        <w:spacing w:after="0" w:line="44" w:lineRule="exact"/>
        <w:rPr>
          <w:rFonts w:ascii="Arial" w:cs="Arial" w:eastAsia="Arial" w:hAnsi="Arial"/>
          <w:sz w:val="17"/>
          <w:szCs w:val="17"/>
          <w:color w:val="auto"/>
        </w:rPr>
      </w:pPr>
    </w:p>
    <w:p>
      <w:pPr>
        <w:ind w:left="1020" w:hanging="50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Possible disruption of our business or increases in the cost of doing business resulting from terrorist activities or global conflicts.</w:t>
      </w:r>
    </w:p>
    <w:p>
      <w:pPr>
        <w:spacing w:after="0" w:line="22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Should one or more of these risks materialize or if the consequences worsen, or if the underlying assumptions prove incorrect, actual results could differ materially from those currently forecasted or expected. We disclaim any intention or obligation to update or revise any forward-looking statement whether as a result of changes in information, future events or otherwise.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5073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Operating Income Overview</w:t>
      </w:r>
    </w:p>
    <w:p>
      <w:pPr>
        <w:spacing w:after="0" w:line="225"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reported operating income of $5.0 million in the first quarter of 2020 compared to $4.3 million in the same period of 2019. The increase in operating income from 2019 to 2020 primarily resulted from higher Security Products sales volumes to existing government security customers and to a lesser extent higher Marine Components sales to the towboat and center console boat markets.</w:t>
      </w:r>
    </w:p>
    <w:p>
      <w:pPr>
        <w:spacing w:after="0" w:line="186" w:lineRule="exact"/>
        <w:rPr>
          <w:sz w:val="20"/>
          <w:szCs w:val="20"/>
          <w:color w:val="auto"/>
        </w:rPr>
      </w:pPr>
    </w:p>
    <w:p>
      <w:pPr>
        <w:jc w:val="both"/>
        <w:ind w:firstLine="510"/>
        <w:spacing w:after="0" w:line="307" w:lineRule="auto"/>
        <w:rPr>
          <w:sz w:val="20"/>
          <w:szCs w:val="20"/>
          <w:color w:val="auto"/>
        </w:rPr>
      </w:pPr>
      <w:r>
        <w:rPr>
          <w:rFonts w:ascii="Arial" w:cs="Arial" w:eastAsia="Arial" w:hAnsi="Arial"/>
          <w:sz w:val="16"/>
          <w:szCs w:val="16"/>
          <w:color w:val="auto"/>
        </w:rPr>
        <w:t>We sell a large number of products that have a wide variation in selling price and manufacturing cost, which results in certain practical limitations on our ability to quantify the impact of changes in individual product sales quantities and selling prices on our net sales, cost of goods sold and gross profit. In addition, small variations in period-to-period net sales, cost of goods sold and gross profit can result from changes in the relative mix of our products sold.</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5"/>
          </w:tcPr>
          <w:p>
            <w:pPr>
              <w:jc w:val="center"/>
              <w:ind w:right="680"/>
              <w:spacing w:after="0"/>
              <w:rPr>
                <w:sz w:val="20"/>
                <w:szCs w:val="20"/>
                <w:color w:val="auto"/>
              </w:rPr>
            </w:pPr>
            <w:r>
              <w:rPr>
                <w:rFonts w:ascii="Arial" w:cs="Arial" w:eastAsia="Arial" w:hAnsi="Arial"/>
                <w:sz w:val="14"/>
                <w:szCs w:val="14"/>
                <w:b w:val="1"/>
                <w:bCs w:val="1"/>
                <w:color w:val="auto"/>
                <w:w w:val="91"/>
              </w:rPr>
              <w:t>Three months ended</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0"/>
        </w:trPr>
        <w:tc>
          <w:tcPr>
            <w:tcW w:w="64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left="359"/>
              <w:spacing w:after="0"/>
              <w:rPr>
                <w:sz w:val="20"/>
                <w:szCs w:val="20"/>
                <w:color w:val="auto"/>
              </w:rPr>
            </w:pPr>
            <w:r>
              <w:rPr>
                <w:rFonts w:ascii="Arial" w:cs="Arial" w:eastAsia="Arial" w:hAnsi="Arial"/>
                <w:sz w:val="14"/>
                <w:szCs w:val="14"/>
                <w:b w:val="1"/>
                <w:bCs w:val="1"/>
                <w:color w:val="auto"/>
                <w:w w:val="95"/>
              </w:rPr>
              <w:t>March 31,</w:t>
            </w:r>
          </w:p>
        </w:tc>
        <w:tc>
          <w:tcPr>
            <w:tcW w:w="8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54"/>
        </w:trPr>
        <w:tc>
          <w:tcPr>
            <w:tcW w:w="64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4"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9"/>
              <w:spacing w:after="0" w:line="154" w:lineRule="exact"/>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4"/>
              <w:spacing w:after="0" w:line="154"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14"/>
              <w:spacing w:after="0" w:line="154"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r>
      <w:tr>
        <w:trPr>
          <w:trHeight w:val="154"/>
        </w:trPr>
        <w:tc>
          <w:tcPr>
            <w:tcW w:w="6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20" w:type="dxa"/>
            <w:vAlign w:val="bottom"/>
            <w:gridSpan w:val="5"/>
          </w:tcPr>
          <w:p>
            <w:pPr>
              <w:jc w:val="center"/>
              <w:ind w:right="680"/>
              <w:spacing w:after="0" w:line="154" w:lineRule="exact"/>
              <w:rPr>
                <w:sz w:val="20"/>
                <w:szCs w:val="20"/>
                <w:color w:val="auto"/>
              </w:rPr>
            </w:pPr>
            <w:r>
              <w:rPr>
                <w:rFonts w:ascii="Arial" w:cs="Arial" w:eastAsia="Arial" w:hAnsi="Arial"/>
                <w:sz w:val="14"/>
                <w:szCs w:val="14"/>
                <w:b w:val="1"/>
                <w:bCs w:val="1"/>
                <w:color w:val="auto"/>
                <w:w w:val="90"/>
              </w:rPr>
              <w:t>(Dollars in thousands)</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41"/>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31,176</w:t>
            </w:r>
          </w:p>
        </w:tc>
        <w:tc>
          <w:tcPr>
            <w:tcW w:w="3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32,311</w:t>
            </w:r>
          </w:p>
        </w:tc>
        <w:tc>
          <w:tcPr>
            <w:tcW w:w="2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100.0%</w:t>
            </w:r>
          </w:p>
        </w:tc>
      </w:tr>
      <w:tr>
        <w:trPr>
          <w:trHeight w:val="240"/>
        </w:trPr>
        <w:tc>
          <w:tcPr>
            <w:tcW w:w="6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21,552</w:t>
            </w:r>
          </w:p>
        </w:tc>
        <w:tc>
          <w:tcPr>
            <w:tcW w:w="300" w:type="dxa"/>
            <w:vAlign w:val="bottom"/>
            <w:tcBorders>
              <w:bottom w:val="single" w:sz="8" w:color="CFF0FC"/>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r>
              <w:rPr>
                <w:rFonts w:ascii="Arial" w:cs="Arial" w:eastAsia="Arial" w:hAnsi="Arial"/>
                <w:sz w:val="18"/>
                <w:szCs w:val="18"/>
                <w:u w:val="single" w:color="auto"/>
                <w:color w:val="auto"/>
              </w:rPr>
              <w:t>1</w:t>
            </w:r>
          </w:p>
        </w:tc>
        <w:tc>
          <w:tcPr>
            <w:tcW w:w="36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21,880</w:t>
            </w:r>
          </w:p>
        </w:tc>
        <w:tc>
          <w:tcPr>
            <w:tcW w:w="280" w:type="dxa"/>
            <w:vAlign w:val="bottom"/>
            <w:tcBorders>
              <w:bottom w:val="single" w:sz="8" w:color="CFF0FC"/>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67.7</w:t>
            </w:r>
          </w:p>
        </w:tc>
        <w:tc>
          <w:tcPr>
            <w:tcW w:w="200" w:type="dxa"/>
            <w:vAlign w:val="bottom"/>
            <w:tcBorders>
              <w:bottom w:val="single" w:sz="8" w:color="CFF0FC"/>
            </w:tcBorders>
          </w:tcPr>
          <w:p>
            <w:pPr>
              <w:spacing w:after="0"/>
              <w:rPr>
                <w:sz w:val="20"/>
                <w:szCs w:val="20"/>
                <w:color w:val="auto"/>
              </w:rPr>
            </w:pPr>
          </w:p>
        </w:tc>
      </w:tr>
      <w:tr>
        <w:trPr>
          <w:trHeight w:val="235"/>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9,624</w:t>
            </w:r>
          </w:p>
        </w:tc>
        <w:tc>
          <w:tcPr>
            <w:tcW w:w="3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10,431</w:t>
            </w:r>
          </w:p>
        </w:tc>
        <w:tc>
          <w:tcPr>
            <w:tcW w:w="2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32.3</w:t>
            </w:r>
          </w:p>
        </w:tc>
        <w:tc>
          <w:tcPr>
            <w:tcW w:w="200" w:type="dxa"/>
            <w:vAlign w:val="bottom"/>
            <w:shd w:val="clear" w:color="auto" w:fill="CFF0FC"/>
          </w:tcPr>
          <w:p>
            <w:pPr>
              <w:spacing w:after="0"/>
              <w:rPr>
                <w:sz w:val="20"/>
                <w:szCs w:val="20"/>
                <w:color w:val="auto"/>
              </w:rPr>
            </w:pPr>
          </w:p>
        </w:tc>
      </w:tr>
      <w:tr>
        <w:trPr>
          <w:trHeight w:val="240"/>
        </w:trPr>
        <w:tc>
          <w:tcPr>
            <w:tcW w:w="6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costs and expenses</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5,334</w:t>
            </w:r>
          </w:p>
        </w:tc>
        <w:tc>
          <w:tcPr>
            <w:tcW w:w="300" w:type="dxa"/>
            <w:vAlign w:val="bottom"/>
            <w:tcBorders>
              <w:bottom w:val="single" w:sz="8" w:color="CFF0FC"/>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36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5,411</w:t>
            </w:r>
          </w:p>
        </w:tc>
        <w:tc>
          <w:tcPr>
            <w:tcW w:w="280" w:type="dxa"/>
            <w:vAlign w:val="bottom"/>
            <w:tcBorders>
              <w:bottom w:val="single" w:sz="8" w:color="CFF0FC"/>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w:t>
            </w:r>
          </w:p>
        </w:tc>
        <w:tc>
          <w:tcPr>
            <w:tcW w:w="200" w:type="dxa"/>
            <w:vAlign w:val="bottom"/>
            <w:tcBorders>
              <w:bottom w:val="single" w:sz="8" w:color="CFF0FC"/>
            </w:tcBorders>
          </w:tcPr>
          <w:p>
            <w:pPr>
              <w:spacing w:after="0"/>
              <w:rPr>
                <w:sz w:val="20"/>
                <w:szCs w:val="20"/>
                <w:color w:val="auto"/>
              </w:rPr>
            </w:pPr>
          </w:p>
        </w:tc>
      </w:tr>
      <w:tr>
        <w:trPr>
          <w:trHeight w:val="234"/>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4,290</w:t>
            </w:r>
          </w:p>
        </w:tc>
        <w:tc>
          <w:tcPr>
            <w:tcW w:w="3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13.8%</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5,020</w:t>
            </w:r>
          </w:p>
        </w:tc>
        <w:tc>
          <w:tcPr>
            <w:tcW w:w="2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15.5%</w:t>
            </w:r>
          </w:p>
        </w:tc>
      </w:tr>
      <w:tr>
        <w:trPr>
          <w:trHeight w:val="20"/>
        </w:trPr>
        <w:tc>
          <w:tcPr>
            <w:tcW w:w="64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both"/>
        <w:ind w:firstLine="510"/>
        <w:spacing w:after="0" w:line="335" w:lineRule="auto"/>
        <w:rPr>
          <w:sz w:val="20"/>
          <w:szCs w:val="20"/>
          <w:color w:val="auto"/>
        </w:rPr>
      </w:pPr>
      <w:r>
        <w:rPr>
          <w:rFonts w:ascii="Arial" w:cs="Arial" w:eastAsia="Arial" w:hAnsi="Arial"/>
          <w:sz w:val="16"/>
          <w:szCs w:val="16"/>
          <w:i w:val="1"/>
          <w:iCs w:val="1"/>
          <w:color w:val="auto"/>
        </w:rPr>
        <w:t>Net sales</w:t>
      </w:r>
      <w:r>
        <w:rPr>
          <w:rFonts w:ascii="Arial" w:cs="Arial" w:eastAsia="Arial" w:hAnsi="Arial"/>
          <w:sz w:val="16"/>
          <w:szCs w:val="16"/>
          <w:color w:val="auto"/>
        </w:rPr>
        <w:t>. Net sales increased $1.1 million in the first quarter of 2020 compared to the same period in 2019 primarily due to higher Security Products</w:t>
      </w:r>
      <w:r>
        <w:rPr>
          <w:rFonts w:ascii="Arial" w:cs="Arial" w:eastAsia="Arial" w:hAnsi="Arial"/>
          <w:sz w:val="16"/>
          <w:szCs w:val="16"/>
          <w:i w:val="1"/>
          <w:iCs w:val="1"/>
          <w:color w:val="auto"/>
        </w:rPr>
        <w:t xml:space="preserve"> </w:t>
      </w:r>
      <w:r>
        <w:rPr>
          <w:rFonts w:ascii="Arial" w:cs="Arial" w:eastAsia="Arial" w:hAnsi="Arial"/>
          <w:sz w:val="16"/>
          <w:szCs w:val="16"/>
          <w:color w:val="auto"/>
        </w:rPr>
        <w:t>sales and to a lesser extent higher Marine Components sales. Relative changes in selling prices did not have a material impact on net sales comparisons.</w:t>
      </w:r>
    </w:p>
    <w:p>
      <w:pPr>
        <w:spacing w:after="0" w:line="128" w:lineRule="exact"/>
        <w:rPr>
          <w:sz w:val="20"/>
          <w:szCs w:val="20"/>
          <w:color w:val="auto"/>
        </w:rPr>
      </w:pPr>
    </w:p>
    <w:p>
      <w:pPr>
        <w:jc w:val="both"/>
        <w:ind w:firstLine="510"/>
        <w:spacing w:after="0" w:line="368" w:lineRule="auto"/>
        <w:rPr>
          <w:sz w:val="20"/>
          <w:szCs w:val="20"/>
          <w:color w:val="auto"/>
        </w:rPr>
      </w:pPr>
      <w:r>
        <w:rPr>
          <w:rFonts w:ascii="Arial" w:cs="Arial" w:eastAsia="Arial" w:hAnsi="Arial"/>
          <w:sz w:val="14"/>
          <w:szCs w:val="14"/>
          <w:i w:val="1"/>
          <w:iCs w:val="1"/>
          <w:color w:val="auto"/>
        </w:rPr>
        <w:t xml:space="preserve">Cost of sales and gross margin. </w:t>
      </w:r>
      <w:r>
        <w:rPr>
          <w:rFonts w:ascii="Arial" w:cs="Arial" w:eastAsia="Arial" w:hAnsi="Arial"/>
          <w:sz w:val="14"/>
          <w:szCs w:val="14"/>
          <w:color w:val="auto"/>
        </w:rPr>
        <w:t>Cost of sales as a percentage of sales decreased 1.4% in the first quarter of 2020 compared to the same period in 2019</w:t>
      </w:r>
      <w:r>
        <w:rPr>
          <w:rFonts w:ascii="Arial" w:cs="Arial" w:eastAsia="Arial" w:hAnsi="Arial"/>
          <w:sz w:val="14"/>
          <w:szCs w:val="14"/>
          <w:i w:val="1"/>
          <w:iCs w:val="1"/>
          <w:color w:val="auto"/>
        </w:rPr>
        <w:t xml:space="preserve"> </w:t>
      </w:r>
      <w:r>
        <w:rPr>
          <w:rFonts w:ascii="Arial" w:cs="Arial" w:eastAsia="Arial" w:hAnsi="Arial"/>
          <w:sz w:val="14"/>
          <w:szCs w:val="14"/>
          <w:color w:val="auto"/>
        </w:rPr>
        <w:t>due to the favorable effects of customer and product mix, partially offset by increased medical costs for both Security Products and Marine Components. As a result, gross margin as a percentage of sales increased over the same period. Gross margin dollars increased due to higher sales for both business segments.</w:t>
      </w:r>
    </w:p>
    <w:p>
      <w:pPr>
        <w:spacing w:after="0" w:line="115" w:lineRule="exact"/>
        <w:rPr>
          <w:sz w:val="20"/>
          <w:szCs w:val="20"/>
          <w:color w:val="auto"/>
        </w:rPr>
      </w:pPr>
    </w:p>
    <w:p>
      <w:pPr>
        <w:jc w:val="both"/>
        <w:ind w:firstLine="510"/>
        <w:spacing w:after="0" w:line="307" w:lineRule="auto"/>
        <w:rPr>
          <w:sz w:val="20"/>
          <w:szCs w:val="20"/>
          <w:color w:val="auto"/>
        </w:rPr>
      </w:pPr>
      <w:r>
        <w:rPr>
          <w:rFonts w:ascii="Arial" w:cs="Arial" w:eastAsia="Arial" w:hAnsi="Arial"/>
          <w:sz w:val="16"/>
          <w:szCs w:val="16"/>
          <w:i w:val="1"/>
          <w:iCs w:val="1"/>
          <w:color w:val="auto"/>
        </w:rPr>
        <w:t xml:space="preserve">Operating costs and expenses. </w:t>
      </w:r>
      <w:r>
        <w:rPr>
          <w:rFonts w:ascii="Arial" w:cs="Arial" w:eastAsia="Arial" w:hAnsi="Arial"/>
          <w:sz w:val="16"/>
          <w:szCs w:val="16"/>
          <w:color w:val="auto"/>
        </w:rPr>
        <w:t>Operating costs and expenses consist primarily of sales and administrative-related personnel costs, sales commissions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advertising expenses directly related to product sales and administrative costs relating to business unit and corporate management activities, as well as gains and losses on plant, property and equipment. Operating costs and expenses for first quarter of 2020 were comparable to the same period in 2019.</w:t>
      </w:r>
    </w:p>
    <w:p>
      <w:pPr>
        <w:spacing w:after="0" w:line="150" w:lineRule="exact"/>
        <w:rPr>
          <w:sz w:val="20"/>
          <w:szCs w:val="20"/>
          <w:color w:val="auto"/>
        </w:rPr>
      </w:pPr>
    </w:p>
    <w:p>
      <w:pPr>
        <w:jc w:val="both"/>
        <w:ind w:right="20" w:firstLine="510"/>
        <w:spacing w:after="0" w:line="271"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As a percentage of net sales, operating income for the first quarter of 2020 increased compared to the same period of 2019 and</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impacted by the factors impacting cost of sales, gross margin and operating costs discussed above.</w:t>
      </w:r>
    </w:p>
    <w:p>
      <w:pPr>
        <w:spacing w:after="0" w:line="175"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A tabular reconciliation of our actual tax provision to the U.S. federal statutory income tax rate is included in Note 6 to</w:t>
      </w:r>
      <w:r>
        <w:rPr>
          <w:rFonts w:ascii="Arial" w:cs="Arial" w:eastAsia="Arial" w:hAnsi="Arial"/>
          <w:sz w:val="18"/>
          <w:szCs w:val="18"/>
          <w:i w:val="1"/>
          <w:iCs w:val="1"/>
          <w:color w:val="auto"/>
        </w:rPr>
        <w:t xml:space="preserve"> </w:t>
      </w:r>
      <w:r>
        <w:rPr>
          <w:rFonts w:ascii="Arial" w:cs="Arial" w:eastAsia="Arial" w:hAnsi="Arial"/>
          <w:sz w:val="18"/>
          <w:szCs w:val="18"/>
          <w:color w:val="auto"/>
        </w:rPr>
        <w:t>the Condensed Consolidated Financial Statements. Our operations are wholly within the U.S. and therefore our effective income tax rate is primarily reflective of the U.S. federal statutory rate and applicable state taxes.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5073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Segment Results</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key performance indicator for our segments is operating income.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700" w:type="dxa"/>
            <w:vAlign w:val="bottom"/>
            <w:gridSpan w:val="3"/>
          </w:tcPr>
          <w:p>
            <w:pPr>
              <w:jc w:val="center"/>
              <w:ind w:right="268"/>
              <w:spacing w:after="0"/>
              <w:rPr>
                <w:sz w:val="20"/>
                <w:szCs w:val="20"/>
                <w:color w:val="auto"/>
              </w:rPr>
            </w:pPr>
            <w:r>
              <w:rPr>
                <w:rFonts w:ascii="Arial" w:cs="Arial" w:eastAsia="Arial" w:hAnsi="Arial"/>
                <w:sz w:val="14"/>
                <w:szCs w:val="14"/>
                <w:b w:val="1"/>
                <w:bCs w:val="1"/>
                <w:color w:val="auto"/>
                <w:w w:val="90"/>
              </w:rPr>
              <w:t>Three months ended</w:t>
            </w: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6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right="248"/>
              <w:spacing w:after="0"/>
              <w:rPr>
                <w:sz w:val="20"/>
                <w:szCs w:val="20"/>
                <w:color w:val="auto"/>
              </w:rPr>
            </w:pPr>
            <w:r>
              <w:rPr>
                <w:rFonts w:ascii="Arial" w:cs="Arial" w:eastAsia="Arial" w:hAnsi="Arial"/>
                <w:sz w:val="14"/>
                <w:szCs w:val="14"/>
                <w:b w:val="1"/>
                <w:bCs w:val="1"/>
                <w:color w:val="auto"/>
                <w:w w:val="95"/>
              </w:rPr>
              <w:t>March 31,</w:t>
            </w:r>
          </w:p>
        </w:tc>
        <w:tc>
          <w:tcPr>
            <w:tcW w:w="54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4660" w:type="dxa"/>
            <w:vAlign w:val="bottom"/>
          </w:tcPr>
          <w:p>
            <w:pPr>
              <w:spacing w:after="0"/>
              <w:rPr>
                <w:sz w:val="10"/>
                <w:szCs w:val="10"/>
                <w:color w:val="auto"/>
              </w:rPr>
            </w:pPr>
          </w:p>
        </w:tc>
        <w:tc>
          <w:tcPr>
            <w:tcW w:w="292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660" w:type="dxa"/>
            <w:vAlign w:val="bottom"/>
          </w:tcPr>
          <w:p>
            <w:pPr>
              <w:spacing w:after="0"/>
              <w:rPr>
                <w:sz w:val="14"/>
                <w:szCs w:val="14"/>
                <w:color w:val="auto"/>
              </w:rPr>
            </w:pPr>
          </w:p>
        </w:tc>
        <w:tc>
          <w:tcPr>
            <w:tcW w:w="29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466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700" w:type="dxa"/>
            <w:vAlign w:val="bottom"/>
            <w:tcBorders>
              <w:top w:val="single" w:sz="8" w:color="auto"/>
            </w:tcBorders>
            <w:gridSpan w:val="3"/>
          </w:tcPr>
          <w:p>
            <w:pPr>
              <w:jc w:val="center"/>
              <w:ind w:right="248"/>
              <w:spacing w:after="0"/>
              <w:rPr>
                <w:sz w:val="20"/>
                <w:szCs w:val="20"/>
                <w:color w:val="auto"/>
              </w:rPr>
            </w:pPr>
            <w:r>
              <w:rPr>
                <w:rFonts w:ascii="Arial" w:cs="Arial" w:eastAsia="Arial" w:hAnsi="Arial"/>
                <w:sz w:val="14"/>
                <w:szCs w:val="14"/>
                <w:b w:val="1"/>
                <w:bCs w:val="1"/>
                <w:color w:val="auto"/>
                <w:w w:val="90"/>
              </w:rPr>
              <w:t>(Dollars in thousands)</w:t>
            </w:r>
          </w:p>
        </w:tc>
        <w:tc>
          <w:tcPr>
            <w:tcW w:w="54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6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Security Products:</w:t>
            </w:r>
          </w:p>
        </w:tc>
        <w:tc>
          <w:tcPr>
            <w:tcW w:w="208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660" w:type="dxa"/>
            <w:vAlign w:val="bottom"/>
          </w:tcPr>
          <w:p>
            <w:pPr>
              <w:ind w:left="500"/>
              <w:spacing w:after="0"/>
              <w:rPr>
                <w:sz w:val="20"/>
                <w:szCs w:val="20"/>
                <w:color w:val="auto"/>
              </w:rPr>
            </w:pPr>
            <w:r>
              <w:rPr>
                <w:rFonts w:ascii="Arial" w:cs="Arial" w:eastAsia="Arial" w:hAnsi="Arial"/>
                <w:sz w:val="18"/>
                <w:szCs w:val="18"/>
                <w:color w:val="auto"/>
              </w:rPr>
              <w:t>Net sales</w:t>
            </w:r>
          </w:p>
        </w:tc>
        <w:tc>
          <w:tcPr>
            <w:tcW w:w="29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24,704</w:t>
            </w:r>
          </w:p>
        </w:tc>
        <w:tc>
          <w:tcPr>
            <w:tcW w:w="320" w:type="dxa"/>
            <w:vAlign w:val="bottom"/>
          </w:tcPr>
          <w:p>
            <w:pPr>
              <w:spacing w:after="0"/>
              <w:rPr>
                <w:sz w:val="20"/>
                <w:szCs w:val="20"/>
                <w:color w:val="auto"/>
              </w:rPr>
            </w:pPr>
          </w:p>
        </w:tc>
        <w:tc>
          <w:tcPr>
            <w:tcW w:w="840" w:type="dxa"/>
            <w:vAlign w:val="bottom"/>
          </w:tcPr>
          <w:p>
            <w:pPr>
              <w:jc w:val="right"/>
              <w:ind w:right="688"/>
              <w:spacing w:after="0"/>
              <w:rPr>
                <w:sz w:val="20"/>
                <w:szCs w:val="20"/>
                <w:color w:val="auto"/>
              </w:rPr>
            </w:pPr>
            <w:r>
              <w:rPr>
                <w:rFonts w:ascii="Arial" w:cs="Arial" w:eastAsia="Arial" w:hAnsi="Arial"/>
                <w:sz w:val="14"/>
                <w:szCs w:val="14"/>
                <w:b w:val="1"/>
                <w:bCs w:val="1"/>
                <w:color w:val="auto"/>
                <w:w w:val="76"/>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0"/>
              </w:rPr>
              <w:t>25,469</w:t>
            </w:r>
          </w:p>
        </w:tc>
        <w:tc>
          <w:tcPr>
            <w:tcW w:w="34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1"/>
        </w:trPr>
        <w:tc>
          <w:tcPr>
            <w:tcW w:w="4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Cost of sales</w:t>
            </w:r>
          </w:p>
        </w:tc>
        <w:tc>
          <w:tcPr>
            <w:tcW w:w="2080" w:type="dxa"/>
            <w:vAlign w:val="bottom"/>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16,733</w:t>
            </w:r>
          </w:p>
        </w:tc>
        <w:tc>
          <w:tcPr>
            <w:tcW w:w="320" w:type="dxa"/>
            <w:vAlign w:val="bottom"/>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0"/>
              </w:rPr>
              <w:t>16,911</w:t>
            </w:r>
          </w:p>
        </w:tc>
        <w:tc>
          <w:tcPr>
            <w:tcW w:w="3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60" w:type="dxa"/>
            <w:vAlign w:val="bottom"/>
          </w:tcPr>
          <w:p>
            <w:pPr>
              <w:ind w:left="740"/>
              <w:spacing w:after="0"/>
              <w:rPr>
                <w:sz w:val="20"/>
                <w:szCs w:val="20"/>
                <w:color w:val="auto"/>
              </w:rPr>
            </w:pPr>
            <w:r>
              <w:rPr>
                <w:rFonts w:ascii="Arial" w:cs="Arial" w:eastAsia="Arial" w:hAnsi="Arial"/>
                <w:sz w:val="18"/>
                <w:szCs w:val="18"/>
                <w:color w:val="auto"/>
              </w:rPr>
              <w:t>Gross margin</w:t>
            </w:r>
          </w:p>
        </w:tc>
        <w:tc>
          <w:tcPr>
            <w:tcW w:w="20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7,971</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8,558</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Operating costs and expenses</w:t>
            </w:r>
          </w:p>
        </w:tc>
        <w:tc>
          <w:tcPr>
            <w:tcW w:w="2080" w:type="dxa"/>
            <w:vAlign w:val="bottom"/>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2,895</w:t>
            </w:r>
          </w:p>
        </w:tc>
        <w:tc>
          <w:tcPr>
            <w:tcW w:w="320" w:type="dxa"/>
            <w:vAlign w:val="bottom"/>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2,845</w:t>
            </w:r>
          </w:p>
        </w:tc>
        <w:tc>
          <w:tcPr>
            <w:tcW w:w="3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4660" w:type="dxa"/>
            <w:vAlign w:val="bottom"/>
          </w:tcPr>
          <w:p>
            <w:pPr>
              <w:ind w:left="740"/>
              <w:spacing w:after="0"/>
              <w:rPr>
                <w:sz w:val="20"/>
                <w:szCs w:val="20"/>
                <w:color w:val="auto"/>
              </w:rPr>
            </w:pPr>
            <w:r>
              <w:rPr>
                <w:rFonts w:ascii="Arial" w:cs="Arial" w:eastAsia="Arial" w:hAnsi="Arial"/>
                <w:sz w:val="18"/>
                <w:szCs w:val="18"/>
                <w:color w:val="auto"/>
              </w:rPr>
              <w:t>Operating income</w:t>
            </w:r>
          </w:p>
        </w:tc>
        <w:tc>
          <w:tcPr>
            <w:tcW w:w="29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5,076</w:t>
            </w:r>
          </w:p>
        </w:tc>
        <w:tc>
          <w:tcPr>
            <w:tcW w:w="320" w:type="dxa"/>
            <w:vAlign w:val="bottom"/>
          </w:tcPr>
          <w:p>
            <w:pPr>
              <w:spacing w:after="0"/>
              <w:rPr>
                <w:sz w:val="23"/>
                <w:szCs w:val="23"/>
                <w:color w:val="auto"/>
              </w:rPr>
            </w:pPr>
          </w:p>
        </w:tc>
        <w:tc>
          <w:tcPr>
            <w:tcW w:w="840" w:type="dxa"/>
            <w:vAlign w:val="bottom"/>
          </w:tcPr>
          <w:p>
            <w:pPr>
              <w:jc w:val="right"/>
              <w:ind w:right="688"/>
              <w:spacing w:after="0"/>
              <w:rPr>
                <w:sz w:val="20"/>
                <w:szCs w:val="20"/>
                <w:color w:val="auto"/>
              </w:rPr>
            </w:pPr>
            <w:r>
              <w:rPr>
                <w:rFonts w:ascii="Arial" w:cs="Arial" w:eastAsia="Arial" w:hAnsi="Arial"/>
                <w:sz w:val="14"/>
                <w:szCs w:val="14"/>
                <w:b w:val="1"/>
                <w:bCs w:val="1"/>
                <w:color w:val="auto"/>
                <w:w w:val="76"/>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5,713</w:t>
            </w: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4660" w:type="dxa"/>
            <w:vAlign w:val="bottom"/>
            <w:tcBorders>
              <w:top w:val="single" w:sz="8" w:color="CFF0FC"/>
            </w:tcBorders>
            <w:shd w:val="clear" w:color="auto" w:fill="CFF0FC"/>
          </w:tcPr>
          <w:p>
            <w:pPr>
              <w:spacing w:after="0"/>
              <w:rPr>
                <w:sz w:val="19"/>
                <w:szCs w:val="19"/>
                <w:color w:val="auto"/>
              </w:rPr>
            </w:pPr>
          </w:p>
        </w:tc>
        <w:tc>
          <w:tcPr>
            <w:tcW w:w="20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6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20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32.3%</w:t>
            </w:r>
          </w:p>
        </w:tc>
        <w:tc>
          <w:tcPr>
            <w:tcW w:w="8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33.6%</w:t>
            </w: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66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20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20.5</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22.4</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i w:val="1"/>
          <w:iCs w:val="1"/>
          <w:color w:val="auto"/>
        </w:rPr>
        <w:t>Security Products</w:t>
      </w:r>
      <w:r>
        <w:rPr>
          <w:rFonts w:ascii="Arial" w:cs="Arial" w:eastAsia="Arial" w:hAnsi="Arial"/>
          <w:sz w:val="18"/>
          <w:szCs w:val="18"/>
          <w:color w:val="auto"/>
        </w:rPr>
        <w:t>. Security Products net sales increased 3% in the first quarter of 2020 compared to the same period last year. The increase in sales is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higher sales to existing government security customers, partially offset by lower sales to transportation and distribution customers. Gross margin and operating income as a percentage of sales increased in 2020 compared to the same period in 2019 due to favorable customer and product mix on higher sales, partially offset by increased medical costs.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740" w:type="dxa"/>
            <w:vAlign w:val="bottom"/>
            <w:gridSpan w:val="3"/>
          </w:tcPr>
          <w:p>
            <w:pPr>
              <w:jc w:val="center"/>
              <w:ind w:right="308"/>
              <w:spacing w:after="0"/>
              <w:rPr>
                <w:sz w:val="20"/>
                <w:szCs w:val="20"/>
                <w:color w:val="auto"/>
              </w:rPr>
            </w:pPr>
            <w:r>
              <w:rPr>
                <w:rFonts w:ascii="Arial" w:cs="Arial" w:eastAsia="Arial" w:hAnsi="Arial"/>
                <w:sz w:val="14"/>
                <w:szCs w:val="14"/>
                <w:b w:val="1"/>
                <w:bCs w:val="1"/>
                <w:color w:val="auto"/>
                <w:w w:val="90"/>
              </w:rPr>
              <w:t>Three months ended</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6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center"/>
              <w:ind w:right="288"/>
              <w:spacing w:after="0"/>
              <w:rPr>
                <w:sz w:val="20"/>
                <w:szCs w:val="20"/>
                <w:color w:val="auto"/>
              </w:rPr>
            </w:pPr>
            <w:r>
              <w:rPr>
                <w:rFonts w:ascii="Arial" w:cs="Arial" w:eastAsia="Arial" w:hAnsi="Arial"/>
                <w:sz w:val="14"/>
                <w:szCs w:val="14"/>
                <w:b w:val="1"/>
                <w:bCs w:val="1"/>
                <w:color w:val="auto"/>
                <w:w w:val="95"/>
              </w:rPr>
              <w:t>March 31,</w:t>
            </w:r>
          </w:p>
        </w:tc>
        <w:tc>
          <w:tcPr>
            <w:tcW w:w="5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vMerge w:val="restart"/>
          </w:tcPr>
          <w:p>
            <w:pPr>
              <w:jc w:val="right"/>
              <w:ind w:right="316"/>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4660" w:type="dxa"/>
            <w:vAlign w:val="bottom"/>
          </w:tcPr>
          <w:p>
            <w:pPr>
              <w:spacing w:after="0"/>
              <w:rPr>
                <w:sz w:val="10"/>
                <w:szCs w:val="10"/>
                <w:color w:val="auto"/>
              </w:rPr>
            </w:pPr>
          </w:p>
        </w:tc>
        <w:tc>
          <w:tcPr>
            <w:tcW w:w="292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4660" w:type="dxa"/>
            <w:vAlign w:val="bottom"/>
          </w:tcPr>
          <w:p>
            <w:pPr>
              <w:spacing w:after="0"/>
              <w:rPr>
                <w:sz w:val="14"/>
                <w:szCs w:val="14"/>
                <w:color w:val="auto"/>
              </w:rPr>
            </w:pPr>
          </w:p>
        </w:tc>
        <w:tc>
          <w:tcPr>
            <w:tcW w:w="29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49"/>
        </w:trPr>
        <w:tc>
          <w:tcPr>
            <w:tcW w:w="466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740" w:type="dxa"/>
            <w:vAlign w:val="bottom"/>
            <w:tcBorders>
              <w:top w:val="single" w:sz="8" w:color="auto"/>
            </w:tcBorders>
            <w:gridSpan w:val="3"/>
          </w:tcPr>
          <w:p>
            <w:pPr>
              <w:jc w:val="center"/>
              <w:ind w:right="288"/>
              <w:spacing w:after="0"/>
              <w:rPr>
                <w:sz w:val="20"/>
                <w:szCs w:val="20"/>
                <w:color w:val="auto"/>
              </w:rPr>
            </w:pPr>
            <w:r>
              <w:rPr>
                <w:rFonts w:ascii="Arial" w:cs="Arial" w:eastAsia="Arial" w:hAnsi="Arial"/>
                <w:sz w:val="14"/>
                <w:szCs w:val="14"/>
                <w:b w:val="1"/>
                <w:bCs w:val="1"/>
                <w:color w:val="auto"/>
                <w:w w:val="90"/>
              </w:rPr>
              <w:t>(Dollars in thousands)</w:t>
            </w:r>
          </w:p>
        </w:tc>
        <w:tc>
          <w:tcPr>
            <w:tcW w:w="50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6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Marine Components:</w:t>
            </w:r>
          </w:p>
        </w:tc>
        <w:tc>
          <w:tcPr>
            <w:tcW w:w="208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660" w:type="dxa"/>
            <w:vAlign w:val="bottom"/>
          </w:tcPr>
          <w:p>
            <w:pPr>
              <w:ind w:left="500"/>
              <w:spacing w:after="0"/>
              <w:rPr>
                <w:sz w:val="20"/>
                <w:szCs w:val="20"/>
                <w:color w:val="auto"/>
              </w:rPr>
            </w:pPr>
            <w:r>
              <w:rPr>
                <w:rFonts w:ascii="Arial" w:cs="Arial" w:eastAsia="Arial" w:hAnsi="Arial"/>
                <w:sz w:val="18"/>
                <w:szCs w:val="18"/>
                <w:color w:val="auto"/>
              </w:rPr>
              <w:t>Net sales</w:t>
            </w:r>
          </w:p>
        </w:tc>
        <w:tc>
          <w:tcPr>
            <w:tcW w:w="29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6,472</w:t>
            </w:r>
          </w:p>
        </w:tc>
        <w:tc>
          <w:tcPr>
            <w:tcW w:w="320" w:type="dxa"/>
            <w:vAlign w:val="bottom"/>
          </w:tcPr>
          <w:p>
            <w:pPr>
              <w:spacing w:after="0"/>
              <w:rPr>
                <w:sz w:val="20"/>
                <w:szCs w:val="20"/>
                <w:color w:val="auto"/>
              </w:rPr>
            </w:pPr>
          </w:p>
        </w:tc>
        <w:tc>
          <w:tcPr>
            <w:tcW w:w="880" w:type="dxa"/>
            <w:vAlign w:val="bottom"/>
          </w:tcPr>
          <w:p>
            <w:pPr>
              <w:jc w:val="right"/>
              <w:ind w:right="728"/>
              <w:spacing w:after="0"/>
              <w:rPr>
                <w:sz w:val="20"/>
                <w:szCs w:val="20"/>
                <w:color w:val="auto"/>
              </w:rPr>
            </w:pPr>
            <w:r>
              <w:rPr>
                <w:rFonts w:ascii="Arial" w:cs="Arial" w:eastAsia="Arial" w:hAnsi="Arial"/>
                <w:sz w:val="14"/>
                <w:szCs w:val="14"/>
                <w:b w:val="1"/>
                <w:bCs w:val="1"/>
                <w:color w:val="auto"/>
                <w:w w:val="76"/>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6,842</w:t>
            </w:r>
          </w:p>
        </w:tc>
        <w:tc>
          <w:tcPr>
            <w:tcW w:w="34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1"/>
        </w:trPr>
        <w:tc>
          <w:tcPr>
            <w:tcW w:w="4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Cost of sales</w:t>
            </w:r>
          </w:p>
        </w:tc>
        <w:tc>
          <w:tcPr>
            <w:tcW w:w="2080" w:type="dxa"/>
            <w:vAlign w:val="bottom"/>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4,819</w:t>
            </w:r>
          </w:p>
        </w:tc>
        <w:tc>
          <w:tcPr>
            <w:tcW w:w="320" w:type="dxa"/>
            <w:vAlign w:val="bottom"/>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4,969</w:t>
            </w:r>
          </w:p>
        </w:tc>
        <w:tc>
          <w:tcPr>
            <w:tcW w:w="3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60" w:type="dxa"/>
            <w:vAlign w:val="bottom"/>
          </w:tcPr>
          <w:p>
            <w:pPr>
              <w:ind w:left="740"/>
              <w:spacing w:after="0"/>
              <w:rPr>
                <w:sz w:val="20"/>
                <w:szCs w:val="20"/>
                <w:color w:val="auto"/>
              </w:rPr>
            </w:pPr>
            <w:r>
              <w:rPr>
                <w:rFonts w:ascii="Arial" w:cs="Arial" w:eastAsia="Arial" w:hAnsi="Arial"/>
                <w:sz w:val="18"/>
                <w:szCs w:val="18"/>
                <w:color w:val="auto"/>
              </w:rPr>
              <w:t>Gross margin</w:t>
            </w:r>
          </w:p>
        </w:tc>
        <w:tc>
          <w:tcPr>
            <w:tcW w:w="20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1,653</w:t>
            </w: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1,873</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Operating costs and expenses</w:t>
            </w:r>
          </w:p>
        </w:tc>
        <w:tc>
          <w:tcPr>
            <w:tcW w:w="2080" w:type="dxa"/>
            <w:vAlign w:val="bottom"/>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w:t>
            </w:r>
          </w:p>
        </w:tc>
        <w:tc>
          <w:tcPr>
            <w:tcW w:w="320" w:type="dxa"/>
            <w:vAlign w:val="bottom"/>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791</w:t>
            </w:r>
          </w:p>
        </w:tc>
        <w:tc>
          <w:tcPr>
            <w:tcW w:w="3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4660" w:type="dxa"/>
            <w:vAlign w:val="bottom"/>
          </w:tcPr>
          <w:p>
            <w:pPr>
              <w:ind w:left="740"/>
              <w:spacing w:after="0"/>
              <w:rPr>
                <w:sz w:val="20"/>
                <w:szCs w:val="20"/>
                <w:color w:val="auto"/>
              </w:rPr>
            </w:pPr>
            <w:r>
              <w:rPr>
                <w:rFonts w:ascii="Arial" w:cs="Arial" w:eastAsia="Arial" w:hAnsi="Arial"/>
                <w:sz w:val="18"/>
                <w:szCs w:val="18"/>
                <w:color w:val="auto"/>
              </w:rPr>
              <w:t>Operating income</w:t>
            </w:r>
          </w:p>
        </w:tc>
        <w:tc>
          <w:tcPr>
            <w:tcW w:w="29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901</w:t>
            </w:r>
          </w:p>
        </w:tc>
        <w:tc>
          <w:tcPr>
            <w:tcW w:w="320" w:type="dxa"/>
            <w:vAlign w:val="bottom"/>
          </w:tcPr>
          <w:p>
            <w:pPr>
              <w:spacing w:after="0"/>
              <w:rPr>
                <w:sz w:val="23"/>
                <w:szCs w:val="23"/>
                <w:color w:val="auto"/>
              </w:rPr>
            </w:pPr>
          </w:p>
        </w:tc>
        <w:tc>
          <w:tcPr>
            <w:tcW w:w="880" w:type="dxa"/>
            <w:vAlign w:val="bottom"/>
          </w:tcPr>
          <w:p>
            <w:pPr>
              <w:jc w:val="right"/>
              <w:ind w:right="728"/>
              <w:spacing w:after="0"/>
              <w:rPr>
                <w:sz w:val="20"/>
                <w:szCs w:val="20"/>
                <w:color w:val="auto"/>
              </w:rPr>
            </w:pPr>
            <w:r>
              <w:rPr>
                <w:rFonts w:ascii="Arial" w:cs="Arial" w:eastAsia="Arial" w:hAnsi="Arial"/>
                <w:sz w:val="14"/>
                <w:szCs w:val="14"/>
                <w:b w:val="1"/>
                <w:bCs w:val="1"/>
                <w:color w:val="auto"/>
                <w:w w:val="76"/>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1,082</w:t>
            </w: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4660" w:type="dxa"/>
            <w:vAlign w:val="bottom"/>
            <w:tcBorders>
              <w:top w:val="single" w:sz="8" w:color="CFF0FC"/>
            </w:tcBorders>
            <w:shd w:val="clear" w:color="auto" w:fill="CFF0FC"/>
          </w:tcPr>
          <w:p>
            <w:pPr>
              <w:spacing w:after="0"/>
              <w:rPr>
                <w:sz w:val="19"/>
                <w:szCs w:val="19"/>
                <w:color w:val="auto"/>
              </w:rPr>
            </w:pPr>
          </w:p>
        </w:tc>
        <w:tc>
          <w:tcPr>
            <w:tcW w:w="20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6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20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25.5%</w:t>
            </w:r>
          </w:p>
        </w:tc>
        <w:tc>
          <w:tcPr>
            <w:tcW w:w="8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27.4%</w:t>
            </w: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66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20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13.9</w:t>
            </w: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15.8</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i w:val="1"/>
          <w:iCs w:val="1"/>
          <w:color w:val="auto"/>
        </w:rPr>
        <w:t>Marine Components</w:t>
      </w:r>
      <w:r>
        <w:rPr>
          <w:rFonts w:ascii="Arial" w:cs="Arial" w:eastAsia="Arial" w:hAnsi="Arial"/>
          <w:sz w:val="18"/>
          <w:szCs w:val="18"/>
          <w:color w:val="auto"/>
        </w:rPr>
        <w:t>. Marine Components net sales increased 6% in the first quarter of 2020 compared to the same period last year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sales to the towboat and center console boat markets, partially offset by lower sales to distribution customers. Gross margin and operating income as a percentage of sales increased in the first quarter of 2020 compared to the same period last year due to a favorable customer and product mix on higher sales, partially offset by increased medical costs.</w:t>
      </w:r>
    </w:p>
    <w:p>
      <w:pPr>
        <w:spacing w:after="0" w:line="190"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i w:val="1"/>
          <w:iCs w:val="1"/>
          <w:color w:val="auto"/>
        </w:rPr>
        <w:t xml:space="preserve">Outlook. </w:t>
      </w:r>
      <w:r>
        <w:rPr>
          <w:rFonts w:ascii="Arial" w:cs="Arial" w:eastAsia="Arial" w:hAnsi="Arial"/>
          <w:sz w:val="16"/>
          <w:szCs w:val="16"/>
          <w:color w:val="auto"/>
        </w:rPr>
        <w:t>We experienced minimal disruptions to our supply chain or customer base from COVID-19 during the first quarter of 2020. First quarter</w:t>
      </w:r>
      <w:r>
        <w:rPr>
          <w:rFonts w:ascii="Arial" w:cs="Arial" w:eastAsia="Arial" w:hAnsi="Arial"/>
          <w:sz w:val="16"/>
          <w:szCs w:val="16"/>
          <w:i w:val="1"/>
          <w:iCs w:val="1"/>
          <w:color w:val="auto"/>
        </w:rPr>
        <w:t xml:space="preserve"> </w:t>
      </w:r>
      <w:r>
        <w:rPr>
          <w:rFonts w:ascii="Arial" w:cs="Arial" w:eastAsia="Arial" w:hAnsi="Arial"/>
          <w:sz w:val="16"/>
          <w:szCs w:val="16"/>
          <w:color w:val="auto"/>
        </w:rPr>
        <w:t>sales reflect continued strong demand for our products, including high-security applications for our existing government customers as well as our marine products. We have been identified as an essential business in the states where we operate, and are considered critical in supplying components to many essential and mandatory markets. Beginning in late March 2020, we began receiving requests from certain customers of both our Security Products and Marine Components segments to delay or postpone shipments, in some cases because our customers’ production facilities have temporarily closed. We operate three facilities, each of which specializes in certain manufacturing processes and is therefore dependent upon the other facilities to some extent to manufacture finished goods. With the onset of COVID-19, within each facility we increased sanitizing, mandated social distancing and implemented other health and safety protocols. In late April 2020, we temporarily closed our facility that is located outside of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5073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13" w:name="page14"/>
    <w:bookmarkEnd w:id="13"/>
    <w:p>
      <w:pPr>
        <w:jc w:val="both"/>
        <w:spacing w:after="0" w:line="255" w:lineRule="auto"/>
        <w:rPr>
          <w:sz w:val="20"/>
          <w:szCs w:val="20"/>
          <w:color w:val="auto"/>
        </w:rPr>
      </w:pPr>
      <w:r>
        <w:rPr>
          <w:rFonts w:ascii="Arial" w:cs="Arial" w:eastAsia="Arial" w:hAnsi="Arial"/>
          <w:sz w:val="18"/>
          <w:szCs w:val="18"/>
          <w:color w:val="auto"/>
        </w:rPr>
        <w:t>Chicago, Illinois, which has been considered a COVID-19 “hotspot,” due to an increase of COVID-19 cases in the community. During the closure we completed a deep clean and sanitization within the facility, and we successfully reopened the plant and resumed production after a one week pause. We believe the temporary closure of our Illinois facility will have minimal negative impact on our ability to manufacture and ship during the second quarter, in part due to the anticipated decline in demand during the same period.</w:t>
      </w:r>
    </w:p>
    <w:p>
      <w:pPr>
        <w:spacing w:after="0" w:line="190" w:lineRule="exact"/>
        <w:rPr>
          <w:sz w:val="20"/>
          <w:szCs w:val="20"/>
          <w:color w:val="auto"/>
        </w:rPr>
      </w:pPr>
    </w:p>
    <w:p>
      <w:pPr>
        <w:jc w:val="both"/>
        <w:ind w:firstLine="510"/>
        <w:spacing w:after="0" w:line="288" w:lineRule="auto"/>
        <w:rPr>
          <w:sz w:val="20"/>
          <w:szCs w:val="20"/>
          <w:color w:val="auto"/>
        </w:rPr>
      </w:pPr>
      <w:r>
        <w:rPr>
          <w:rFonts w:ascii="Arial" w:cs="Arial" w:eastAsia="Arial" w:hAnsi="Arial"/>
          <w:sz w:val="16"/>
          <w:szCs w:val="16"/>
          <w:color w:val="auto"/>
        </w:rPr>
        <w:t>The advance of the COVID-19 pandemic and the global efforts to mitigate its spread have already resulted in sharp contractions of vast areas of the global economy and are expected to continue to challenge workers, businesses and governments for the foreseeable future. Government actions in various regions to gradually permit the resumption of limited commercial activities following various regional shutdowns are currently in progress, but it is believed that the success and timing of these actions will depend in part on deployment of effective tools to fight COVID-19, including increased testing, enhanced monitoring, data analysis and effective treatments, before economic growth returns to pre-pandemic levels, particularly in service related sectors of the economy. Even as these measures are implemented and become effective, they will not directly address the business and employment losses already experienced. As a result, we expect U.S. and worldwide gross domestic product to be significantly impacted for an indeterminate period.</w:t>
      </w:r>
    </w:p>
    <w:p>
      <w:pPr>
        <w:spacing w:after="0" w:line="166"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Based on current conditions, we expect to report reduced revenue and operating income during the second quarter of 2020 compared to the first quarter of 2020, but the severity of the decline will depend on customer demand for our products, including the timing and extent to which our customers restart their operations, on our customers’ perception as to when consumer demand for their products will return and on any future disruptions in our operations or our suppliers’ operations, all of which are difficult to predict. Our operations teams meet daily to ensure we are maintaining a safe working environment for all of our employees, minimizing operational disruptions and managing inventory levels. It is possible we may temporarily close one or more of our facilities again for the health and safety of our employees before the COVID-19 crisis is over. We have significant cash balances of approximately $64.0 million at March 31, 2020, and we believe we are well positioned to navigate the uncertainty ahead.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Consolidated cash flows </w:t>
      </w:r>
      <w:r>
        <w:rPr>
          <w:rFonts w:ascii="Arial" w:cs="Arial" w:eastAsia="Arial" w:hAnsi="Arial"/>
          <w:sz w:val="18"/>
          <w:szCs w:val="18"/>
          <w:b w:val="1"/>
          <w:bCs w:val="1"/>
          <w:color w:val="auto"/>
        </w:rPr>
        <w:t>–</w:t>
      </w:r>
    </w:p>
    <w:p>
      <w:pPr>
        <w:spacing w:after="0" w:line="118"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Trends in cash flows from operating activities, excluding changes in assets and liabilities, have generally been similar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trends in operating earnings. Changes in assets and liabilities result primarily from the timing of production, sales and purchases. Changes in assets and liabilities generally tend to even out over time. However, period-to-period relative changes in assets and liabilities can significantly affect the comparability of cash flows from operating activities.</w:t>
      </w:r>
    </w:p>
    <w:p>
      <w:pPr>
        <w:spacing w:after="0" w:line="150"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generally report a net use of cash from operating activities in the first three months of each year due to seasonal changes in the level of our working capital. Our net cash used by operating activities for the first three months of 2020 decreased by $1.8 million as compared to the first three months of 2019. The decrease in net cash used is primarily due to the net effects of:</w:t>
      </w:r>
    </w:p>
    <w:p>
      <w:pPr>
        <w:spacing w:after="0" w:line="79" w:lineRule="exact"/>
        <w:rPr>
          <w:sz w:val="20"/>
          <w:szCs w:val="20"/>
          <w:color w:val="auto"/>
        </w:rPr>
      </w:pPr>
    </w:p>
    <w:p>
      <w:pPr>
        <w:ind w:left="1020" w:hanging="371"/>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$0.7 million increase in operating income in 2020,</w:t>
      </w:r>
    </w:p>
    <w:p>
      <w:pPr>
        <w:spacing w:after="0" w:line="113" w:lineRule="exact"/>
        <w:rPr>
          <w:rFonts w:ascii="Arial" w:cs="Arial" w:eastAsia="Arial" w:hAnsi="Arial"/>
          <w:sz w:val="18"/>
          <w:szCs w:val="18"/>
          <w:color w:val="auto"/>
        </w:rPr>
      </w:pPr>
    </w:p>
    <w:p>
      <w:pPr>
        <w:ind w:left="1020" w:hanging="371"/>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$0.6 million decrease in interest received in 2020 due to the relative timing of interest received,</w:t>
      </w:r>
    </w:p>
    <w:p>
      <w:pPr>
        <w:spacing w:after="0" w:line="113" w:lineRule="exact"/>
        <w:rPr>
          <w:rFonts w:ascii="Arial" w:cs="Arial" w:eastAsia="Arial" w:hAnsi="Arial"/>
          <w:sz w:val="18"/>
          <w:szCs w:val="18"/>
          <w:color w:val="auto"/>
        </w:rPr>
      </w:pPr>
    </w:p>
    <w:p>
      <w:pPr>
        <w:ind w:left="1020" w:hanging="371"/>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$1.0 million decrease in cash paid for taxes in 2020 due to the relative timing of payments; and</w:t>
      </w:r>
    </w:p>
    <w:p>
      <w:pPr>
        <w:spacing w:after="0" w:line="113" w:lineRule="exact"/>
        <w:rPr>
          <w:rFonts w:ascii="Arial" w:cs="Arial" w:eastAsia="Arial" w:hAnsi="Arial"/>
          <w:sz w:val="18"/>
          <w:szCs w:val="18"/>
          <w:color w:val="auto"/>
        </w:rPr>
      </w:pPr>
    </w:p>
    <w:p>
      <w:pPr>
        <w:ind w:left="1020" w:hanging="371"/>
        <w:spacing w:after="0" w:line="27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lower amount of net cash used by relative changes in our inventories, receivables, prepaids, payables and non-tax related accruals of approximately $0.8 million in 2020.</w:t>
      </w:r>
    </w:p>
    <w:p>
      <w:pPr>
        <w:spacing w:after="0" w:line="148"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Relative changes in working capital can have a significant effect on cash flows from operating activities. As shown below, the change in our average days sales outstanding from December 31, 2019 to March 31, 2020 varied by segment, primarily as a result of relative changes in the timing of collections. For comparative purposes, we have provided December 31, 2018 and March 31, 2019 numbers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gridSpan w:val="2"/>
          </w:tcPr>
          <w:p>
            <w:pPr>
              <w:ind w:left="1280"/>
              <w:spacing w:after="0"/>
              <w:rPr>
                <w:sz w:val="20"/>
                <w:szCs w:val="20"/>
                <w:color w:val="auto"/>
              </w:rPr>
            </w:pPr>
            <w:r>
              <w:rPr>
                <w:rFonts w:ascii="Arial" w:cs="Arial" w:eastAsia="Arial" w:hAnsi="Arial"/>
                <w:sz w:val="14"/>
                <w:szCs w:val="14"/>
                <w:b w:val="1"/>
                <w:bCs w:val="1"/>
                <w:color w:val="auto"/>
              </w:rPr>
              <w:t>Days Sales Outstanding:</w:t>
            </w: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2018</w:t>
            </w: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March 31, 2019</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December 31, 2019</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6"/>
              </w:rPr>
              <w:t>March 31, 2020</w:t>
            </w:r>
          </w:p>
        </w:tc>
      </w:tr>
      <w:tr>
        <w:trPr>
          <w:trHeight w:val="207"/>
        </w:trPr>
        <w:tc>
          <w:tcPr>
            <w:tcW w:w="40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Security Products</w:t>
            </w:r>
          </w:p>
        </w:tc>
        <w:tc>
          <w:tcPr>
            <w:tcW w:w="140" w:type="dxa"/>
            <w:vAlign w:val="bottom"/>
            <w:tcBorders>
              <w:top w:val="single" w:sz="8" w:color="CFF0FC"/>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43 Days</w:t>
            </w:r>
          </w:p>
        </w:tc>
        <w:tc>
          <w:tcPr>
            <w:tcW w:w="100" w:type="dxa"/>
            <w:vAlign w:val="bottom"/>
            <w:tcBorders>
              <w:top w:val="single" w:sz="8" w:color="CFF0FC"/>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48 Days</w:t>
            </w:r>
          </w:p>
        </w:tc>
        <w:tc>
          <w:tcPr>
            <w:tcW w:w="100" w:type="dxa"/>
            <w:vAlign w:val="bottom"/>
            <w:tcBorders>
              <w:top w:val="single" w:sz="8" w:color="CFF0FC"/>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38 Days</w:t>
            </w:r>
          </w:p>
        </w:tc>
        <w:tc>
          <w:tcPr>
            <w:tcW w:w="120" w:type="dxa"/>
            <w:vAlign w:val="bottom"/>
            <w:tcBorders>
              <w:top w:val="single" w:sz="8" w:color="CFF0FC"/>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46 Days</w:t>
            </w:r>
          </w:p>
        </w:tc>
      </w:tr>
      <w:tr>
        <w:trPr>
          <w:trHeight w:val="214"/>
        </w:trPr>
        <w:tc>
          <w:tcPr>
            <w:tcW w:w="4200" w:type="dxa"/>
            <w:vAlign w:val="bottom"/>
            <w:gridSpan w:val="2"/>
          </w:tcPr>
          <w:p>
            <w:pPr>
              <w:spacing w:after="0"/>
              <w:rPr>
                <w:sz w:val="20"/>
                <w:szCs w:val="20"/>
                <w:color w:val="auto"/>
              </w:rPr>
            </w:pPr>
            <w:r>
              <w:rPr>
                <w:rFonts w:ascii="Arial" w:cs="Arial" w:eastAsia="Arial" w:hAnsi="Arial"/>
                <w:sz w:val="18"/>
                <w:szCs w:val="18"/>
                <w:color w:val="auto"/>
              </w:rPr>
              <w:t>Marine Components</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30 Days</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34 Days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27 Days</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33 Days</w:t>
            </w:r>
          </w:p>
        </w:tc>
      </w:tr>
      <w:tr>
        <w:trPr>
          <w:trHeight w:val="214"/>
        </w:trPr>
        <w:tc>
          <w:tcPr>
            <w:tcW w:w="4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Consolidated CompX</w:t>
            </w:r>
          </w:p>
        </w:tc>
        <w:tc>
          <w:tcPr>
            <w:tcW w:w="178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0"/>
              </w:rPr>
              <w:t>40 Days</w:t>
            </w:r>
          </w:p>
        </w:tc>
        <w:tc>
          <w:tcPr>
            <w:tcW w:w="178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0"/>
              </w:rPr>
              <w:t>45 Days</w:t>
            </w:r>
          </w:p>
        </w:tc>
        <w:tc>
          <w:tcPr>
            <w:tcW w:w="180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87"/>
              </w:rPr>
              <w:t>36 Days</w:t>
            </w:r>
          </w:p>
        </w:tc>
        <w:tc>
          <w:tcPr>
            <w:tcW w:w="1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43 Days</w:t>
            </w:r>
          </w:p>
        </w:tc>
      </w:tr>
    </w:tbl>
    <w:p>
      <w:pPr>
        <w:spacing w:after="0" w:line="160" w:lineRule="exact"/>
        <w:rPr>
          <w:sz w:val="20"/>
          <w:szCs w:val="20"/>
          <w:color w:val="auto"/>
        </w:rPr>
      </w:pPr>
    </w:p>
    <w:p>
      <w:pPr>
        <w:jc w:val="both"/>
        <w:ind w:firstLine="510"/>
        <w:spacing w:after="0" w:line="297" w:lineRule="auto"/>
        <w:rPr>
          <w:sz w:val="20"/>
          <w:szCs w:val="20"/>
          <w:color w:val="auto"/>
        </w:rPr>
      </w:pPr>
      <w:r>
        <w:rPr>
          <w:rFonts w:ascii="Arial" w:cs="Arial" w:eastAsia="Arial" w:hAnsi="Arial"/>
          <w:sz w:val="16"/>
          <w:szCs w:val="16"/>
          <w:color w:val="auto"/>
        </w:rPr>
        <w:t>Our total average number of days in inventory is comparable from December 31, 2019 to March 31, 2020. The variability in days in inventory among our segments relates to the differences in the average length of time it takes to produce and sell end-products. For comparative purposes, we have provided December 31, 2018 and March 31, 2019 numbers below. Marine Components days in inventory was unusually low at March 31, 2019 as a result of rapid sales growth for Marine Components which increased average days sales while temporarily limiting opportunities to strategically restock.</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5073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70"/>
        </w:trPr>
        <w:tc>
          <w:tcPr>
            <w:tcW w:w="4200" w:type="dxa"/>
            <w:vAlign w:val="bottom"/>
            <w:gridSpan w:val="2"/>
          </w:tcPr>
          <w:p>
            <w:pPr>
              <w:ind w:left="1460"/>
              <w:spacing w:after="0"/>
              <w:rPr>
                <w:sz w:val="20"/>
                <w:szCs w:val="20"/>
                <w:color w:val="auto"/>
              </w:rPr>
            </w:pPr>
            <w:r>
              <w:rPr>
                <w:rFonts w:ascii="Arial" w:cs="Arial" w:eastAsia="Arial" w:hAnsi="Arial"/>
                <w:sz w:val="14"/>
                <w:szCs w:val="14"/>
                <w:b w:val="1"/>
                <w:bCs w:val="1"/>
                <w:color w:val="auto"/>
              </w:rPr>
              <w:t>Days in Inventory:</w:t>
            </w: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2018</w:t>
            </w: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March 31, 2019</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December 31, 2019</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6"/>
              </w:rPr>
              <w:t>March 31, 2020</w:t>
            </w:r>
          </w:p>
        </w:tc>
      </w:tr>
      <w:tr>
        <w:trPr>
          <w:trHeight w:val="207"/>
        </w:trPr>
        <w:tc>
          <w:tcPr>
            <w:tcW w:w="40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Security Products</w:t>
            </w:r>
          </w:p>
        </w:tc>
        <w:tc>
          <w:tcPr>
            <w:tcW w:w="140" w:type="dxa"/>
            <w:vAlign w:val="bottom"/>
            <w:tcBorders>
              <w:top w:val="single" w:sz="8" w:color="CFF0FC"/>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77 Days</w:t>
            </w:r>
          </w:p>
        </w:tc>
        <w:tc>
          <w:tcPr>
            <w:tcW w:w="100" w:type="dxa"/>
            <w:vAlign w:val="bottom"/>
            <w:tcBorders>
              <w:top w:val="single" w:sz="8" w:color="CFF0FC"/>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81 Days</w:t>
            </w:r>
          </w:p>
        </w:tc>
        <w:tc>
          <w:tcPr>
            <w:tcW w:w="100" w:type="dxa"/>
            <w:vAlign w:val="bottom"/>
            <w:tcBorders>
              <w:top w:val="single" w:sz="8" w:color="CFF0FC"/>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76 Days</w:t>
            </w:r>
          </w:p>
        </w:tc>
        <w:tc>
          <w:tcPr>
            <w:tcW w:w="120" w:type="dxa"/>
            <w:vAlign w:val="bottom"/>
            <w:tcBorders>
              <w:top w:val="single" w:sz="8" w:color="CFF0FC"/>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78 Days</w:t>
            </w:r>
          </w:p>
        </w:tc>
      </w:tr>
      <w:tr>
        <w:trPr>
          <w:trHeight w:val="214"/>
        </w:trPr>
        <w:tc>
          <w:tcPr>
            <w:tcW w:w="4200" w:type="dxa"/>
            <w:vAlign w:val="bottom"/>
            <w:gridSpan w:val="2"/>
          </w:tcPr>
          <w:p>
            <w:pPr>
              <w:spacing w:after="0"/>
              <w:rPr>
                <w:sz w:val="20"/>
                <w:szCs w:val="20"/>
                <w:color w:val="auto"/>
              </w:rPr>
            </w:pPr>
            <w:r>
              <w:rPr>
                <w:rFonts w:ascii="Arial" w:cs="Arial" w:eastAsia="Arial" w:hAnsi="Arial"/>
                <w:sz w:val="18"/>
                <w:szCs w:val="18"/>
                <w:color w:val="auto"/>
              </w:rPr>
              <w:t>Marine Components</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91 Days</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68 Days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100 Days</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82 Days</w:t>
            </w:r>
          </w:p>
        </w:tc>
      </w:tr>
      <w:tr>
        <w:trPr>
          <w:trHeight w:val="214"/>
        </w:trPr>
        <w:tc>
          <w:tcPr>
            <w:tcW w:w="4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Consolidated CompX</w:t>
            </w:r>
          </w:p>
        </w:tc>
        <w:tc>
          <w:tcPr>
            <w:tcW w:w="178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0"/>
              </w:rPr>
              <w:t>80 Days</w:t>
            </w:r>
          </w:p>
        </w:tc>
        <w:tc>
          <w:tcPr>
            <w:tcW w:w="178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0"/>
              </w:rPr>
              <w:t>78 Days</w:t>
            </w:r>
          </w:p>
        </w:tc>
        <w:tc>
          <w:tcPr>
            <w:tcW w:w="180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87"/>
              </w:rPr>
              <w:t>81 Days</w:t>
            </w:r>
          </w:p>
        </w:tc>
        <w:tc>
          <w:tcPr>
            <w:tcW w:w="1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79 Days</w:t>
            </w:r>
          </w:p>
        </w:tc>
      </w:tr>
    </w:tbl>
    <w:p>
      <w:pPr>
        <w:spacing w:after="0" w:line="240"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Our capital expenditures were $0.4 million in the first three months of 2020 and 2019. During the first three months of 2020,</w:t>
      </w:r>
      <w:r>
        <w:rPr>
          <w:rFonts w:ascii="Arial" w:cs="Arial" w:eastAsia="Arial" w:hAnsi="Arial"/>
          <w:sz w:val="18"/>
          <w:szCs w:val="18"/>
          <w:i w:val="1"/>
          <w:iCs w:val="1"/>
          <w:color w:val="auto"/>
        </w:rPr>
        <w:t xml:space="preserve"> </w:t>
      </w:r>
      <w:r>
        <w:rPr>
          <w:rFonts w:ascii="Arial" w:cs="Arial" w:eastAsia="Arial" w:hAnsi="Arial"/>
          <w:sz w:val="18"/>
          <w:szCs w:val="18"/>
          <w:color w:val="auto"/>
        </w:rPr>
        <w:t>Valhi repaid a net $2.6 million under the promissory note ($15.6 million of gross borrowings and $18.2 million of gross repayments). During the first three months of 2019, Valhi borrowed a net $6.0 million under the promissory note ($17.4 million of gross borrowings and $11.4 million of gross repayments). See Note 8 to the Condensed Consolidated Financial Statements.</w:t>
      </w:r>
    </w:p>
    <w:p>
      <w:pPr>
        <w:spacing w:after="0" w:line="190"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Financing activities consisted only of quarterly cash dividends. In February 2020, our board of directors increased our regular</w:t>
      </w:r>
      <w:r>
        <w:rPr>
          <w:rFonts w:ascii="Arial" w:cs="Arial" w:eastAsia="Arial" w:hAnsi="Arial"/>
          <w:sz w:val="18"/>
          <w:szCs w:val="18"/>
          <w:i w:val="1"/>
          <w:iCs w:val="1"/>
          <w:color w:val="auto"/>
        </w:rPr>
        <w:t xml:space="preserve"> </w:t>
      </w:r>
      <w:r>
        <w:rPr>
          <w:rFonts w:ascii="Arial" w:cs="Arial" w:eastAsia="Arial" w:hAnsi="Arial"/>
          <w:sz w:val="18"/>
          <w:szCs w:val="18"/>
          <w:color w:val="auto"/>
        </w:rPr>
        <w:t>quarterly dividend from $.07 per share to $.10 per share beginning in the first quarter of 2020. The declaration and payment of future dividends and the amount thereof, if any, is discretionary and is dependent upon our results of operations, financial condition, cash requirements for our businesses, contractual requirements and restrictions and other factors deemed relevant by our board of directors. The amount and timing of past dividends is not necessarily indicative of the amount or timing of any future dividends which we might pay.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Future cash requirements </w:t>
      </w:r>
      <w:r>
        <w:rPr>
          <w:rFonts w:ascii="Arial" w:cs="Arial" w:eastAsia="Arial" w:hAnsi="Arial"/>
          <w:sz w:val="18"/>
          <w:szCs w:val="18"/>
          <w:b w:val="1"/>
          <w:bCs w:val="1"/>
          <w:color w:val="auto"/>
        </w:rPr>
        <w:t>–</w:t>
      </w:r>
    </w:p>
    <w:p>
      <w:pPr>
        <w:spacing w:after="0" w:line="118"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i w:val="1"/>
          <w:iCs w:val="1"/>
          <w:color w:val="auto"/>
        </w:rPr>
        <w:t>Liquidity</w:t>
      </w:r>
      <w:r>
        <w:rPr>
          <w:rFonts w:ascii="Arial" w:cs="Arial" w:eastAsia="Arial" w:hAnsi="Arial"/>
          <w:sz w:val="18"/>
          <w:szCs w:val="18"/>
          <w:color w:val="auto"/>
        </w:rPr>
        <w:t>. Our primary source of liquidity on an ongoing basis is our cash flow from operating activities, which is generally used to (i) fund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(ii) repay short-term or long-term indebtedness incurred primarily for capital expenditures, investment activities or reducing our outstanding stock, (iii) provide for the payment of dividends (if declared), and (iv) lend to affiliates. From time-to-time, we will incur indebtedness, primarily to fund capital expenditures or business combinations.</w:t>
      </w:r>
    </w:p>
    <w:p>
      <w:pPr>
        <w:spacing w:after="0" w:line="190"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Periodically, we evaluate liquidity requirements, alternative uses of capital, capital needs and available resources in view of, among other things, our capital expenditure requirements, dividend policy and estimated future operating cash flows. As a result of this process, we have in the past and may in the future seek to raise additional capital, refinance or restructure indebtedness, issue additional securities, modify our dividend policy or take a combination of such steps to manage our liquidity and capital resources. In the normal course of business, we may review opportunities for acquisitions, joint ventures or other business combinations in the component products industry. In the event of any such transaction, we may consider using available cash, issuing additional equity securities or increasing our indebtedness or that of our subsidiaries.</w:t>
      </w:r>
    </w:p>
    <w:p>
      <w:pPr>
        <w:spacing w:after="0" w:line="178"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color w:val="auto"/>
        </w:rPr>
        <w:t>We believe that cash generated from operations together with cash on hand, as well as our ability to obtain external financing, will be sufficient to meet our liquidity needs for working capital, capital expenditures, debt service, dividends (if declared) and any amounts we might loan from time to time under the terms of our revolving loan to Valhi discussed in Note 8 to our Condensed Consolidated Financial Statements (which loans would be solely at our discretion) for both the next 12 months and five years. To the extent that our actual operating results or other developments differ from our expectations, our liquidity could be adversely affected.</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of our $64.0 million aggregate cash and cash equivalents at March 31, 2020 were held in the U.S.</w:t>
      </w:r>
    </w:p>
    <w:p>
      <w:pPr>
        <w:spacing w:after="0" w:line="22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Firm purchase commitments for capital projects in process at March 31, 2020 totaled $0.5 million. Our 2020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are limited to those expenditures required to meet our expected customer demand and those required to properly maintain our facilities and technology infrastructure.</w:t>
      </w:r>
    </w:p>
    <w:p>
      <w:pPr>
        <w:spacing w:after="0" w:line="186"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There have been no material changes in our contractual obligations since we filed our 2019 Annual Report and we</w:t>
      </w:r>
      <w:r>
        <w:rPr>
          <w:rFonts w:ascii="Arial" w:cs="Arial" w:eastAsia="Arial" w:hAnsi="Arial"/>
          <w:sz w:val="18"/>
          <w:szCs w:val="18"/>
          <w:i w:val="1"/>
          <w:iCs w:val="1"/>
          <w:color w:val="auto"/>
        </w:rPr>
        <w:t xml:space="preserve"> </w:t>
      </w:r>
      <w:r>
        <w:rPr>
          <w:rFonts w:ascii="Arial" w:cs="Arial" w:eastAsia="Arial" w:hAnsi="Arial"/>
          <w:sz w:val="18"/>
          <w:szCs w:val="18"/>
          <w:color w:val="auto"/>
        </w:rPr>
        <w:t>refer you to that report for a complete description of these commitments.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Off-balance sheet financing arrangements </w:t>
      </w:r>
      <w:r>
        <w:rPr>
          <w:rFonts w:ascii="Arial" w:cs="Arial" w:eastAsia="Arial" w:hAnsi="Arial"/>
          <w:sz w:val="18"/>
          <w:szCs w:val="18"/>
          <w:b w:val="1"/>
          <w:bCs w:val="1"/>
          <w:color w:val="auto"/>
        </w:rPr>
        <w:t>–</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off-balance sheet financing agreements.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w:t>
      </w:r>
    </w:p>
    <w:p>
      <w:pPr>
        <w:spacing w:after="0" w:line="11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9 to our Condensed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5073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Critical accounting policies –</w:t>
      </w:r>
    </w:p>
    <w:p>
      <w:pPr>
        <w:spacing w:after="0" w:line="114"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8"/>
          <w:szCs w:val="18"/>
          <w:color w:val="auto"/>
        </w:rPr>
        <w:t>There have been no changes in the first three months of 2020 with respect to our critical accounting policies presented in Management’s Discussion and Analysis of Financial Condition and Results of Operations in our 2019 Annual Report.</w:t>
      </w:r>
    </w:p>
    <w:p>
      <w:pPr>
        <w:spacing w:after="0" w:line="35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18"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are exposed to market risk from changes in interest rates and raw material prices. There have been no material changes in these market risks since we filed our 2019 Annual Report, and we refer you to Part I, Item 7A – “Quantitative and Qualitative Disclosure About Market Risk” in our 2019 Annual Report. See also Note 7 to the Condensed Consolidated Financial Statements.</w:t>
      </w:r>
    </w:p>
    <w:p>
      <w:pPr>
        <w:spacing w:after="0" w:line="36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14" w:lineRule="exact"/>
        <w:rPr>
          <w:sz w:val="20"/>
          <w:szCs w:val="20"/>
          <w:color w:val="auto"/>
        </w:rPr>
      </w:pPr>
    </w:p>
    <w:p>
      <w:pPr>
        <w:jc w:val="both"/>
        <w:ind w:firstLine="510"/>
        <w:spacing w:after="0" w:line="267" w:lineRule="auto"/>
        <w:rPr>
          <w:sz w:val="20"/>
          <w:szCs w:val="20"/>
          <w:color w:val="auto"/>
        </w:rPr>
      </w:pPr>
      <w:r>
        <w:rPr>
          <w:rFonts w:ascii="Arial" w:cs="Arial" w:eastAsia="Arial" w:hAnsi="Arial"/>
          <w:sz w:val="17"/>
          <w:szCs w:val="17"/>
          <w:b w:val="1"/>
          <w:bCs w:val="1"/>
          <w:color w:val="auto"/>
        </w:rPr>
        <w:t xml:space="preserve">Evaluation of Disclosure Controls and Procedures. </w:t>
      </w:r>
      <w:r>
        <w:rPr>
          <w:rFonts w:ascii="Arial" w:cs="Arial" w:eastAsia="Arial" w:hAnsi="Arial"/>
          <w:sz w:val="17"/>
          <w:szCs w:val="17"/>
          <w:color w:val="auto"/>
        </w:rPr>
        <w:t>We maintain disclosure controls and procedures which, as defined in Exchange Act Rule 13a-15(e), means controls and other procedures that are designed to ensure that information required to be disclosed in the reports that we file or submit to the SEC under the Securities Exchange Act of 1934, as amended (the “Act”), is recorded, processed, summarized and reported within the time periods specified in the SEC’s rules and forms. Disclosure controls and procedures include, without limitation, controls and procedures designed to ensure that information we are required to disclose in the reports that we file or submit to the SEC under the Act is accumulated and communicated to our management, including our principal executive officer and our principal financial officer, or persons performing similar functions, as appropriate to allow timely decisions to be made regarding required disclosure. Our management with the participation of Scott C. James, our President and Chief Executive Officer, and Amy A. Samford, our Vice President and Chief Financial Officer, has evaluated the design and operating effectiveness of our disclosure controls and procedures as of March 31, 2020. Based upon their evaluation, these executive officers have concluded that our disclosure controls and procedures are effective as of the date of such evaluation.</w:t>
      </w:r>
    </w:p>
    <w:p>
      <w:pPr>
        <w:spacing w:after="0" w:line="72"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b w:val="1"/>
          <w:bCs w:val="1"/>
          <w:color w:val="auto"/>
        </w:rPr>
        <w:t>Internal Control Over Financial Reporting</w:t>
      </w:r>
      <w:r>
        <w:rPr>
          <w:rFonts w:ascii="Arial" w:cs="Arial" w:eastAsia="Arial" w:hAnsi="Arial"/>
          <w:sz w:val="17"/>
          <w:szCs w:val="17"/>
          <w:color w:val="auto"/>
        </w:rPr>
        <w:t>. Our management is responsible for establishing and maintaining adequate internal control over</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reporting which, as defined in Exchange Act Rule 13a-15(f), means a process designed by, or under the supervision of, our principal executive and principal financial officers, or persons performing similar functions,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69" w:lineRule="exact"/>
        <w:rPr>
          <w:sz w:val="20"/>
          <w:szCs w:val="20"/>
          <w:color w:val="auto"/>
        </w:rPr>
      </w:pPr>
    </w:p>
    <w:p>
      <w:pPr>
        <w:ind w:left="1020" w:hanging="505"/>
        <w:spacing w:after="0"/>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136" w:lineRule="exact"/>
        <w:rPr>
          <w:rFonts w:ascii="Arial" w:cs="Arial" w:eastAsia="Arial" w:hAnsi="Arial"/>
          <w:sz w:val="16"/>
          <w:szCs w:val="16"/>
          <w:color w:val="auto"/>
        </w:rPr>
      </w:pPr>
    </w:p>
    <w:p>
      <w:pPr>
        <w:ind w:left="1020" w:right="20" w:hanging="505"/>
        <w:spacing w:after="0" w:line="335"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GAAP, and that receipts and expenditures are being made only in accordance with authorizations of our management and directors, and</w:t>
      </w:r>
    </w:p>
    <w:p>
      <w:pPr>
        <w:spacing w:after="0" w:line="21" w:lineRule="exact"/>
        <w:rPr>
          <w:rFonts w:ascii="Arial" w:cs="Arial" w:eastAsia="Arial" w:hAnsi="Arial"/>
          <w:sz w:val="16"/>
          <w:szCs w:val="16"/>
          <w:color w:val="auto"/>
        </w:rPr>
      </w:pPr>
    </w:p>
    <w:p>
      <w:pPr>
        <w:ind w:left="1020" w:hanging="505"/>
        <w:spacing w:after="0" w:line="27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an unauthorized acquisition, use or disposition of our assets that could have a material effect on our Condensed Consolidated Financial Statements.</w:t>
      </w:r>
    </w:p>
    <w:p>
      <w:pPr>
        <w:spacing w:after="0" w:line="171" w:lineRule="exact"/>
        <w:rPr>
          <w:sz w:val="20"/>
          <w:szCs w:val="20"/>
          <w:color w:val="auto"/>
        </w:rPr>
      </w:pPr>
    </w:p>
    <w:p>
      <w:pPr>
        <w:ind w:firstLine="510"/>
        <w:spacing w:after="0" w:line="340" w:lineRule="auto"/>
        <w:rPr>
          <w:sz w:val="20"/>
          <w:szCs w:val="20"/>
          <w:color w:val="auto"/>
        </w:rPr>
      </w:pPr>
      <w:r>
        <w:rPr>
          <w:rFonts w:ascii="Arial" w:cs="Arial" w:eastAsia="Arial" w:hAnsi="Arial"/>
          <w:sz w:val="16"/>
          <w:szCs w:val="16"/>
          <w:b w:val="1"/>
          <w:bCs w:val="1"/>
          <w:color w:val="auto"/>
        </w:rPr>
        <w:t>Changes in Internal Control Over Financial Reporting</w:t>
      </w:r>
      <w:r>
        <w:rPr>
          <w:rFonts w:ascii="Arial" w:cs="Arial" w:eastAsia="Arial" w:hAnsi="Arial"/>
          <w:sz w:val="16"/>
          <w:szCs w:val="16"/>
          <w:color w:val="auto"/>
        </w:rPr>
        <w:t>. There have been no changes in our internal control over financial reporting during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ended March 31, 2020 that have materially affected, or are reasonably likely to materially affect, our internal control over financial reporting.</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5073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446"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Part II. OTHER INFORMATION</w:t>
      </w:r>
    </w:p>
    <w:p>
      <w:pPr>
        <w:spacing w:after="0" w:line="12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4"/>
          <w:szCs w:val="14"/>
          <w:b w:val="1"/>
          <w:bCs w:val="1"/>
          <w:color w:val="auto"/>
        </w:rPr>
        <w:t>Risk Factors.</w:t>
      </w:r>
    </w:p>
    <w:p>
      <w:pPr>
        <w:spacing w:after="0" w:line="118" w:lineRule="exact"/>
        <w:rPr>
          <w:sz w:val="20"/>
          <w:szCs w:val="20"/>
          <w:color w:val="auto"/>
        </w:rPr>
      </w:pPr>
    </w:p>
    <w:p>
      <w:pPr>
        <w:jc w:val="both"/>
        <w:ind w:firstLine="510"/>
        <w:spacing w:after="0" w:line="266" w:lineRule="auto"/>
        <w:rPr>
          <w:sz w:val="20"/>
          <w:szCs w:val="20"/>
          <w:color w:val="auto"/>
        </w:rPr>
      </w:pPr>
      <w:r>
        <w:rPr>
          <w:rFonts w:ascii="Arial" w:cs="Arial" w:eastAsia="Arial" w:hAnsi="Arial"/>
          <w:sz w:val="17"/>
          <w:szCs w:val="17"/>
          <w:color w:val="auto"/>
        </w:rPr>
        <w:t>Reference is made to the 2019 Annual Report for a discussion of risk factors related to our businesses. On March 11, 2020, the World Health Organization declared the coronavirus known as “COVID-19” a pandemic. We have approximately 550 employees and operate three facilities in the United States located in Illinois, Wisconsin and South Carolina. The facilities are geographically diverse, and certain areas of the U.S. are experiencing more significant viral outbreaks than other areas. We are designated an essential business in the states where we operate and are therefore permitted to fully operate during the pandemic, but because the COVID-19 pandemic affected the health and safety of our employees, we temporarily closed our Illinois facility for one week beginning in late April. The rate of spread of COVID-19 in a geographic region can change rapidly, and it is possible we may have additional temporary closures at one or all of our facilities for the health and safety of our workforce if conditions warrant. In addition, the pandemic has caused the closure of some of our customers’ facilities, and it is possible that more customers will be similarly impacted. Furthermore, the economic effect of the pandemic has impacted the demand for our products. We are actively monitoring our suppliers, customers and facilities to rapidly respond to changing conditions. The extent of the impact of the coronavirus outbreak on our operational and financial performance will depend on future developments, including the severity, duration and spread of the outbreak and its overall impact to the industries and markets in which we operate, all of which are uncertain and cannot be predicted.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0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160" w:type="dxa"/>
            <w:vAlign w:val="bottom"/>
            <w:gridSpan w:val="2"/>
          </w:tcPr>
          <w:p>
            <w:pPr>
              <w:ind w:left="100"/>
              <w:spacing w:after="0"/>
              <w:rPr>
                <w:sz w:val="20"/>
                <w:szCs w:val="20"/>
                <w:color w:val="auto"/>
              </w:rPr>
            </w:pPr>
            <w:r>
              <w:rPr>
                <w:rFonts w:ascii="Arial" w:cs="Arial" w:eastAsia="Arial" w:hAnsi="Arial"/>
                <w:sz w:val="18"/>
                <w:szCs w:val="18"/>
                <w:b w:val="1"/>
                <w:bCs w:val="1"/>
                <w:color w:val="auto"/>
              </w:rPr>
              <w:t>Exhibits.</w:t>
            </w:r>
          </w:p>
        </w:tc>
      </w:tr>
      <w:tr>
        <w:trPr>
          <w:trHeight w:val="369"/>
        </w:trPr>
        <w:tc>
          <w:tcPr>
            <w:tcW w:w="1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Item No.</w:t>
            </w:r>
          </w:p>
        </w:tc>
        <w:tc>
          <w:tcPr>
            <w:tcW w:w="20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4"/>
                <w:szCs w:val="14"/>
                <w:b w:val="1"/>
                <w:bCs w:val="1"/>
                <w:color w:val="auto"/>
              </w:rPr>
              <w:t>Exhibit Index</w:t>
            </w:r>
          </w:p>
        </w:tc>
      </w:tr>
      <w:tr>
        <w:trPr>
          <w:trHeight w:val="333"/>
        </w:trPr>
        <w:tc>
          <w:tcPr>
            <w:tcW w:w="1060" w:type="dxa"/>
            <w:vAlign w:val="bottom"/>
          </w:tcPr>
          <w:p>
            <w:pPr>
              <w:spacing w:after="0"/>
              <w:rPr>
                <w:sz w:val="20"/>
                <w:szCs w:val="20"/>
                <w:color w:val="auto"/>
              </w:rPr>
            </w:pPr>
            <w:r>
              <w:rPr>
                <w:rFonts w:ascii="Arial" w:cs="Arial" w:eastAsia="Arial" w:hAnsi="Arial"/>
                <w:sz w:val="18"/>
                <w:szCs w:val="18"/>
                <w:color w:val="auto"/>
              </w:rPr>
              <w:t>31.1</w:t>
            </w:r>
          </w:p>
        </w:tc>
        <w:tc>
          <w:tcPr>
            <w:tcW w:w="10160" w:type="dxa"/>
            <w:vAlign w:val="bottom"/>
            <w:gridSpan w:val="2"/>
          </w:tcPr>
          <w:p>
            <w:pPr>
              <w:ind w:left="20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Certification</w:t>
              </w:r>
            </w:hyperlink>
          </w:p>
        </w:tc>
      </w:tr>
      <w:tr>
        <w:trPr>
          <w:trHeight w:val="254"/>
        </w:trPr>
        <w:tc>
          <w:tcPr>
            <w:tcW w:w="1060" w:type="dxa"/>
            <w:vAlign w:val="bottom"/>
          </w:tcPr>
          <w:p>
            <w:pPr>
              <w:spacing w:after="0"/>
              <w:rPr>
                <w:sz w:val="20"/>
                <w:szCs w:val="20"/>
                <w:color w:val="auto"/>
              </w:rPr>
            </w:pPr>
            <w:r>
              <w:rPr>
                <w:rFonts w:ascii="Arial" w:cs="Arial" w:eastAsia="Arial" w:hAnsi="Arial"/>
                <w:sz w:val="18"/>
                <w:szCs w:val="18"/>
                <w:color w:val="auto"/>
              </w:rPr>
              <w:t>31.2</w:t>
            </w:r>
          </w:p>
        </w:tc>
        <w:tc>
          <w:tcPr>
            <w:tcW w:w="10160" w:type="dxa"/>
            <w:vAlign w:val="bottom"/>
            <w:gridSpan w:val="2"/>
          </w:tcPr>
          <w:p>
            <w:pPr>
              <w:ind w:left="20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Certification</w:t>
              </w:r>
            </w:hyperlink>
          </w:p>
        </w:tc>
      </w:tr>
      <w:tr>
        <w:trPr>
          <w:trHeight w:val="254"/>
        </w:trPr>
        <w:tc>
          <w:tcPr>
            <w:tcW w:w="1060" w:type="dxa"/>
            <w:vAlign w:val="bottom"/>
          </w:tcPr>
          <w:p>
            <w:pPr>
              <w:spacing w:after="0"/>
              <w:rPr>
                <w:sz w:val="20"/>
                <w:szCs w:val="20"/>
                <w:color w:val="auto"/>
              </w:rPr>
            </w:pPr>
            <w:r>
              <w:rPr>
                <w:rFonts w:ascii="Arial" w:cs="Arial" w:eastAsia="Arial" w:hAnsi="Arial"/>
                <w:sz w:val="18"/>
                <w:szCs w:val="18"/>
                <w:color w:val="auto"/>
              </w:rPr>
              <w:t>32.1</w:t>
            </w:r>
          </w:p>
        </w:tc>
        <w:tc>
          <w:tcPr>
            <w:tcW w:w="10160" w:type="dxa"/>
            <w:vAlign w:val="bottom"/>
            <w:gridSpan w:val="2"/>
          </w:tcPr>
          <w:p>
            <w:pPr>
              <w:ind w:left="20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Certification</w:t>
              </w:r>
            </w:hyperlink>
          </w:p>
        </w:tc>
      </w:tr>
      <w:tr>
        <w:trPr>
          <w:trHeight w:val="254"/>
        </w:trPr>
        <w:tc>
          <w:tcPr>
            <w:tcW w:w="1060" w:type="dxa"/>
            <w:vAlign w:val="bottom"/>
          </w:tcPr>
          <w:p>
            <w:pPr>
              <w:spacing w:after="0"/>
              <w:rPr>
                <w:sz w:val="20"/>
                <w:szCs w:val="20"/>
                <w:color w:val="auto"/>
              </w:rPr>
            </w:pPr>
            <w:r>
              <w:rPr>
                <w:rFonts w:ascii="Arial" w:cs="Arial" w:eastAsia="Arial" w:hAnsi="Arial"/>
                <w:sz w:val="18"/>
                <w:szCs w:val="18"/>
                <w:color w:val="auto"/>
              </w:rPr>
              <w:t>101.INS</w:t>
            </w:r>
          </w:p>
        </w:tc>
        <w:tc>
          <w:tcPr>
            <w:tcW w:w="10160" w:type="dxa"/>
            <w:vAlign w:val="bottom"/>
            <w:gridSpan w:val="2"/>
          </w:tcPr>
          <w:p>
            <w:pPr>
              <w:ind w:left="200"/>
              <w:spacing w:after="0"/>
              <w:rPr>
                <w:sz w:val="20"/>
                <w:szCs w:val="20"/>
                <w:color w:val="auto"/>
              </w:rPr>
            </w:pPr>
            <w:r>
              <w:rPr>
                <w:rFonts w:ascii="Arial" w:cs="Arial" w:eastAsia="Arial" w:hAnsi="Arial"/>
                <w:sz w:val="18"/>
                <w:szCs w:val="18"/>
                <w:color w:val="auto"/>
              </w:rPr>
              <w:t>XBRL Instance Document</w:t>
            </w:r>
          </w:p>
        </w:tc>
      </w:tr>
      <w:tr>
        <w:trPr>
          <w:trHeight w:val="254"/>
        </w:trPr>
        <w:tc>
          <w:tcPr>
            <w:tcW w:w="1060" w:type="dxa"/>
            <w:vAlign w:val="bottom"/>
          </w:tcPr>
          <w:p>
            <w:pPr>
              <w:spacing w:after="0"/>
              <w:rPr>
                <w:sz w:val="20"/>
                <w:szCs w:val="20"/>
                <w:color w:val="auto"/>
              </w:rPr>
            </w:pPr>
            <w:r>
              <w:rPr>
                <w:rFonts w:ascii="Arial" w:cs="Arial" w:eastAsia="Arial" w:hAnsi="Arial"/>
                <w:sz w:val="18"/>
                <w:szCs w:val="18"/>
                <w:color w:val="auto"/>
              </w:rPr>
              <w:t>101.SCH</w:t>
            </w:r>
          </w:p>
        </w:tc>
        <w:tc>
          <w:tcPr>
            <w:tcW w:w="10160" w:type="dxa"/>
            <w:vAlign w:val="bottom"/>
            <w:gridSpan w:val="2"/>
          </w:tcPr>
          <w:p>
            <w:pPr>
              <w:ind w:left="200"/>
              <w:spacing w:after="0"/>
              <w:rPr>
                <w:sz w:val="20"/>
                <w:szCs w:val="20"/>
                <w:color w:val="auto"/>
              </w:rPr>
            </w:pPr>
            <w:r>
              <w:rPr>
                <w:rFonts w:ascii="Arial" w:cs="Arial" w:eastAsia="Arial" w:hAnsi="Arial"/>
                <w:sz w:val="18"/>
                <w:szCs w:val="18"/>
                <w:color w:val="auto"/>
              </w:rPr>
              <w:t>XBRL Taxonomy Extension Schema</w:t>
            </w:r>
          </w:p>
        </w:tc>
      </w:tr>
      <w:tr>
        <w:trPr>
          <w:trHeight w:val="254"/>
        </w:trPr>
        <w:tc>
          <w:tcPr>
            <w:tcW w:w="1060" w:type="dxa"/>
            <w:vAlign w:val="bottom"/>
          </w:tcPr>
          <w:p>
            <w:pPr>
              <w:spacing w:after="0"/>
              <w:rPr>
                <w:sz w:val="20"/>
                <w:szCs w:val="20"/>
                <w:color w:val="auto"/>
              </w:rPr>
            </w:pPr>
            <w:r>
              <w:rPr>
                <w:rFonts w:ascii="Arial" w:cs="Arial" w:eastAsia="Arial" w:hAnsi="Arial"/>
                <w:sz w:val="18"/>
                <w:szCs w:val="18"/>
                <w:color w:val="auto"/>
              </w:rPr>
              <w:t>101.CAL</w:t>
            </w:r>
          </w:p>
        </w:tc>
        <w:tc>
          <w:tcPr>
            <w:tcW w:w="10160" w:type="dxa"/>
            <w:vAlign w:val="bottom"/>
            <w:gridSpan w:val="2"/>
          </w:tcPr>
          <w:p>
            <w:pPr>
              <w:ind w:left="200"/>
              <w:spacing w:after="0"/>
              <w:rPr>
                <w:sz w:val="20"/>
                <w:szCs w:val="20"/>
                <w:color w:val="auto"/>
              </w:rPr>
            </w:pPr>
            <w:r>
              <w:rPr>
                <w:rFonts w:ascii="Arial" w:cs="Arial" w:eastAsia="Arial" w:hAnsi="Arial"/>
                <w:sz w:val="18"/>
                <w:szCs w:val="18"/>
                <w:color w:val="auto"/>
              </w:rPr>
              <w:t>XBRL Taxonomy Extension Calculation Linkbase</w:t>
            </w:r>
          </w:p>
        </w:tc>
      </w:tr>
      <w:tr>
        <w:trPr>
          <w:trHeight w:val="254"/>
        </w:trPr>
        <w:tc>
          <w:tcPr>
            <w:tcW w:w="1060" w:type="dxa"/>
            <w:vAlign w:val="bottom"/>
          </w:tcPr>
          <w:p>
            <w:pPr>
              <w:spacing w:after="0"/>
              <w:rPr>
                <w:sz w:val="20"/>
                <w:szCs w:val="20"/>
                <w:color w:val="auto"/>
              </w:rPr>
            </w:pPr>
            <w:r>
              <w:rPr>
                <w:rFonts w:ascii="Arial" w:cs="Arial" w:eastAsia="Arial" w:hAnsi="Arial"/>
                <w:sz w:val="18"/>
                <w:szCs w:val="18"/>
                <w:color w:val="auto"/>
              </w:rPr>
              <w:t>101.DEF</w:t>
            </w:r>
          </w:p>
        </w:tc>
        <w:tc>
          <w:tcPr>
            <w:tcW w:w="10160" w:type="dxa"/>
            <w:vAlign w:val="bottom"/>
            <w:gridSpan w:val="2"/>
          </w:tcPr>
          <w:p>
            <w:pPr>
              <w:ind w:left="200"/>
              <w:spacing w:after="0"/>
              <w:rPr>
                <w:sz w:val="20"/>
                <w:szCs w:val="20"/>
                <w:color w:val="auto"/>
              </w:rPr>
            </w:pPr>
            <w:r>
              <w:rPr>
                <w:rFonts w:ascii="Arial" w:cs="Arial" w:eastAsia="Arial" w:hAnsi="Arial"/>
                <w:sz w:val="18"/>
                <w:szCs w:val="18"/>
                <w:color w:val="auto"/>
              </w:rPr>
              <w:t>XBRL Taxonomy Extension Definition Linkbase</w:t>
            </w:r>
          </w:p>
        </w:tc>
      </w:tr>
      <w:tr>
        <w:trPr>
          <w:trHeight w:val="254"/>
        </w:trPr>
        <w:tc>
          <w:tcPr>
            <w:tcW w:w="1060" w:type="dxa"/>
            <w:vAlign w:val="bottom"/>
          </w:tcPr>
          <w:p>
            <w:pPr>
              <w:spacing w:after="0"/>
              <w:rPr>
                <w:sz w:val="20"/>
                <w:szCs w:val="20"/>
                <w:color w:val="auto"/>
              </w:rPr>
            </w:pPr>
            <w:r>
              <w:rPr>
                <w:rFonts w:ascii="Arial" w:cs="Arial" w:eastAsia="Arial" w:hAnsi="Arial"/>
                <w:sz w:val="18"/>
                <w:szCs w:val="18"/>
                <w:color w:val="auto"/>
              </w:rPr>
              <w:t>101.LAB</w:t>
            </w:r>
          </w:p>
        </w:tc>
        <w:tc>
          <w:tcPr>
            <w:tcW w:w="10160" w:type="dxa"/>
            <w:vAlign w:val="bottom"/>
            <w:gridSpan w:val="2"/>
          </w:tcPr>
          <w:p>
            <w:pPr>
              <w:ind w:left="200"/>
              <w:spacing w:after="0"/>
              <w:rPr>
                <w:sz w:val="20"/>
                <w:szCs w:val="20"/>
                <w:color w:val="auto"/>
              </w:rPr>
            </w:pPr>
            <w:r>
              <w:rPr>
                <w:rFonts w:ascii="Arial" w:cs="Arial" w:eastAsia="Arial" w:hAnsi="Arial"/>
                <w:sz w:val="18"/>
                <w:szCs w:val="18"/>
                <w:color w:val="auto"/>
              </w:rPr>
              <w:t>XBRL Taxonomy Extension Label Linkbase</w:t>
            </w:r>
          </w:p>
        </w:tc>
      </w:tr>
      <w:tr>
        <w:trPr>
          <w:trHeight w:val="254"/>
        </w:trPr>
        <w:tc>
          <w:tcPr>
            <w:tcW w:w="1060" w:type="dxa"/>
            <w:vAlign w:val="bottom"/>
          </w:tcPr>
          <w:p>
            <w:pPr>
              <w:spacing w:after="0"/>
              <w:rPr>
                <w:sz w:val="20"/>
                <w:szCs w:val="20"/>
                <w:color w:val="auto"/>
              </w:rPr>
            </w:pPr>
            <w:r>
              <w:rPr>
                <w:rFonts w:ascii="Arial" w:cs="Arial" w:eastAsia="Arial" w:hAnsi="Arial"/>
                <w:sz w:val="18"/>
                <w:szCs w:val="18"/>
                <w:color w:val="auto"/>
              </w:rPr>
              <w:t>101.PRE</w:t>
            </w:r>
          </w:p>
        </w:tc>
        <w:tc>
          <w:tcPr>
            <w:tcW w:w="10160" w:type="dxa"/>
            <w:vAlign w:val="bottom"/>
            <w:gridSpan w:val="2"/>
          </w:tcPr>
          <w:p>
            <w:pPr>
              <w:ind w:left="20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5073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SIGNATURES</w:t>
      </w:r>
    </w:p>
    <w:p>
      <w:pPr>
        <w:spacing w:after="0" w:line="11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COMPX INTERNATIONAL INC.</w:t>
            </w:r>
          </w:p>
        </w:tc>
        <w:tc>
          <w:tcPr>
            <w:tcW w:w="2360" w:type="dxa"/>
            <w:vAlign w:val="bottom"/>
          </w:tcPr>
          <w:p>
            <w:pPr>
              <w:spacing w:after="0"/>
              <w:rPr>
                <w:sz w:val="17"/>
                <w:szCs w:val="17"/>
                <w:color w:val="auto"/>
              </w:rPr>
            </w:pPr>
          </w:p>
        </w:tc>
      </w:tr>
      <w:tr>
        <w:trPr>
          <w:trHeight w:val="233"/>
        </w:trPr>
        <w:tc>
          <w:tcPr>
            <w:tcW w:w="34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20" w:type="dxa"/>
            <w:vAlign w:val="bottom"/>
            <w:gridSpan w:val="2"/>
          </w:tcPr>
          <w:p>
            <w:pPr>
              <w:ind w:left="460"/>
              <w:spacing w:after="0"/>
              <w:rPr>
                <w:sz w:val="20"/>
                <w:szCs w:val="20"/>
                <w:color w:val="auto"/>
              </w:rPr>
            </w:pPr>
            <w:r>
              <w:rPr>
                <w:rFonts w:ascii="Arial" w:cs="Arial" w:eastAsia="Arial" w:hAnsi="Arial"/>
                <w:sz w:val="18"/>
                <w:szCs w:val="18"/>
                <w:b w:val="1"/>
                <w:bCs w:val="1"/>
                <w:color w:val="auto"/>
              </w:rPr>
              <w:t>(Registrant)</w:t>
            </w:r>
          </w:p>
        </w:tc>
      </w:tr>
      <w:tr>
        <w:trPr>
          <w:trHeight w:val="455"/>
        </w:trPr>
        <w:tc>
          <w:tcPr>
            <w:tcW w:w="3400" w:type="dxa"/>
            <w:vAlign w:val="bottom"/>
          </w:tcPr>
          <w:p>
            <w:pPr>
              <w:spacing w:after="0"/>
              <w:rPr>
                <w:sz w:val="20"/>
                <w:szCs w:val="20"/>
                <w:color w:val="auto"/>
              </w:rPr>
            </w:pPr>
            <w:r>
              <w:rPr>
                <w:rFonts w:ascii="Arial" w:cs="Arial" w:eastAsia="Arial" w:hAnsi="Arial"/>
                <w:sz w:val="18"/>
                <w:szCs w:val="18"/>
                <w:color w:val="auto"/>
              </w:rPr>
              <w:t>Date: May 5, 2020</w:t>
            </w:r>
          </w:p>
        </w:tc>
        <w:tc>
          <w:tcPr>
            <w:tcW w:w="7840" w:type="dxa"/>
            <w:vAlign w:val="bottom"/>
            <w:gridSpan w:val="4"/>
          </w:tcPr>
          <w:p>
            <w:pPr>
              <w:ind w:left="2820"/>
              <w:spacing w:after="0"/>
              <w:rPr>
                <w:sz w:val="20"/>
                <w:szCs w:val="20"/>
                <w:color w:val="auto"/>
              </w:rPr>
            </w:pPr>
            <w:r>
              <w:rPr>
                <w:rFonts w:ascii="Arial" w:cs="Arial" w:eastAsia="Arial" w:hAnsi="Arial"/>
                <w:sz w:val="18"/>
                <w:szCs w:val="18"/>
                <w:color w:val="auto"/>
              </w:rPr>
              <w:t>By:  /s/ Amy A. Samford</w:t>
            </w:r>
          </w:p>
        </w:tc>
      </w:tr>
      <w:tr>
        <w:trPr>
          <w:trHeight w:val="194"/>
        </w:trPr>
        <w:tc>
          <w:tcPr>
            <w:tcW w:w="34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20" w:type="dxa"/>
            <w:vAlign w:val="bottom"/>
            <w:tcBorders>
              <w:top w:val="single" w:sz="8" w:color="auto"/>
            </w:tcBorders>
            <w:gridSpan w:val="2"/>
          </w:tcPr>
          <w:p>
            <w:pPr>
              <w:spacing w:after="0" w:line="194" w:lineRule="exact"/>
              <w:rPr>
                <w:sz w:val="20"/>
                <w:szCs w:val="20"/>
                <w:color w:val="auto"/>
              </w:rPr>
            </w:pPr>
            <w:r>
              <w:rPr>
                <w:rFonts w:ascii="Arial" w:cs="Arial" w:eastAsia="Arial" w:hAnsi="Arial"/>
                <w:sz w:val="18"/>
                <w:szCs w:val="18"/>
                <w:color w:val="auto"/>
              </w:rPr>
              <w:t>Amy A. Samford</w:t>
            </w:r>
          </w:p>
        </w:tc>
      </w:tr>
      <w:tr>
        <w:trPr>
          <w:trHeight w:val="227"/>
        </w:trPr>
        <w:tc>
          <w:tcPr>
            <w:tcW w:w="34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Vice President and Chief Financial Officer</w:t>
            </w:r>
          </w:p>
        </w:tc>
      </w:tr>
      <w:tr>
        <w:trPr>
          <w:trHeight w:val="643"/>
        </w:trPr>
        <w:tc>
          <w:tcPr>
            <w:tcW w:w="3400" w:type="dxa"/>
            <w:vAlign w:val="bottom"/>
          </w:tcPr>
          <w:p>
            <w:pPr>
              <w:spacing w:after="0"/>
              <w:rPr>
                <w:sz w:val="24"/>
                <w:szCs w:val="24"/>
                <w:color w:val="auto"/>
              </w:rPr>
            </w:pPr>
          </w:p>
        </w:tc>
        <w:tc>
          <w:tcPr>
            <w:tcW w:w="7840" w:type="dxa"/>
            <w:vAlign w:val="bottom"/>
            <w:gridSpan w:val="4"/>
          </w:tcPr>
          <w:p>
            <w:pPr>
              <w:ind w:left="2820"/>
              <w:spacing w:after="0"/>
              <w:rPr>
                <w:sz w:val="20"/>
                <w:szCs w:val="20"/>
                <w:color w:val="auto"/>
              </w:rPr>
            </w:pPr>
            <w:r>
              <w:rPr>
                <w:rFonts w:ascii="Arial" w:cs="Arial" w:eastAsia="Arial" w:hAnsi="Arial"/>
                <w:sz w:val="18"/>
                <w:szCs w:val="18"/>
                <w:color w:val="auto"/>
              </w:rPr>
              <w:t>By:  /s/ Amy E. Ruf</w:t>
            </w:r>
          </w:p>
        </w:tc>
      </w:tr>
      <w:tr>
        <w:trPr>
          <w:trHeight w:val="194"/>
        </w:trPr>
        <w:tc>
          <w:tcPr>
            <w:tcW w:w="34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20" w:type="dxa"/>
            <w:vAlign w:val="bottom"/>
            <w:tcBorders>
              <w:top w:val="single" w:sz="8" w:color="auto"/>
            </w:tcBorders>
            <w:gridSpan w:val="2"/>
          </w:tcPr>
          <w:p>
            <w:pPr>
              <w:spacing w:after="0" w:line="194" w:lineRule="exact"/>
              <w:rPr>
                <w:sz w:val="20"/>
                <w:szCs w:val="20"/>
                <w:color w:val="auto"/>
              </w:rPr>
            </w:pPr>
            <w:r>
              <w:rPr>
                <w:rFonts w:ascii="Arial" w:cs="Arial" w:eastAsia="Arial" w:hAnsi="Arial"/>
                <w:sz w:val="18"/>
                <w:szCs w:val="18"/>
                <w:color w:val="auto"/>
              </w:rPr>
              <w:t>Amy E. Ruf</w:t>
            </w:r>
          </w:p>
        </w:tc>
      </w:tr>
      <w:tr>
        <w:trPr>
          <w:trHeight w:val="227"/>
        </w:trPr>
        <w:tc>
          <w:tcPr>
            <w:tcW w:w="34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Vice President and Controller</w:t>
            </w:r>
          </w:p>
        </w:tc>
      </w:tr>
      <w:tr>
        <w:trPr>
          <w:trHeight w:val="856"/>
        </w:trPr>
        <w:tc>
          <w:tcPr>
            <w:tcW w:w="3400" w:type="dxa"/>
            <w:vAlign w:val="bottom"/>
          </w:tcPr>
          <w:p>
            <w:pPr>
              <w:spacing w:after="0"/>
              <w:rPr>
                <w:sz w:val="24"/>
                <w:szCs w:val="24"/>
                <w:color w:val="auto"/>
              </w:rPr>
            </w:pPr>
          </w:p>
        </w:tc>
        <w:tc>
          <w:tcPr>
            <w:tcW w:w="2820" w:type="dxa"/>
            <w:vAlign w:val="bottom"/>
          </w:tcPr>
          <w:p>
            <w:pPr>
              <w:jc w:val="right"/>
              <w:ind w:right="311"/>
              <w:spacing w:after="0"/>
              <w:rPr>
                <w:sz w:val="20"/>
                <w:szCs w:val="20"/>
                <w:color w:val="auto"/>
              </w:rPr>
            </w:pPr>
            <w:r>
              <w:rPr>
                <w:rFonts w:ascii="Arial" w:cs="Arial" w:eastAsia="Arial" w:hAnsi="Arial"/>
                <w:sz w:val="18"/>
                <w:szCs w:val="18"/>
                <w:color w:val="auto"/>
              </w:rPr>
              <w:t>-18-</w:t>
            </w:r>
          </w:p>
        </w:tc>
        <w:tc>
          <w:tcPr>
            <w:tcW w:w="4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36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Scott C. James, certify that:</w:t>
      </w:r>
    </w:p>
    <w:p>
      <w:pPr>
        <w:spacing w:after="0" w:line="114" w:lineRule="exact"/>
        <w:rPr>
          <w:sz w:val="20"/>
          <w:szCs w:val="20"/>
          <w:color w:val="auto"/>
        </w:rPr>
      </w:pPr>
    </w:p>
    <w:p>
      <w:pPr>
        <w:ind w:left="520" w:hanging="513"/>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CompX International Inc.;</w:t>
      </w:r>
    </w:p>
    <w:p>
      <w:pPr>
        <w:spacing w:after="0" w:line="113" w:lineRule="exact"/>
        <w:rPr>
          <w:rFonts w:ascii="Arial" w:cs="Arial" w:eastAsia="Arial" w:hAnsi="Arial"/>
          <w:sz w:val="18"/>
          <w:szCs w:val="18"/>
          <w:color w:val="auto"/>
        </w:rPr>
      </w:pPr>
    </w:p>
    <w:p>
      <w:pPr>
        <w:jc w:val="both"/>
        <w:ind w:left="520" w:hanging="513"/>
        <w:spacing w:after="0" w:line="259"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18"/>
          <w:szCs w:val="18"/>
          <w:color w:val="auto"/>
        </w:rPr>
      </w:pPr>
    </w:p>
    <w:p>
      <w:pPr>
        <w:ind w:left="520" w:hanging="513"/>
        <w:spacing w:after="0" w:line="301" w:lineRule="auto"/>
        <w:tabs>
          <w:tab w:leader="none" w:pos="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Arial" w:cs="Arial" w:eastAsia="Arial" w:hAnsi="Arial"/>
          <w:sz w:val="17"/>
          <w:szCs w:val="17"/>
          <w:color w:val="auto"/>
        </w:rPr>
      </w:pPr>
    </w:p>
    <w:p>
      <w:pPr>
        <w:jc w:val="both"/>
        <w:ind w:left="520" w:hanging="513"/>
        <w:spacing w:after="0" w:line="259"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have:</w:t>
      </w:r>
    </w:p>
    <w:p>
      <w:pPr>
        <w:spacing w:after="0" w:line="78" w:lineRule="exact"/>
        <w:rPr>
          <w:rFonts w:ascii="Arial" w:cs="Arial" w:eastAsia="Arial" w:hAnsi="Arial"/>
          <w:sz w:val="18"/>
          <w:szCs w:val="18"/>
          <w:color w:val="auto"/>
        </w:rPr>
      </w:pPr>
    </w:p>
    <w:p>
      <w:pPr>
        <w:jc w:val="both"/>
        <w:ind w:left="1020" w:hanging="505"/>
        <w:spacing w:after="0" w:line="259" w:lineRule="auto"/>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jc w:val="both"/>
        <w:ind w:left="1020" w:hanging="505"/>
        <w:spacing w:after="0" w:line="259" w:lineRule="auto"/>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8"/>
          <w:szCs w:val="18"/>
          <w:color w:val="auto"/>
        </w:rPr>
      </w:pPr>
    </w:p>
    <w:p>
      <w:pPr>
        <w:ind w:left="1020" w:hanging="505"/>
        <w:spacing w:after="0" w:line="335" w:lineRule="auto"/>
        <w:tabs>
          <w:tab w:leader="none" w:pos="102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 w:lineRule="exact"/>
        <w:rPr>
          <w:rFonts w:ascii="Arial" w:cs="Arial" w:eastAsia="Arial" w:hAnsi="Arial"/>
          <w:sz w:val="16"/>
          <w:szCs w:val="16"/>
          <w:color w:val="auto"/>
        </w:rPr>
      </w:pPr>
    </w:p>
    <w:p>
      <w:pPr>
        <w:jc w:val="both"/>
        <w:ind w:left="1020" w:hanging="505"/>
        <w:spacing w:after="0" w:line="259" w:lineRule="auto"/>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520" w:hanging="513"/>
        <w:spacing w:after="0" w:line="301" w:lineRule="auto"/>
        <w:tabs>
          <w:tab w:leader="none" w:pos="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44" w:lineRule="exact"/>
        <w:rPr>
          <w:rFonts w:ascii="Arial" w:cs="Arial" w:eastAsia="Arial" w:hAnsi="Arial"/>
          <w:sz w:val="17"/>
          <w:szCs w:val="17"/>
          <w:color w:val="auto"/>
        </w:rPr>
      </w:pPr>
    </w:p>
    <w:p>
      <w:pPr>
        <w:ind w:left="1020" w:hanging="505"/>
        <w:spacing w:after="0" w:line="301" w:lineRule="auto"/>
        <w:tabs>
          <w:tab w:leader="none" w:pos="1020" w:val="left"/>
        </w:tabs>
        <w:numPr>
          <w:ilvl w:val="1"/>
          <w:numId w:val="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7"/>
          <w:szCs w:val="17"/>
          <w:color w:val="auto"/>
        </w:rPr>
      </w:pPr>
    </w:p>
    <w:p>
      <w:pPr>
        <w:ind w:left="1020" w:right="20" w:hanging="505"/>
        <w:spacing w:after="0" w:line="271" w:lineRule="auto"/>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 May 5, 2020</w:t>
      </w:r>
    </w:p>
    <w:p>
      <w:pPr>
        <w:spacing w:after="0" w:line="22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Scott C. James</w:t>
      </w:r>
    </w:p>
    <w:p>
      <w:pPr>
        <w:spacing w:after="0" w:line="2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Scott C.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-130175</wp:posOffset>
            </wp:positionV>
            <wp:extent cx="25901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90165" cy="8255"/>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335"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Amy A. Samford, certify that:</w:t>
      </w:r>
    </w:p>
    <w:p>
      <w:pPr>
        <w:spacing w:after="0" w:line="114" w:lineRule="exact"/>
        <w:rPr>
          <w:sz w:val="20"/>
          <w:szCs w:val="20"/>
          <w:color w:val="auto"/>
        </w:rPr>
      </w:pPr>
    </w:p>
    <w:p>
      <w:pPr>
        <w:ind w:left="520" w:hanging="513"/>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CompX International Inc.;</w:t>
      </w:r>
    </w:p>
    <w:p>
      <w:pPr>
        <w:spacing w:after="0" w:line="113" w:lineRule="exact"/>
        <w:rPr>
          <w:rFonts w:ascii="Arial" w:cs="Arial" w:eastAsia="Arial" w:hAnsi="Arial"/>
          <w:sz w:val="18"/>
          <w:szCs w:val="18"/>
          <w:color w:val="auto"/>
        </w:rPr>
      </w:pPr>
    </w:p>
    <w:p>
      <w:pPr>
        <w:jc w:val="both"/>
        <w:ind w:left="520" w:hanging="513"/>
        <w:spacing w:after="0" w:line="259"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18"/>
          <w:szCs w:val="18"/>
          <w:color w:val="auto"/>
        </w:rPr>
      </w:pPr>
    </w:p>
    <w:p>
      <w:pPr>
        <w:ind w:left="520" w:hanging="513"/>
        <w:spacing w:after="0" w:line="301" w:lineRule="auto"/>
        <w:tabs>
          <w:tab w:leader="none" w:pos="52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Arial" w:cs="Arial" w:eastAsia="Arial" w:hAnsi="Arial"/>
          <w:sz w:val="17"/>
          <w:szCs w:val="17"/>
          <w:color w:val="auto"/>
        </w:rPr>
      </w:pPr>
    </w:p>
    <w:p>
      <w:pPr>
        <w:jc w:val="both"/>
        <w:ind w:left="520" w:hanging="513"/>
        <w:spacing w:after="0" w:line="259"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13d-15(f)) for the registrant and have:</w:t>
      </w:r>
    </w:p>
    <w:p>
      <w:pPr>
        <w:spacing w:after="0" w:line="78" w:lineRule="exact"/>
        <w:rPr>
          <w:rFonts w:ascii="Arial" w:cs="Arial" w:eastAsia="Arial" w:hAnsi="Arial"/>
          <w:sz w:val="18"/>
          <w:szCs w:val="18"/>
          <w:color w:val="auto"/>
        </w:rPr>
      </w:pPr>
    </w:p>
    <w:p>
      <w:pPr>
        <w:jc w:val="both"/>
        <w:ind w:left="1020" w:hanging="505"/>
        <w:spacing w:after="0" w:line="259" w:lineRule="auto"/>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jc w:val="both"/>
        <w:ind w:left="1020" w:hanging="505"/>
        <w:spacing w:after="0" w:line="259" w:lineRule="auto"/>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8"/>
          <w:szCs w:val="18"/>
          <w:color w:val="auto"/>
        </w:rPr>
      </w:pPr>
    </w:p>
    <w:p>
      <w:pPr>
        <w:ind w:left="1020" w:hanging="505"/>
        <w:spacing w:after="0" w:line="335" w:lineRule="auto"/>
        <w:tabs>
          <w:tab w:leader="none" w:pos="102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 w:lineRule="exact"/>
        <w:rPr>
          <w:rFonts w:ascii="Arial" w:cs="Arial" w:eastAsia="Arial" w:hAnsi="Arial"/>
          <w:sz w:val="16"/>
          <w:szCs w:val="16"/>
          <w:color w:val="auto"/>
        </w:rPr>
      </w:pPr>
    </w:p>
    <w:p>
      <w:pPr>
        <w:jc w:val="both"/>
        <w:ind w:left="1020" w:hanging="505"/>
        <w:spacing w:after="0" w:line="259" w:lineRule="auto"/>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520" w:hanging="513"/>
        <w:spacing w:after="0" w:line="301" w:lineRule="auto"/>
        <w:tabs>
          <w:tab w:leader="none" w:pos="5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44" w:lineRule="exact"/>
        <w:rPr>
          <w:rFonts w:ascii="Arial" w:cs="Arial" w:eastAsia="Arial" w:hAnsi="Arial"/>
          <w:sz w:val="17"/>
          <w:szCs w:val="17"/>
          <w:color w:val="auto"/>
        </w:rPr>
      </w:pPr>
    </w:p>
    <w:p>
      <w:pPr>
        <w:ind w:left="1020" w:hanging="505"/>
        <w:spacing w:after="0" w:line="301" w:lineRule="auto"/>
        <w:tabs>
          <w:tab w:leader="none" w:pos="1020"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7"/>
          <w:szCs w:val="17"/>
          <w:color w:val="auto"/>
        </w:rPr>
      </w:pPr>
    </w:p>
    <w:p>
      <w:pPr>
        <w:ind w:left="1020" w:right="20" w:hanging="505"/>
        <w:spacing w:after="0" w:line="271" w:lineRule="auto"/>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 May 5,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By: /s/ Amy A. Samford</w:t>
      </w:r>
    </w:p>
    <w:p>
      <w:pPr>
        <w:spacing w:after="0" w:line="2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Amy A. Samford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-130175</wp:posOffset>
            </wp:positionV>
            <wp:extent cx="26244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24455" cy="825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Vice President and Chief Financial Officer</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335" w:right="3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Quarterly Report of CompX International Inc. (the Company) on Form 10-Q for the period ending March 31, 2020 as filed with the Securities and Exchange Commission on the date hereof (the Report), I, Scott C. James, President and Chief Executive Officer of the Company and I, Amy A. Samford, Vice President and Chief Financial Officer of the Company, certify, pursuant to 18 U.S.C. §1350, as adopted pursuant to §906 of the Sarbanes-Oxley Act of 2002, that:</w:t>
      </w:r>
    </w:p>
    <w:p>
      <w:pPr>
        <w:spacing w:after="0" w:line="83" w:lineRule="exact"/>
        <w:rPr>
          <w:sz w:val="20"/>
          <w:szCs w:val="20"/>
          <w:color w:val="auto"/>
        </w:rPr>
      </w:pPr>
    </w:p>
    <w:p>
      <w:pPr>
        <w:ind w:left="1020" w:hanging="50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4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Scott C. James</w:t>
      </w:r>
    </w:p>
    <w:p>
      <w:pPr>
        <w:spacing w:after="0" w:line="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Scott C.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-130175</wp:posOffset>
            </wp:positionV>
            <wp:extent cx="25393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President and Chief Executive Officer</w:t>
      </w:r>
    </w:p>
    <w:p>
      <w:pPr>
        <w:spacing w:after="0" w:line="23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Amy A. Samford</w:t>
      </w:r>
    </w:p>
    <w:p>
      <w:pPr>
        <w:spacing w:after="0" w:line="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Amy A. Samford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-130175</wp:posOffset>
            </wp:positionV>
            <wp:extent cx="25393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Vice President and Chief Financial Officer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May 5, 2020</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Note: 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2020-05-05T15:21:04Z</dcterms:created>
  <dcterms:modified xsi:type="dcterms:W3CDTF">2020-05-05T15:21:04Z</dcterms:modified>
</cp:coreProperties>
</file>