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rPr/>
      </w:pPr>
      <w:bookmarkStart w:id="0" w:name="cix-20241106x8k.htm"/>
      <w:bookmarkStart w:id="1" w:name="kscix20241106x8k"/>
      <w:bookmarkEnd w:id="0"/>
      <w:bookmarkEnd w:id="1"/>
      <w:r>
        <w:rPr/>
        <w:t>​</w:t>
      </w:r>
    </w:p>
    <w:p>
      <w:pPr>
        <w:pStyle w:val="TextBody"/>
        <w:bidi w:val="0"/>
        <w:spacing w:before="0" w:after="240"/>
        <w:ind w:left="0" w:right="0" w:hanging="0"/>
        <w:jc w:val="center"/>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4f048409_c7a2_43bc_b088_0ca65384c5c3"/>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November 6, 2024</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COMPX INTERNATIONAL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dPxEJJb-qEawKYZKxjqDmQ_5_2"/>
      <w:bookmarkStart w:id="4" w:name="Tc_5_aveH3WfkqvU0kugYTe5w_5_0"/>
      <w:bookmarkStart w:id="5" w:name="Tc_nXLVNgCtGEGShmhawvH1Fw_4_0"/>
      <w:bookmarkStart w:id="6" w:name="Tc_TcQvCninQEabzzbyx24hyQ_1_2"/>
      <w:bookmarkStart w:id="7" w:name="Tc_H93jGjUCNkaRS47OYlEgfQ_1_1"/>
      <w:bookmarkStart w:id="8" w:name="Tc_8mO4jjA-kESRciksrRorSQ_1_0"/>
      <w:bookmarkStart w:id="9" w:name="_b4f68095_e54f_4e44_947a_47c1ed4f140d"/>
      <w:bookmarkStart w:id="10" w:name="Tc_dPxEJJb-qEawKYZKxjqDmQ_5_2"/>
      <w:bookmarkStart w:id="11" w:name="Tc_5_aveH3WfkqvU0kugYTe5w_5_0"/>
      <w:bookmarkStart w:id="12" w:name="Tc_nXLVNgCtGEGShmhawvH1Fw_4_0"/>
      <w:bookmarkStart w:id="13" w:name="Tc_TcQvCninQEabzzbyx24hyQ_1_2"/>
      <w:bookmarkStart w:id="14" w:name="Tc_H93jGjUCNkaRS47OYlEgfQ_1_1"/>
      <w:bookmarkStart w:id="15" w:name="Tc_8mO4jjA-kESRciksrRorSQ_1_0"/>
      <w:bookmarkStart w:id="16" w:name="_b4f68095_e54f_4e44_947a_47c1ed4f140d"/>
      <w:bookmarkEnd w:id="10"/>
      <w:bookmarkEnd w:id="11"/>
      <w:bookmarkEnd w:id="12"/>
      <w:bookmarkEnd w:id="13"/>
      <w:bookmarkEnd w:id="14"/>
      <w:bookmarkEnd w:id="15"/>
      <w:bookmarkEnd w:id="16"/>
    </w:p>
    <w:tbl>
      <w:tblPr>
        <w:tblW w:w="6513" w:type="dxa"/>
        <w:jc w:val="left"/>
        <w:tblInd w:w="0" w:type="dxa"/>
        <w:tblLayout w:type="fixed"/>
        <w:tblCellMar>
          <w:top w:w="0" w:type="dxa"/>
          <w:left w:w="0" w:type="dxa"/>
          <w:bottom w:w="0" w:type="dxa"/>
          <w:right w:w="0" w:type="dxa"/>
        </w:tblCellMar>
      </w:tblPr>
      <w:tblGrid>
        <w:gridCol w:w="3676"/>
        <w:gridCol w:w="1186"/>
        <w:gridCol w:w="1651"/>
      </w:tblGrid>
      <w:tr>
        <w:trPr/>
        <w:tc>
          <w:tcPr>
            <w:tcW w:w="367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Delaware</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1-13905</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57-0981653</w:t>
            </w:r>
          </w:p>
        </w:tc>
      </w:tr>
      <w:tr>
        <w:trPr/>
        <w:tc>
          <w:tcPr>
            <w:tcW w:w="36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r>
        <w:trPr/>
        <w:tc>
          <w:tcPr>
            <w:tcW w:w="3676" w:type="dxa"/>
            <w:tcBorders/>
            <w:vAlign w:val="center"/>
          </w:tcPr>
          <w:p>
            <w:pPr>
              <w:pStyle w:val="TableContents"/>
              <w:bidi w:val="0"/>
              <w:spacing w:before="0" w:after="240"/>
              <w:ind w:left="0" w:right="0" w:hanging="0"/>
              <w:jc w:val="center"/>
              <w:rPr/>
            </w:pPr>
            <w:r>
              <w:rPr/>
              <w:t>​</w:t>
            </w:r>
          </w:p>
        </w:tc>
        <w:tc>
          <w:tcPr>
            <w:tcW w:w="1186" w:type="dxa"/>
            <w:tcBorders/>
            <w:vAlign w:val="center"/>
          </w:tcPr>
          <w:p>
            <w:pPr>
              <w:pStyle w:val="TableContents"/>
              <w:bidi w:val="0"/>
              <w:spacing w:before="0" w:after="240"/>
              <w:ind w:left="0" w:right="0" w:hanging="0"/>
              <w:jc w:val="center"/>
              <w:rPr/>
            </w:pPr>
            <w:r>
              <w:rPr/>
              <w:t>​</w:t>
            </w:r>
          </w:p>
        </w:tc>
        <w:tc>
          <w:tcPr>
            <w:tcW w:w="1651" w:type="dxa"/>
            <w:tcBorders/>
            <w:vAlign w:val="center"/>
          </w:tcPr>
          <w:p>
            <w:pPr>
              <w:pStyle w:val="TableContents"/>
              <w:bidi w:val="0"/>
              <w:spacing w:before="0" w:after="240"/>
              <w:ind w:left="0" w:right="0" w:hanging="0"/>
              <w:jc w:val="center"/>
              <w:rPr/>
            </w:pPr>
            <w:r>
              <w:rPr/>
              <w:t>​</w:t>
            </w:r>
          </w:p>
        </w:tc>
      </w:tr>
      <w:tr>
        <w:trPr/>
        <w:tc>
          <w:tcPr>
            <w:tcW w:w="3676" w:type="dxa"/>
            <w:tcBorders/>
            <w:vAlign w:val="center"/>
          </w:tcPr>
          <w:p>
            <w:pPr>
              <w:pStyle w:val="TableContents"/>
              <w:bidi w:val="0"/>
              <w:spacing w:before="0" w:after="240"/>
              <w:ind w:left="0" w:right="0" w:hanging="0"/>
              <w:jc w:val="center"/>
              <w:rPr/>
            </w:pPr>
            <w:r>
              <w:rPr/>
              <w:t>​</w:t>
            </w:r>
          </w:p>
        </w:tc>
        <w:tc>
          <w:tcPr>
            <w:tcW w:w="1186" w:type="dxa"/>
            <w:tcBorders/>
            <w:vAlign w:val="center"/>
          </w:tcPr>
          <w:p>
            <w:pPr>
              <w:pStyle w:val="TableContents"/>
              <w:bidi w:val="0"/>
              <w:spacing w:before="0" w:after="240"/>
              <w:ind w:left="0" w:right="0" w:hanging="0"/>
              <w:jc w:val="center"/>
              <w:rPr/>
            </w:pPr>
            <w:r>
              <w:rPr/>
              <w:t>​</w:t>
            </w:r>
          </w:p>
        </w:tc>
        <w:tc>
          <w:tcPr>
            <w:tcW w:w="1651" w:type="dxa"/>
            <w:tcBorders/>
            <w:vAlign w:val="center"/>
          </w:tcPr>
          <w:p>
            <w:pPr>
              <w:pStyle w:val="TableContents"/>
              <w:bidi w:val="0"/>
              <w:spacing w:before="0" w:after="240"/>
              <w:ind w:left="0" w:right="0" w:hanging="0"/>
              <w:jc w:val="center"/>
              <w:rPr/>
            </w:pPr>
            <w:r>
              <w:rPr/>
              <w:t>​</w:t>
            </w:r>
          </w:p>
        </w:tc>
      </w:tr>
      <w:tr>
        <w:trPr/>
        <w:tc>
          <w:tcPr>
            <w:tcW w:w="4862" w:type="dxa"/>
            <w:gridSpan w:val="2"/>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5430 LBJ Freeway, Suite 1700, Dallas, Texas</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75240-2620</w:t>
            </w:r>
          </w:p>
        </w:tc>
      </w:tr>
      <w:tr>
        <w:trPr/>
        <w:tc>
          <w:tcPr>
            <w:tcW w:w="486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(972) 448-1400</w:t>
      </w:r>
    </w:p>
    <w:p>
      <w:pPr>
        <w:pStyle w:val="TextBody"/>
        <w:bidi w:val="0"/>
        <w:spacing w:before="0" w:after="240"/>
        <w:ind w:left="0" w:right="0" w:hanging="0"/>
        <w:jc w:val="both"/>
        <w:rPr/>
      </w:pPr>
      <w:r>
        <w:rPr/>
        <w:t>​</w:t>
      </w:r>
    </w:p>
    <w:tbl>
      <w:tblPr>
        <w:tblW w:w="5289" w:type="dxa"/>
        <w:jc w:val="left"/>
        <w:tblInd w:w="0" w:type="dxa"/>
        <w:tblLayout w:type="fixed"/>
        <w:tblCellMar>
          <w:top w:w="0" w:type="dxa"/>
          <w:left w:w="0" w:type="dxa"/>
          <w:bottom w:w="0" w:type="dxa"/>
          <w:right w:w="0" w:type="dxa"/>
        </w:tblCellMar>
      </w:tblPr>
      <w:tblGrid>
        <w:gridCol w:w="124"/>
        <w:gridCol w:w="5011"/>
        <w:gridCol w:w="154"/>
      </w:tblGrid>
      <w:tr>
        <w:trPr/>
        <w:tc>
          <w:tcPr>
            <w:tcW w:w="124" w:type="dxa"/>
            <w:tcBorders/>
            <w:vAlign w:val="center"/>
          </w:tcPr>
          <w:p>
            <w:pPr>
              <w:pStyle w:val="TableContents"/>
              <w:bidi w:val="0"/>
              <w:spacing w:before="0" w:after="240"/>
              <w:ind w:left="0" w:right="0" w:hanging="0"/>
              <w:jc w:val="center"/>
              <w:rPr/>
            </w:pPr>
            <w:r>
              <w:rPr/>
              <w:t>​</w:t>
            </w:r>
          </w:p>
        </w:tc>
        <w:tc>
          <w:tcPr>
            <w:tcW w:w="5011" w:type="dxa"/>
            <w:tcBorders>
              <w:bottom w:val="single" w:sz="2" w:space="0" w:color="000000"/>
            </w:tcBorders>
            <w:tcMar>
              <w:bottom w:w="28" w:type="dxa"/>
            </w:tcMar>
            <w:vAlign w:val="center"/>
          </w:tcPr>
          <w:p>
            <w:pPr>
              <w:pStyle w:val="TableContents"/>
              <w:bidi w:val="0"/>
              <w:spacing w:before="0" w:after="240"/>
              <w:ind w:left="0" w:right="0" w:hanging="0"/>
              <w:jc w:val="center"/>
              <w:rPr/>
            </w:pPr>
            <w:r>
              <w:rPr/>
              <w:t>​</w:t>
            </w:r>
          </w:p>
        </w:tc>
        <w:tc>
          <w:tcPr>
            <w:tcW w:w="154" w:type="dxa"/>
            <w:tcBorders/>
            <w:vAlign w:val="center"/>
          </w:tcPr>
          <w:p>
            <w:pPr>
              <w:pStyle w:val="TableContents"/>
              <w:bidi w:val="0"/>
              <w:spacing w:before="0" w:after="240"/>
              <w:ind w:left="0" w:right="0" w:hanging="0"/>
              <w:jc w:val="center"/>
              <w:rPr/>
            </w:pPr>
            <w:r>
              <w:rPr/>
              <w:t>​</w:t>
            </w:r>
          </w:p>
        </w:tc>
      </w:tr>
      <w:tr>
        <w:trPr/>
        <w:tc>
          <w:tcPr>
            <w:tcW w:w="124" w:type="dxa"/>
            <w:tcBorders/>
            <w:vAlign w:val="center"/>
          </w:tcPr>
          <w:p>
            <w:pPr>
              <w:pStyle w:val="TableContents"/>
              <w:bidi w:val="0"/>
              <w:spacing w:before="0" w:after="240"/>
              <w:ind w:left="0" w:right="0" w:hanging="0"/>
              <w:jc w:val="center"/>
              <w:rPr/>
            </w:pPr>
            <w:r>
              <w:rPr/>
              <w:t>​</w:t>
            </w:r>
          </w:p>
        </w:tc>
        <w:tc>
          <w:tcPr>
            <w:tcW w:w="50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c>
          <w:tcPr>
            <w:tcW w:w="154" w:type="dxa"/>
            <w:tcBorders/>
            <w:vAlign w:val="center"/>
          </w:tcPr>
          <w:p>
            <w:pPr>
              <w:pStyle w:val="TableContents"/>
              <w:bidi w:val="0"/>
              <w:spacing w:before="0" w:after="24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7" w:name="Tc_2DhiOx-wZU6En777iwRdlw_6_1"/>
      <w:bookmarkStart w:id="18" w:name="Tc_eKHqtUtxQ0-b6II6ELEbrQ_4_1"/>
      <w:bookmarkStart w:id="19" w:name="Tc_GhNMSw6wqEay_wQEu1KHDA_2_1"/>
      <w:bookmarkStart w:id="20" w:name="Tc_UeIzIzvJAkeb14jL_dWssA_0_1"/>
      <w:bookmarkStart w:id="21" w:name="_03f466d9_c487_4fb9_bacb_2fc3efc44005"/>
      <w:bookmarkStart w:id="22" w:name="Tc_2DhiOx-wZU6En777iwRdlw_6_1"/>
      <w:bookmarkStart w:id="23" w:name="Tc_eKHqtUtxQ0-b6II6ELEbrQ_4_1"/>
      <w:bookmarkStart w:id="24" w:name="Tc_GhNMSw6wqEay_wQEu1KHDA_2_1"/>
      <w:bookmarkStart w:id="25" w:name="Tc_UeIzIzvJAkeb14jL_dWssA_0_1"/>
      <w:bookmarkStart w:id="26" w:name="_03f466d9_c487_4fb9_bacb_2fc3efc44005"/>
      <w:bookmarkEnd w:id="22"/>
      <w:bookmarkEnd w:id="23"/>
      <w:bookmarkEnd w:id="24"/>
      <w:bookmarkEnd w:id="25"/>
      <w:bookmarkEnd w:id="26"/>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7" w:name="Tc__AcQh6J_GkeZSA6jQ-MMOg_1_0"/>
      <w:bookmarkStart w:id="28" w:name="Tc_a21sfTeJTkGg8bYrV3QQEQ_0_4"/>
      <w:bookmarkStart w:id="29" w:name="Tc_KEVy1LqaoEqSa0mNxz46eA_0_2"/>
      <w:bookmarkStart w:id="30" w:name="Tc_l9utn-M8Q0OsJIlBVrpwsg_0_0"/>
      <w:bookmarkStart w:id="31" w:name="_84013d71_9fc3_4d86_8558_81d89f73a4dd"/>
      <w:bookmarkStart w:id="32" w:name="Tc__AcQh6J_GkeZSA6jQ-MMOg_1_0"/>
      <w:bookmarkStart w:id="33" w:name="Tc_a21sfTeJTkGg8bYrV3QQEQ_0_4"/>
      <w:bookmarkStart w:id="34" w:name="Tc_KEVy1LqaoEqSa0mNxz46eA_0_2"/>
      <w:bookmarkStart w:id="35" w:name="Tc_l9utn-M8Q0OsJIlBVrpwsg_0_0"/>
      <w:bookmarkStart w:id="36" w:name="_84013d71_9fc3_4d86_8558_81d89f73a4dd"/>
      <w:bookmarkEnd w:id="32"/>
      <w:bookmarkEnd w:id="33"/>
      <w:bookmarkEnd w:id="34"/>
      <w:bookmarkEnd w:id="35"/>
      <w:bookmarkEnd w:id="36"/>
    </w:p>
    <w:tbl>
      <w:tblPr>
        <w:tblW w:w="6715" w:type="dxa"/>
        <w:jc w:val="left"/>
        <w:tblInd w:w="0" w:type="dxa"/>
        <w:tblLayout w:type="fixed"/>
        <w:tblCellMar>
          <w:top w:w="0" w:type="dxa"/>
          <w:left w:w="0" w:type="dxa"/>
          <w:bottom w:w="28" w:type="dxa"/>
          <w:right w:w="0" w:type="dxa"/>
        </w:tblCellMar>
      </w:tblPr>
      <w:tblGrid>
        <w:gridCol w:w="1921"/>
        <w:gridCol w:w="326"/>
        <w:gridCol w:w="826"/>
        <w:gridCol w:w="326"/>
        <w:gridCol w:w="3316"/>
      </w:tblGrid>
      <w:tr>
        <w:trPr/>
        <w:tc>
          <w:tcPr>
            <w:tcW w:w="192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bottom w:val="single" w:sz="2" w:space="0" w:color="000000"/>
            </w:tcBorders>
            <w:vAlign w:val="center"/>
          </w:tcPr>
          <w:p>
            <w:pPr>
              <w:pStyle w:val="TableContents"/>
              <w:bidi w:val="0"/>
              <w:spacing w:before="0" w:after="0"/>
              <w:ind w:left="0" w:right="0" w:hanging="0"/>
              <w:jc w:val="center"/>
              <w:rPr/>
            </w:pPr>
            <w:r>
              <w:rPr/>
              <w:t>    </w:t>
            </w:r>
          </w:p>
        </w:tc>
        <w:tc>
          <w:tcPr>
            <w:tcW w:w="8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Symbol(s)</w:t>
            </w:r>
          </w:p>
        </w:tc>
        <w:tc>
          <w:tcPr>
            <w:tcW w:w="326" w:type="dxa"/>
            <w:tcBorders>
              <w:bottom w:val="single" w:sz="2" w:space="0" w:color="000000"/>
            </w:tcBorders>
            <w:vAlign w:val="center"/>
          </w:tcPr>
          <w:p>
            <w:pPr>
              <w:pStyle w:val="TableContents"/>
              <w:bidi w:val="0"/>
              <w:spacing w:before="0" w:after="0"/>
              <w:ind w:left="0" w:right="0" w:hanging="0"/>
              <w:jc w:val="center"/>
              <w:rPr/>
            </w:pPr>
            <w:r>
              <w:rPr/>
              <w:t>    </w:t>
            </w:r>
          </w:p>
        </w:tc>
        <w:tc>
          <w:tcPr>
            <w:tcW w:w="33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92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Class A common stock</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($.01 par value per share)</w:t>
            </w:r>
          </w:p>
        </w:tc>
        <w:tc>
          <w:tcPr>
            <w:tcW w:w="326" w:type="dxa"/>
            <w:tcBorders/>
            <w:tcMar>
              <w:bottom w:w="0" w:type="dxa"/>
            </w:tcMar>
            <w:vAlign w:val="center"/>
          </w:tcPr>
          <w:p>
            <w:pPr>
              <w:pStyle w:val="TableContents"/>
              <w:bidi w:val="0"/>
              <w:spacing w:before="0" w:after="240"/>
              <w:ind w:left="0" w:right="0" w:hanging="0"/>
              <w:jc w:val="center"/>
              <w:rPr/>
            </w:pPr>
            <w:r>
              <w:rPr/>
              <w:t>​</w:t>
            </w:r>
          </w:p>
        </w:tc>
        <w:tc>
          <w:tcPr>
            <w:tcW w:w="8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CIX</w:t>
            </w:r>
          </w:p>
        </w:tc>
        <w:tc>
          <w:tcPr>
            <w:tcW w:w="326" w:type="dxa"/>
            <w:tcBorders/>
            <w:tcMar>
              <w:bottom w:w="0" w:type="dxa"/>
            </w:tcMar>
            <w:vAlign w:val="center"/>
          </w:tcPr>
          <w:p>
            <w:pPr>
              <w:pStyle w:val="TableContents"/>
              <w:bidi w:val="0"/>
              <w:spacing w:before="0" w:after="240"/>
              <w:ind w:left="0" w:right="0" w:hanging="0"/>
              <w:jc w:val="center"/>
              <w:rPr/>
            </w:pPr>
            <w:r>
              <w:rPr/>
              <w:t>​</w:t>
            </w:r>
          </w:p>
        </w:tc>
        <w:tc>
          <w:tcPr>
            <w:tcW w:w="331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NYSE American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2" w:space="1" w:color="000000"/>
          <w:bottom w:val="single" w:sz="24" w:space="1" w:color="000000"/>
        </w:pBdr>
        <w:bidi w:val="0"/>
        <w:spacing w:before="0" w:after="240"/>
        <w:ind w:left="0" w:right="0" w:hanging="0"/>
        <w:jc w:val="left"/>
        <w:rPr/>
      </w:pPr>
      <w:r>
        <w:rPr/>
        <w:t>​</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p>
      <w:pPr>
        <w:pStyle w:val="Normal"/>
        <w:bidi w:val="0"/>
        <w:spacing w:before="0" w:after="0"/>
        <w:ind w:left="0" w:right="0" w:hanging="0"/>
        <w:jc w:val="left"/>
        <w:rPr>
          <w:sz w:val="4"/>
          <w:szCs w:val="4"/>
        </w:rPr>
      </w:pPr>
      <w:r>
        <w:rPr>
          <w:sz w:val="4"/>
          <w:szCs w:val="4"/>
        </w:rPr>
      </w:r>
      <w:bookmarkStart w:id="37" w:name="_6f88fe58_dda1_4d7e_a69f_81bb7d46e401"/>
      <w:bookmarkStart w:id="38" w:name="_6f88fe58_dda1_4d7e_a69f_81bb7d46e401"/>
      <w:bookmarkEnd w:id="38"/>
    </w:p>
    <w:tbl>
      <w:tblPr>
        <w:tblW w:w="4889" w:type="dxa"/>
        <w:jc w:val="left"/>
        <w:tblInd w:w="0" w:type="dxa"/>
        <w:tblLayout w:type="fixed"/>
        <w:tblCellMar>
          <w:top w:w="0" w:type="dxa"/>
          <w:left w:w="0" w:type="dxa"/>
          <w:bottom w:w="0" w:type="dxa"/>
          <w:right w:w="0" w:type="dxa"/>
        </w:tblCellMar>
      </w:tblPr>
      <w:tblGrid>
        <w:gridCol w:w="898"/>
        <w:gridCol w:w="3991"/>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2.02</w:t>
            </w:r>
          </w:p>
        </w:tc>
        <w:tc>
          <w:tcPr>
            <w:tcW w:w="3991"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Results of Operations and Financial Condition.</w:t>
            </w:r>
          </w:p>
        </w:tc>
      </w:tr>
    </w:tbl>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both"/>
        <w:rPr>
          <w:rFonts w:ascii="Times New Roman;Times;serif" w:hAnsi="Times New Roman;Times;serif"/>
          <w:spacing w:val="-3"/>
          <w:sz w:val="20"/>
        </w:rPr>
      </w:pPr>
      <w:r>
        <w:rPr>
          <w:rFonts w:ascii="Times New Roman;Times;serif" w:hAnsi="Times New Roman;Times;serif"/>
          <w:spacing w:val="-3"/>
          <w:sz w:val="20"/>
        </w:rPr>
        <w:t>The registrant hereby furnishes the information set forth in its press release entitled “CompX Reports Third Quarter 2024 Results” that the registrant issued on November 6, 2024, a copy of which is attached hereto as Exhibit 99.1 and incorporated herein by reference.</w:t>
      </w:r>
    </w:p>
    <w:p>
      <w:pPr>
        <w:pStyle w:val="TextBody"/>
        <w:bidi w:val="0"/>
        <w:spacing w:before="0" w:after="0"/>
        <w:ind w:left="0" w:right="0" w:firstLine="720"/>
        <w:jc w:val="left"/>
        <w:rPr>
          <w:spacing w:val="-3"/>
        </w:rPr>
      </w:pPr>
      <w:r>
        <w:rPr>
          <w:spacing w:val="-3"/>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press release the registrant furnishes as Exhibit 99.1 to this current report is not </w:t>
      </w:r>
      <w:r>
        <w:rPr>
          <w:rFonts w:ascii="Times New Roman;Times;serif" w:hAnsi="Times New Roman;Times;serif"/>
          <w:spacing w:val="-3"/>
          <w:sz w:val="20"/>
        </w:rPr>
        <w:t>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pStyle w:val="TextBody"/>
        <w:bidi w:val="0"/>
        <w:spacing w:before="0" w:after="0"/>
        <w:ind w:left="0" w:right="0" w:firstLine="720"/>
        <w:jc w:val="both"/>
        <w:rPr/>
      </w:pPr>
      <w:r>
        <w:rPr/>
        <w:t>​</w:t>
      </w:r>
    </w:p>
    <w:p>
      <w:pPr>
        <w:pStyle w:val="TextBody"/>
        <w:pBdr/>
        <w:bidi w:val="0"/>
        <w:spacing w:before="0" w:after="0"/>
        <w:ind w:left="0" w:right="0" w:hanging="1440"/>
        <w:jc w:val="left"/>
        <w:rPr/>
      </w:pPr>
      <w:r>
        <w:rPr/>
        <w:t>​</w:t>
      </w:r>
    </w:p>
    <w:p>
      <w:pPr>
        <w:pStyle w:val="Normal"/>
        <w:bidi w:val="0"/>
        <w:spacing w:before="0" w:after="0"/>
        <w:jc w:val="left"/>
        <w:rPr>
          <w:sz w:val="4"/>
          <w:szCs w:val="4"/>
        </w:rPr>
      </w:pPr>
      <w:r>
        <w:rPr>
          <w:sz w:val="4"/>
          <w:szCs w:val="4"/>
        </w:rPr>
      </w:r>
      <w:bookmarkStart w:id="39" w:name="_56880b6b_4b0f_4fd6_b131_35b136cae187"/>
      <w:bookmarkStart w:id="40" w:name="_56880b6b_4b0f_4fd6_b131_35b136cae187"/>
      <w:bookmarkEnd w:id="40"/>
    </w:p>
    <w:tbl>
      <w:tblPr>
        <w:tblW w:w="3194" w:type="dxa"/>
        <w:jc w:val="left"/>
        <w:tblInd w:w="0" w:type="dxa"/>
        <w:tblLayout w:type="fixed"/>
        <w:tblCellMar>
          <w:top w:w="0" w:type="dxa"/>
          <w:left w:w="0" w:type="dxa"/>
          <w:bottom w:w="0" w:type="dxa"/>
          <w:right w:w="0" w:type="dxa"/>
        </w:tblCellMar>
      </w:tblPr>
      <w:tblGrid>
        <w:gridCol w:w="898"/>
        <w:gridCol w:w="2296"/>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7.01</w:t>
            </w:r>
          </w:p>
        </w:tc>
        <w:tc>
          <w:tcPr>
            <w:tcW w:w="2296"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Regulation FD Disclosure.</w:t>
            </w:r>
          </w:p>
        </w:tc>
      </w:tr>
    </w:tbl>
    <w:p>
      <w:pPr>
        <w:pStyle w:val="TextBody"/>
        <w:pBdr/>
        <w:bidi w:val="0"/>
        <w:spacing w:before="0" w:after="0"/>
        <w:ind w:left="0" w:right="0" w:hanging="144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pacing w:val="-3"/>
          <w:sz w:val="20"/>
        </w:rPr>
        <w:t xml:space="preserve">The registrant hereby furnishes the information set forth in its press release entitled “CompX </w:t>
      </w:r>
      <w:r>
        <w:rPr>
          <w:rFonts w:ascii="Times New Roman;Times;serif" w:hAnsi="Times New Roman;Times;serif"/>
          <w:sz w:val="20"/>
        </w:rPr>
        <w:t>Declares Quarterly Dividend</w:t>
      </w:r>
      <w:r>
        <w:rPr>
          <w:rFonts w:ascii="Times New Roman;Times;serif" w:hAnsi="Times New Roman;Times;serif"/>
          <w:spacing w:val="-3"/>
          <w:sz w:val="20"/>
        </w:rPr>
        <w:t xml:space="preserve">” that the registrant also </w:t>
      </w:r>
      <w:r>
        <w:rPr>
          <w:rFonts w:ascii="Times New Roman;Times;serif" w:hAnsi="Times New Roman;Times;serif"/>
          <w:sz w:val="20"/>
        </w:rPr>
        <w:t>issued on November 6, 2024, a copy of which is attached hereto as Exhibit 99.2 and incorporated herein by reference.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press release the registrant furnishes as Exhibit 99.2 to this current report is not “filed” for purposes of section 18 of the Securities Exchange Act of 1934, as amended, or otherwise subject to the liabilities of that section.  Registration statements or other documents filed with the </w:t>
      </w:r>
      <w:r>
        <w:rPr>
          <w:rFonts w:ascii="Times New Roman;Times;serif" w:hAnsi="Times New Roman;Times;serif"/>
          <w:spacing w:val="-3"/>
          <w:sz w:val="20"/>
        </w:rPr>
        <w:t xml:space="preserve">U.S. </w:t>
      </w:r>
      <w:r>
        <w:rPr>
          <w:rFonts w:ascii="Times New Roman;Times;serif" w:hAnsi="Times New Roman;Times;serif"/>
          <w:sz w:val="20"/>
        </w:rPr>
        <w:t>Securities and Exchange Commission shall not incorporate this information by reference, except as otherwise expressly stated in such filing.</w:t>
      </w:r>
    </w:p>
    <w:p>
      <w:pPr>
        <w:pStyle w:val="TextBody"/>
        <w:bidi w:val="0"/>
        <w:spacing w:before="0" w:after="240"/>
        <w:ind w:left="0" w:right="0" w:firstLine="720"/>
        <w:jc w:val="both"/>
        <w:rPr/>
      </w:pPr>
      <w:r>
        <w:rPr/>
        <w:t>​</w:t>
      </w:r>
    </w:p>
    <w:p>
      <w:pPr>
        <w:pStyle w:val="TextBody"/>
        <w:pBdr/>
        <w:bidi w:val="0"/>
        <w:spacing w:before="0" w:after="0"/>
        <w:ind w:left="0" w:right="0" w:hanging="1440"/>
        <w:jc w:val="left"/>
        <w:rPr/>
      </w:pPr>
      <w:r>
        <w:rPr/>
        <w:t>​</w:t>
      </w:r>
    </w:p>
    <w:p>
      <w:pPr>
        <w:pStyle w:val="Normal"/>
        <w:bidi w:val="0"/>
        <w:spacing w:before="0" w:after="0"/>
        <w:jc w:val="left"/>
        <w:rPr>
          <w:sz w:val="4"/>
          <w:szCs w:val="4"/>
        </w:rPr>
      </w:pPr>
      <w:r>
        <w:rPr>
          <w:sz w:val="4"/>
          <w:szCs w:val="4"/>
        </w:rPr>
      </w:r>
      <w:bookmarkStart w:id="41" w:name="_a705adfb_b363_4369_93d4_e25a5400c1a2"/>
      <w:bookmarkStart w:id="42" w:name="_a705adfb_b363_4369_93d4_e25a5400c1a2"/>
      <w:bookmarkEnd w:id="42"/>
    </w:p>
    <w:tbl>
      <w:tblPr>
        <w:tblW w:w="3893" w:type="dxa"/>
        <w:jc w:val="left"/>
        <w:tblInd w:w="0" w:type="dxa"/>
        <w:tblLayout w:type="fixed"/>
        <w:tblCellMar>
          <w:top w:w="0" w:type="dxa"/>
          <w:left w:w="0" w:type="dxa"/>
          <w:bottom w:w="0" w:type="dxa"/>
          <w:right w:w="0" w:type="dxa"/>
        </w:tblCellMar>
      </w:tblPr>
      <w:tblGrid>
        <w:gridCol w:w="898"/>
        <w:gridCol w:w="2995"/>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9.01</w:t>
            </w:r>
          </w:p>
        </w:tc>
        <w:tc>
          <w:tcPr>
            <w:tcW w:w="2995"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Financial Statements and Exhibits.</w:t>
            </w:r>
          </w:p>
        </w:tc>
      </w:tr>
    </w:tbl>
    <w:p>
      <w:pPr>
        <w:pStyle w:val="TextBody"/>
        <w:pBdr/>
        <w:bidi w:val="0"/>
        <w:spacing w:before="0" w:after="0"/>
        <w:ind w:left="0" w:right="0" w:hanging="1620"/>
        <w:jc w:val="left"/>
        <w:rPr>
          <w:spacing w:val="-3"/>
        </w:rPr>
      </w:pPr>
      <w:r>
        <w:rPr>
          <w:spacing w:val="-3"/>
        </w:rPr>
        <w:t>​</w:t>
      </w:r>
    </w:p>
    <w:tbl>
      <w:tblPr>
        <w:tblW w:w="10205" w:type="dxa"/>
        <w:jc w:val="left"/>
        <w:tblInd w:w="0" w:type="dxa"/>
        <w:tblLayout w:type="fixed"/>
        <w:tblCellMar>
          <w:top w:w="0" w:type="dxa"/>
          <w:left w:w="0" w:type="dxa"/>
          <w:bottom w:w="0" w:type="dxa"/>
          <w:right w:w="0" w:type="dxa"/>
        </w:tblCellMar>
      </w:tblPr>
      <w:tblGrid>
        <w:gridCol w:w="336"/>
        <w:gridCol w:w="807"/>
        <w:gridCol w:w="109"/>
        <w:gridCol w:w="8953"/>
      </w:tblGrid>
      <w:tr>
        <w:trPr/>
        <w:tc>
          <w:tcPr>
            <w:tcW w:w="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80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8953" w:type="dxa"/>
            <w:tcBorders/>
            <w:vAlign w:val="center"/>
          </w:tcPr>
          <w:p>
            <w:pPr>
              <w:pStyle w:val="TableContents"/>
              <w:bidi w:val="0"/>
              <w:spacing w:before="0" w:after="0"/>
              <w:ind w:left="0" w:right="0" w:hanging="0"/>
              <w:jc w:val="left"/>
              <w:rPr/>
            </w:pPr>
            <w:r>
              <w:rPr/>
              <w:t>​</w:t>
            </w:r>
          </w:p>
        </w:tc>
      </w:tr>
      <w:tr>
        <w:trPr/>
        <w:tc>
          <w:tcPr>
            <w:tcW w:w="336"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(d)</w:t>
            </w:r>
          </w:p>
        </w:tc>
        <w:tc>
          <w:tcPr>
            <w:tcW w:w="807"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Exhibits</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3" w:type="dxa"/>
            <w:tcBorders/>
            <w:vAlign w:val="center"/>
          </w:tcPr>
          <w:p>
            <w:pPr>
              <w:pStyle w:val="TableContents"/>
              <w:bidi w:val="0"/>
              <w:spacing w:before="0" w:after="0"/>
              <w:ind w:left="0" w:right="0" w:hanging="0"/>
              <w:jc w:val="left"/>
              <w:rPr>
                <w:spacing w:val="-3"/>
              </w:rPr>
            </w:pPr>
            <w:r>
              <w:rPr>
                <w:spacing w:val="-3"/>
              </w:rPr>
              <w:t>​</w:t>
            </w:r>
          </w:p>
        </w:tc>
      </w:tr>
      <w:tr>
        <w:trPr/>
        <w:tc>
          <w:tcPr>
            <w:tcW w:w="336" w:type="dxa"/>
            <w:tcBorders/>
            <w:vAlign w:val="center"/>
          </w:tcPr>
          <w:p>
            <w:pPr>
              <w:pStyle w:val="TableContents"/>
              <w:bidi w:val="0"/>
              <w:spacing w:before="0" w:after="0"/>
              <w:ind w:left="0" w:right="0" w:hanging="0"/>
              <w:jc w:val="left"/>
              <w:rPr>
                <w:spacing w:val="-3"/>
              </w:rPr>
            </w:pPr>
            <w:r>
              <w:rPr>
                <w:spacing w:val="-3"/>
              </w:rPr>
              <w:t>​</w:t>
            </w:r>
          </w:p>
        </w:tc>
        <w:tc>
          <w:tcPr>
            <w:tcW w:w="807"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3" w:type="dxa"/>
            <w:tcBorders/>
            <w:vAlign w:val="center"/>
          </w:tcPr>
          <w:p>
            <w:pPr>
              <w:pStyle w:val="TableContents"/>
              <w:bidi w:val="0"/>
              <w:spacing w:before="0" w:after="0"/>
              <w:ind w:left="0" w:right="0" w:hanging="0"/>
              <w:jc w:val="left"/>
              <w:rPr>
                <w:spacing w:val="-3"/>
              </w:rPr>
            </w:pPr>
            <w:r>
              <w:rPr>
                <w:spacing w:val="-3"/>
              </w:rPr>
              <w:t>​</w:t>
            </w:r>
          </w:p>
        </w:tc>
      </w:tr>
      <w:tr>
        <w:trPr/>
        <w:tc>
          <w:tcPr>
            <w:tcW w:w="336" w:type="dxa"/>
            <w:tcBorders/>
            <w:vAlign w:val="center"/>
          </w:tcPr>
          <w:p>
            <w:pPr>
              <w:pStyle w:val="TableContents"/>
              <w:bidi w:val="0"/>
              <w:spacing w:before="0" w:after="0"/>
              <w:ind w:left="0" w:right="0" w:hanging="0"/>
              <w:jc w:val="center"/>
              <w:rPr>
                <w:spacing w:val="-3"/>
              </w:rPr>
            </w:pPr>
            <w:r>
              <w:rPr>
                <w:spacing w:val="-3"/>
              </w:rPr>
              <w:t>​</w:t>
            </w:r>
          </w:p>
        </w:tc>
        <w:tc>
          <w:tcPr>
            <w:tcW w:w="807"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Item No.</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3"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Description</w:t>
            </w:r>
          </w:p>
        </w:tc>
      </w:tr>
      <w:tr>
        <w:trPr/>
        <w:tc>
          <w:tcPr>
            <w:tcW w:w="336" w:type="dxa"/>
            <w:tcBorders/>
            <w:vAlign w:val="center"/>
          </w:tcPr>
          <w:p>
            <w:pPr>
              <w:pStyle w:val="TableContents"/>
              <w:bidi w:val="0"/>
              <w:spacing w:before="0" w:after="0"/>
              <w:ind w:left="0" w:right="0" w:hanging="0"/>
              <w:jc w:val="left"/>
              <w:rPr>
                <w:spacing w:val="-3"/>
              </w:rPr>
            </w:pPr>
            <w:r>
              <w:rPr>
                <w:spacing w:val="-3"/>
              </w:rPr>
              <w:t>​</w:t>
            </w:r>
          </w:p>
        </w:tc>
        <w:tc>
          <w:tcPr>
            <w:tcW w:w="807"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3" w:type="dxa"/>
            <w:tcBorders/>
            <w:vAlign w:val="center"/>
          </w:tcPr>
          <w:p>
            <w:pPr>
              <w:pStyle w:val="TableContents"/>
              <w:bidi w:val="0"/>
              <w:spacing w:before="0" w:after="0"/>
              <w:ind w:left="0" w:right="0" w:hanging="0"/>
              <w:jc w:val="left"/>
              <w:rPr>
                <w:spacing w:val="-3"/>
              </w:rPr>
            </w:pPr>
            <w:r>
              <w:rPr>
                <w:spacing w:val="-3"/>
              </w:rPr>
              <w:t>​</w:t>
            </w:r>
          </w:p>
        </w:tc>
      </w:tr>
      <w:tr>
        <w:trPr/>
        <w:tc>
          <w:tcPr>
            <w:tcW w:w="336" w:type="dxa"/>
            <w:tcBorders/>
            <w:vAlign w:val="center"/>
          </w:tcPr>
          <w:p>
            <w:pPr>
              <w:pStyle w:val="TableContents"/>
              <w:bidi w:val="0"/>
              <w:spacing w:before="0" w:after="0"/>
              <w:ind w:left="0" w:right="0" w:hanging="0"/>
              <w:jc w:val="left"/>
              <w:rPr>
                <w:spacing w:val="-3"/>
              </w:rPr>
            </w:pPr>
            <w:r>
              <w:rPr>
                <w:spacing w:val="-3"/>
              </w:rPr>
              <w:t>​</w:t>
            </w:r>
          </w:p>
        </w:tc>
        <w:tc>
          <w:tcPr>
            <w:tcW w:w="807"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99.1</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3" w:type="dxa"/>
            <w:tcBorders/>
            <w:vAlign w:val="center"/>
          </w:tcPr>
          <w:p>
            <w:pPr>
              <w:pStyle w:val="TableContents"/>
              <w:bidi w:val="0"/>
              <w:spacing w:before="0" w:after="0"/>
              <w:ind w:left="0" w:right="0" w:hanging="0"/>
              <w:jc w:val="both"/>
              <w:rPr/>
            </w:pPr>
            <w:hyperlink w:anchor="cix-20241106xex99d1.htm">
              <w:r>
                <w:rPr>
                  <w:rStyle w:val="InternetLink"/>
                  <w:rFonts w:ascii="Times New Roman;Times;serif" w:hAnsi="Times New Roman;Times;serif"/>
                  <w:b w:val="false"/>
                  <w:i w:val="false"/>
                  <w:caps w:val="false"/>
                  <w:smallCaps w:val="false"/>
                  <w:sz w:val="20"/>
                </w:rPr>
                <w:t xml:space="preserve">Press release dated November 6, 2024 </w:t>
              </w:r>
            </w:hyperlink>
            <w:hyperlink w:anchor="cix-20241106xex99d1.htm">
              <w:r>
                <w:rPr>
                  <w:rStyle w:val="InternetLink"/>
                  <w:rFonts w:ascii="Times New Roman;Times;serif" w:hAnsi="Times New Roman;Times;serif"/>
                  <w:b w:val="false"/>
                  <w:i w:val="false"/>
                  <w:caps w:val="false"/>
                  <w:smallCaps w:val="false"/>
                  <w:spacing w:val="-3"/>
                  <w:sz w:val="20"/>
                </w:rPr>
                <w:t xml:space="preserve">entitled “CompX Reports Third Quarter 2024 Results” and </w:t>
              </w:r>
            </w:hyperlink>
            <w:hyperlink w:anchor="cix-20241106xex99d1.htm">
              <w:r>
                <w:rPr>
                  <w:rStyle w:val="InternetLink"/>
                  <w:rFonts w:ascii="Times New Roman;Times;serif" w:hAnsi="Times New Roman;Times;serif"/>
                  <w:b w:val="false"/>
                  <w:i w:val="false"/>
                  <w:caps w:val="false"/>
                  <w:smallCaps w:val="false"/>
                  <w:sz w:val="20"/>
                </w:rPr>
                <w:t>issued by the registrant.</w:t>
              </w:r>
            </w:hyperlink>
          </w:p>
        </w:tc>
      </w:tr>
      <w:tr>
        <w:trPr/>
        <w:tc>
          <w:tcPr>
            <w:tcW w:w="336" w:type="dxa"/>
            <w:tcBorders/>
            <w:vAlign w:val="center"/>
          </w:tcPr>
          <w:p>
            <w:pPr>
              <w:pStyle w:val="TableContents"/>
              <w:bidi w:val="0"/>
              <w:spacing w:before="0" w:after="0"/>
              <w:ind w:left="0" w:right="0" w:hanging="0"/>
              <w:jc w:val="left"/>
              <w:rPr>
                <w:spacing w:val="-3"/>
              </w:rPr>
            </w:pPr>
            <w:r>
              <w:rPr>
                <w:spacing w:val="-3"/>
              </w:rPr>
              <w:t>​</w:t>
            </w:r>
          </w:p>
        </w:tc>
        <w:tc>
          <w:tcPr>
            <w:tcW w:w="807"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3" w:type="dxa"/>
            <w:tcBorders/>
            <w:vAlign w:val="center"/>
          </w:tcPr>
          <w:p>
            <w:pPr>
              <w:pStyle w:val="TableContents"/>
              <w:bidi w:val="0"/>
              <w:spacing w:before="0" w:after="0"/>
              <w:ind w:left="0" w:right="0" w:hanging="0"/>
              <w:jc w:val="left"/>
              <w:rPr>
                <w:spacing w:val="-3"/>
              </w:rPr>
            </w:pPr>
            <w:r>
              <w:rPr>
                <w:spacing w:val="-3"/>
              </w:rPr>
              <w:t>​</w:t>
            </w:r>
          </w:p>
        </w:tc>
      </w:tr>
      <w:tr>
        <w:trPr/>
        <w:tc>
          <w:tcPr>
            <w:tcW w:w="336" w:type="dxa"/>
            <w:tcBorders/>
            <w:vAlign w:val="center"/>
          </w:tcPr>
          <w:p>
            <w:pPr>
              <w:pStyle w:val="TableContents"/>
              <w:bidi w:val="0"/>
              <w:spacing w:before="0" w:after="0"/>
              <w:ind w:left="0" w:right="0" w:hanging="0"/>
              <w:jc w:val="left"/>
              <w:rPr>
                <w:spacing w:val="-3"/>
              </w:rPr>
            </w:pPr>
            <w:r>
              <w:rPr>
                <w:spacing w:val="-3"/>
              </w:rPr>
              <w:t>​</w:t>
            </w:r>
          </w:p>
        </w:tc>
        <w:tc>
          <w:tcPr>
            <w:tcW w:w="807"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99.2</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3" w:type="dxa"/>
            <w:tcBorders/>
            <w:vAlign w:val="center"/>
          </w:tcPr>
          <w:p>
            <w:pPr>
              <w:pStyle w:val="TableContents"/>
              <w:bidi w:val="0"/>
              <w:spacing w:before="0" w:after="0"/>
              <w:ind w:left="0" w:right="0" w:hanging="0"/>
              <w:jc w:val="both"/>
              <w:rPr/>
            </w:pPr>
            <w:hyperlink w:anchor="cix-20241106xex99d2.htm">
              <w:r>
                <w:rPr>
                  <w:rStyle w:val="InternetLink"/>
                  <w:rFonts w:ascii="Times New Roman;Times;serif" w:hAnsi="Times New Roman;Times;serif"/>
                  <w:b w:val="false"/>
                  <w:i w:val="false"/>
                  <w:caps w:val="false"/>
                  <w:smallCaps w:val="false"/>
                  <w:sz w:val="20"/>
                </w:rPr>
                <w:t xml:space="preserve">Press release dated November 6, 2024 </w:t>
              </w:r>
            </w:hyperlink>
            <w:hyperlink w:anchor="cix-20241106xex99d2.htm">
              <w:r>
                <w:rPr>
                  <w:rStyle w:val="InternetLink"/>
                  <w:rFonts w:ascii="Times New Roman;Times;serif" w:hAnsi="Times New Roman;Times;serif"/>
                  <w:b w:val="false"/>
                  <w:i w:val="false"/>
                  <w:caps w:val="false"/>
                  <w:smallCaps w:val="false"/>
                  <w:spacing w:val="-3"/>
                  <w:sz w:val="20"/>
                </w:rPr>
                <w:t>entitled “</w:t>
              </w:r>
            </w:hyperlink>
            <w:hyperlink w:anchor="cix-20241106xex99d2.htm">
              <w:r>
                <w:rPr>
                  <w:rStyle w:val="InternetLink"/>
                  <w:rFonts w:ascii="Times New Roman;Times;serif" w:hAnsi="Times New Roman;Times;serif"/>
                  <w:b w:val="false"/>
                  <w:i w:val="false"/>
                  <w:caps w:val="false"/>
                  <w:smallCaps w:val="false"/>
                  <w:sz w:val="20"/>
                </w:rPr>
                <w:t>CompX Declares Quarterly Dividend</w:t>
              </w:r>
            </w:hyperlink>
            <w:hyperlink w:anchor="cix-20241106xex99d2.htm">
              <w:r>
                <w:rPr>
                  <w:rStyle w:val="InternetLink"/>
                  <w:rFonts w:ascii="Times New Roman;Times;serif" w:hAnsi="Times New Roman;Times;serif"/>
                  <w:caps w:val="false"/>
                  <w:smallCaps w:val="false"/>
                  <w:spacing w:val="-3"/>
                  <w:sz w:val="20"/>
                </w:rPr>
                <w:t xml:space="preserve">” </w:t>
              </w:r>
            </w:hyperlink>
            <w:hyperlink w:anchor="cix-20241106xex99d2.htm">
              <w:r>
                <w:rPr>
                  <w:rStyle w:val="InternetLink"/>
                  <w:rFonts w:ascii="Times New Roman;Times;serif" w:hAnsi="Times New Roman;Times;serif"/>
                  <w:b w:val="false"/>
                  <w:i w:val="false"/>
                  <w:caps w:val="false"/>
                  <w:smallCaps w:val="false"/>
                  <w:spacing w:val="-3"/>
                  <w:sz w:val="20"/>
                </w:rPr>
                <w:t xml:space="preserve">and </w:t>
              </w:r>
            </w:hyperlink>
            <w:hyperlink w:anchor="cix-20241106xex99d2.htm">
              <w:r>
                <w:rPr>
                  <w:rStyle w:val="InternetLink"/>
                  <w:rFonts w:ascii="Times New Roman;Times;serif" w:hAnsi="Times New Roman;Times;serif"/>
                  <w:b w:val="false"/>
                  <w:i w:val="false"/>
                  <w:caps w:val="false"/>
                  <w:smallCaps w:val="false"/>
                  <w:sz w:val="20"/>
                </w:rPr>
                <w:t>issued by the registrant.</w:t>
              </w:r>
            </w:hyperlink>
          </w:p>
        </w:tc>
      </w:tr>
      <w:tr>
        <w:trPr/>
        <w:tc>
          <w:tcPr>
            <w:tcW w:w="336" w:type="dxa"/>
            <w:tcBorders/>
            <w:vAlign w:val="center"/>
          </w:tcPr>
          <w:p>
            <w:pPr>
              <w:pStyle w:val="TableContents"/>
              <w:bidi w:val="0"/>
              <w:spacing w:before="0" w:after="0"/>
              <w:ind w:left="0" w:right="0" w:hanging="0"/>
              <w:jc w:val="left"/>
              <w:rPr>
                <w:spacing w:val="-3"/>
              </w:rPr>
            </w:pPr>
            <w:r>
              <w:rPr>
                <w:spacing w:val="-3"/>
              </w:rPr>
              <w:t>​</w:t>
            </w:r>
          </w:p>
        </w:tc>
        <w:tc>
          <w:tcPr>
            <w:tcW w:w="807"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3" w:type="dxa"/>
            <w:tcBorders/>
            <w:vAlign w:val="center"/>
          </w:tcPr>
          <w:p>
            <w:pPr>
              <w:pStyle w:val="TableContents"/>
              <w:bidi w:val="0"/>
              <w:spacing w:before="0" w:after="0"/>
              <w:ind w:left="0" w:right="0" w:hanging="0"/>
              <w:jc w:val="left"/>
              <w:rPr>
                <w:spacing w:val="-3"/>
              </w:rPr>
            </w:pPr>
            <w:r>
              <w:rPr>
                <w:spacing w:val="-3"/>
              </w:rPr>
              <w:t>​</w:t>
            </w:r>
          </w:p>
        </w:tc>
      </w:tr>
      <w:tr>
        <w:trPr/>
        <w:tc>
          <w:tcPr>
            <w:tcW w:w="336" w:type="dxa"/>
            <w:tcBorders/>
            <w:vAlign w:val="center"/>
          </w:tcPr>
          <w:p>
            <w:pPr>
              <w:pStyle w:val="TableContents"/>
              <w:bidi w:val="0"/>
              <w:spacing w:before="0" w:after="0"/>
              <w:ind w:left="0" w:right="0" w:hanging="0"/>
              <w:jc w:val="left"/>
              <w:rPr>
                <w:spacing w:val="-3"/>
              </w:rPr>
            </w:pPr>
            <w:r>
              <w:rPr>
                <w:spacing w:val="-3"/>
              </w:rPr>
              <w:t>​</w:t>
            </w:r>
          </w:p>
        </w:tc>
        <w:tc>
          <w:tcPr>
            <w:tcW w:w="807"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104</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43" w:name="_fb517d3f_d9bf_4535_87e1_b6dc54d728ec"/>
      <w:bookmarkEnd w:id="43"/>
      <w:r>
        <w:rPr>
          <w:rFonts w:ascii="Times New Roman;Times;serif" w:hAnsi="Times New Roman;Times;serif"/>
          <w:b/>
          <w:sz w:val="20"/>
        </w:rPr>
        <w:t>SIGNATURE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40"/>
        <w:ind w:left="0" w:right="0" w:hanging="0"/>
        <w:jc w:val="center"/>
        <w:rPr/>
      </w:pPr>
      <w:r>
        <w:rPr/>
        <w:t>​</w:t>
      </w:r>
    </w:p>
    <w:tbl>
      <w:tblPr>
        <w:tblW w:w="5508" w:type="dxa"/>
        <w:jc w:val="left"/>
        <w:tblInd w:w="0" w:type="dxa"/>
        <w:tblLayout w:type="fixed"/>
        <w:tblCellMar>
          <w:top w:w="0" w:type="dxa"/>
          <w:left w:w="0" w:type="dxa"/>
          <w:bottom w:w="0" w:type="dxa"/>
          <w:right w:w="0" w:type="dxa"/>
        </w:tblCellMar>
      </w:tblPr>
      <w:tblGrid>
        <w:gridCol w:w="2101"/>
        <w:gridCol w:w="406"/>
        <w:gridCol w:w="3001"/>
      </w:tblGrid>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COMPX INTERNATIONAL INC.</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6, 2024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0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Amy A. Samford</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 and</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4" w:name="cix-20241106xex99d1.htm"/>
      <w:bookmarkStart w:id="45" w:name="kscix20241106xex99d1"/>
      <w:bookmarkStart w:id="46" w:name="cix-20241106xex99d1.htm"/>
      <w:bookmarkStart w:id="47" w:name="kscix20241106xex99d1"/>
      <w:bookmarkEnd w:id="46"/>
      <w:bookmarkEnd w:id="47"/>
      <w:r>
        <w:br w:type="page"/>
      </w:r>
    </w:p>
    <w:tbl>
      <w:tblPr>
        <w:tblW w:w="4420" w:type="dxa"/>
        <w:jc w:val="left"/>
        <w:tblInd w:w="0" w:type="dxa"/>
        <w:tblLayout w:type="fixed"/>
        <w:tblCellMar>
          <w:top w:w="0" w:type="dxa"/>
          <w:left w:w="0" w:type="dxa"/>
          <w:bottom w:w="0" w:type="dxa"/>
          <w:right w:w="0" w:type="dxa"/>
        </w:tblCellMar>
      </w:tblPr>
      <w:tblGrid>
        <w:gridCol w:w="4420"/>
      </w:tblGrid>
      <w:tr>
        <w:trPr/>
        <w:tc>
          <w:tcPr>
            <w:tcW w:w="4420" w:type="dxa"/>
            <w:tcBorders/>
            <w:vAlign w:val="center"/>
          </w:tcPr>
          <w:p>
            <w:pPr>
              <w:pStyle w:val="TableContents"/>
              <w:bidi w:val="0"/>
              <w:spacing w:before="0" w:after="0"/>
              <w:ind w:left="0" w:right="0" w:hanging="0"/>
              <w:jc w:val="right"/>
              <w:rPr/>
            </w:pPr>
            <w:r>
              <w:rPr/>
              <w:t>​</w:t>
            </w:r>
          </w:p>
        </w:tc>
      </w:tr>
      <w:tr>
        <w:trPr/>
        <w:tc>
          <w:tcPr>
            <w:tcW w:w="4420" w:type="dxa"/>
            <w:tcBorders/>
            <w:vAlign w:val="center"/>
          </w:tcPr>
          <w:p>
            <w:pPr>
              <w:pStyle w:val="TableContents"/>
              <w:bidi w:val="0"/>
              <w:spacing w:before="0" w:after="0"/>
              <w:ind w:left="0" w:right="0" w:hanging="0"/>
              <w:jc w:val="center"/>
              <w:rPr/>
            </w:pPr>
            <w:r>
              <w:rPr/>
              <w:drawing>
                <wp:inline distT="0" distB="0" distL="0" distR="0">
                  <wp:extent cx="2713990"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13990" cy="904875"/>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30"/>
        </w:rPr>
      </w:pPr>
      <w:r>
        <w:rPr>
          <w:rFonts w:ascii="Times New Roman;Times;serif" w:hAnsi="Times New Roman;Times;serif"/>
          <w:b/>
          <w:sz w:val="30"/>
        </w:rPr>
        <w:t>COMPX REPORTS THIRD QUARTER 2024 RESULTS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4"/>
        </w:rPr>
        <w:t xml:space="preserve">DALLAS, TEXAS </w:t>
      </w:r>
      <w:r>
        <w:rPr>
          <w:rFonts w:ascii="Times New Roman;Times;serif" w:hAnsi="Times New Roman;Times;serif"/>
          <w:sz w:val="20"/>
        </w:rPr>
        <w:t xml:space="preserve">… </w:t>
      </w:r>
      <w:r>
        <w:rPr>
          <w:rFonts w:ascii="Times New Roman;Times;serif" w:hAnsi="Times New Roman;Times;serif"/>
          <w:sz w:val="24"/>
        </w:rPr>
        <w:t xml:space="preserve">November 6, 2024 </w:t>
      </w:r>
      <w:r>
        <w:rPr>
          <w:rFonts w:ascii="Times New Roman;Times;serif" w:hAnsi="Times New Roman;Times;serif"/>
          <w:sz w:val="20"/>
        </w:rPr>
        <w:t xml:space="preserve">… </w:t>
      </w:r>
      <w:r>
        <w:rPr>
          <w:rFonts w:ascii="Times New Roman;Times;serif" w:hAnsi="Times New Roman;Times;serif"/>
          <w:sz w:val="24"/>
        </w:rPr>
        <w:t xml:space="preserve">CompX International Inc. (NYSE American: CIX) announced today sales of $33.6 million for the third quarter of 2024 compared to $40.3 million in the same period of 2023. Operating income was $3.3 million in the third quarter of 2024 compared to $6.6 million in the same period of 2023. Net income was $3.5 million, or $.28 per basic and diluted common share, for the third quarter of 2024 compared to $5.8 million, or $.47 per basic and diluted common share, in the same period of 2023. </w:t>
      </w:r>
    </w:p>
    <w:p>
      <w:pPr>
        <w:pStyle w:val="TextBody"/>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For the nine months ended September 30, 2024, sales were $107.5 million compared to $118.1 million in the previous year. Operating income was $12.1 million for the first nine months of 2024 compared to $18.0 million for the same period in 2023. Net income for the nine months ended September 30, 2024 was $12.1 million, or $.98 per basic and diluted share, compared to $15.9 million, or $1.29 per basic and diluted share, for the same period in 2023.</w:t>
      </w:r>
    </w:p>
    <w:p>
      <w:pPr>
        <w:pStyle w:val="TextBody"/>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Third quarter 2024 net sales decreased over the comparable 2023 period predominantly due to lower Security Products sales to a government security customer and to a lesser extent lower Marine Components sales primarily to the towboat market. Security Products third quarter 2023 net sales include sales to a government security customer for a pilot project that did not continue in 2024. Net sales decreased for the first nine months of 2024 compared to the same period in 2023 primarily due to lower Marine Components sales to the towboat market. Operating income decreased in the third quarter of 2024 compared to the same period in 2023 due to lower sales and gross margin at both Security Products and Marine Components. Operating income decreased in the first nine months of 2024 compared to the same period in 2023 primarily due to lower Marine Components sales and gross margin.</w:t>
      </w:r>
    </w:p>
    <w:p>
      <w:pPr>
        <w:pStyle w:val="TextBody"/>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CompX is a leading manufacturer of security products and recreational marine components. It operates from three locations in the U.S. and employs approximately 524 people.</w:t>
      </w:r>
    </w:p>
    <w:p>
      <w:pPr>
        <w:pStyle w:val="TextBody"/>
        <w:bidi w:val="0"/>
        <w:spacing w:before="0" w:after="160"/>
        <w:ind w:left="0" w:right="0" w:hanging="0"/>
        <w:jc w:val="left"/>
        <w:rPr>
          <w:rFonts w:ascii="Times New Roman;Times;serif" w:hAnsi="Times New Roman;Times;serif"/>
          <w:b/>
          <w:sz w:val="24"/>
        </w:rPr>
      </w:pPr>
      <w:r>
        <w:rPr>
          <w:rFonts w:ascii="Times New Roman;Times;serif" w:hAnsi="Times New Roman;Times;serif"/>
          <w:b/>
          <w:sz w:val="24"/>
        </w:rPr>
        <w:t>Forward-Looking Statements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4"/>
        </w:rPr>
        <w:t>The statements in this press release relating to matters that are not historical facts are forward-looking statements that represent management</w:t>
      </w:r>
      <w:r>
        <w:rPr>
          <w:rFonts w:ascii="Times New Roman;Times;serif" w:hAnsi="Times New Roman;Times;serif"/>
          <w:sz w:val="20"/>
        </w:rPr>
        <w:t>’</w:t>
      </w:r>
      <w:r>
        <w:rPr>
          <w:rFonts w:ascii="Times New Roman;Times;serif" w:hAnsi="Times New Roman;Times;serif"/>
          <w:sz w:val="24"/>
        </w:rPr>
        <w:t xml:space="preserve">s belief and assumptions based on currently available information.  Although we believe the expectations reflected in such forward-looking statements are reasonable, we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we continue to face many risks and uncertainties. </w:t>
      </w:r>
    </w:p>
    <w:p>
      <w:pPr>
        <w:pStyle w:val="TextBody"/>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The factors that could cause our actual future results to differ materially include, but are not limited to, the following:</w:t>
      </w:r>
    </w:p>
    <w:tbl>
      <w:tblPr>
        <w:tblW w:w="3198" w:type="dxa"/>
        <w:jc w:val="left"/>
        <w:tblInd w:w="0" w:type="dxa"/>
        <w:tblLayout w:type="fixed"/>
        <w:tblCellMar>
          <w:top w:w="0" w:type="dxa"/>
          <w:left w:w="0" w:type="dxa"/>
          <w:bottom w:w="0" w:type="dxa"/>
          <w:right w:w="0" w:type="dxa"/>
        </w:tblCellMar>
      </w:tblPr>
      <w:tblGrid>
        <w:gridCol w:w="23"/>
        <w:gridCol w:w="95"/>
        <w:gridCol w:w="308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308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Future demand for our products,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Changes in our raw material and other operating costs (such as zinc, brass, aluminum, steel and energy costs) and our ability to pass those costs on to our customers or offset them with reductions in other operating costs,</w:t>
            </w:r>
          </w:p>
        </w:tc>
      </w:tr>
    </w:tbl>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HorizontalLine"/>
        <w:pBdr>
          <w:bottom w:val="double" w:sz="2" w:space="0" w:color="808080"/>
        </w:pBdr>
        <w:bidi w:val="0"/>
        <w:spacing w:before="0" w:after="283"/>
        <w:jc w:val="left"/>
        <w:rPr/>
      </w:pPr>
      <w:r>
        <w:rPr/>
      </w:r>
    </w:p>
    <w:tbl>
      <w:tblPr>
        <w:tblW w:w="8133" w:type="dxa"/>
        <w:jc w:val="left"/>
        <w:tblInd w:w="0" w:type="dxa"/>
        <w:tblLayout w:type="fixed"/>
        <w:tblCellMar>
          <w:top w:w="0" w:type="dxa"/>
          <w:left w:w="0" w:type="dxa"/>
          <w:bottom w:w="0" w:type="dxa"/>
          <w:right w:w="0" w:type="dxa"/>
        </w:tblCellMar>
      </w:tblPr>
      <w:tblGrid>
        <w:gridCol w:w="23"/>
        <w:gridCol w:w="95"/>
        <w:gridCol w:w="801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801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Price and product competition from low-cost manufacturing sources (such as China),</w:t>
            </w:r>
          </w:p>
        </w:tc>
      </w:tr>
    </w:tbl>
    <w:tbl>
      <w:tblPr>
        <w:tblW w:w="4653" w:type="dxa"/>
        <w:jc w:val="left"/>
        <w:tblInd w:w="0" w:type="dxa"/>
        <w:tblLayout w:type="fixed"/>
        <w:tblCellMar>
          <w:top w:w="0" w:type="dxa"/>
          <w:left w:w="0" w:type="dxa"/>
          <w:bottom w:w="0" w:type="dxa"/>
          <w:right w:w="0" w:type="dxa"/>
        </w:tblCellMar>
      </w:tblPr>
      <w:tblGrid>
        <w:gridCol w:w="23"/>
        <w:gridCol w:w="9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453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The impact of pricing and production decisions,</w:t>
            </w:r>
          </w:p>
        </w:tc>
      </w:tr>
    </w:tbl>
    <w:tbl>
      <w:tblPr>
        <w:tblW w:w="6273" w:type="dxa"/>
        <w:jc w:val="left"/>
        <w:tblInd w:w="0" w:type="dxa"/>
        <w:tblLayout w:type="fixed"/>
        <w:tblCellMar>
          <w:top w:w="0" w:type="dxa"/>
          <w:left w:w="0" w:type="dxa"/>
          <w:bottom w:w="0" w:type="dxa"/>
          <w:right w:w="0" w:type="dxa"/>
        </w:tblCellMar>
      </w:tblPr>
      <w:tblGrid>
        <w:gridCol w:w="23"/>
        <w:gridCol w:w="95"/>
        <w:gridCol w:w="615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615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Customer and competitor strategies including substitute products,</w:t>
            </w:r>
          </w:p>
        </w:tc>
      </w:tr>
    </w:tbl>
    <w:tbl>
      <w:tblPr>
        <w:tblW w:w="8133" w:type="dxa"/>
        <w:jc w:val="left"/>
        <w:tblInd w:w="0" w:type="dxa"/>
        <w:tblLayout w:type="fixed"/>
        <w:tblCellMar>
          <w:top w:w="0" w:type="dxa"/>
          <w:left w:w="0" w:type="dxa"/>
          <w:bottom w:w="0" w:type="dxa"/>
          <w:right w:w="0" w:type="dxa"/>
        </w:tblCellMar>
      </w:tblPr>
      <w:tblGrid>
        <w:gridCol w:w="23"/>
        <w:gridCol w:w="95"/>
        <w:gridCol w:w="801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801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Uncertainties associated with the development of new products and product features,</w:t>
            </w:r>
          </w:p>
        </w:tc>
      </w:tr>
    </w:tbl>
    <w:tbl>
      <w:tblPr>
        <w:tblW w:w="3558" w:type="dxa"/>
        <w:jc w:val="left"/>
        <w:tblInd w:w="0" w:type="dxa"/>
        <w:tblLayout w:type="fixed"/>
        <w:tblCellMar>
          <w:top w:w="0" w:type="dxa"/>
          <w:left w:w="0" w:type="dxa"/>
          <w:bottom w:w="0" w:type="dxa"/>
          <w:right w:w="0" w:type="dxa"/>
        </w:tblCellMar>
      </w:tblPr>
      <w:tblGrid>
        <w:gridCol w:w="23"/>
        <w:gridCol w:w="95"/>
        <w:gridCol w:w="344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344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Pending or possible future litigation,</w:t>
            </w:r>
          </w:p>
        </w:tc>
      </w:tr>
    </w:tbl>
    <w:tbl>
      <w:tblPr>
        <w:tblW w:w="6018" w:type="dxa"/>
        <w:jc w:val="left"/>
        <w:tblInd w:w="0" w:type="dxa"/>
        <w:tblLayout w:type="fixed"/>
        <w:tblCellMar>
          <w:top w:w="0" w:type="dxa"/>
          <w:left w:w="0" w:type="dxa"/>
          <w:bottom w:w="0" w:type="dxa"/>
          <w:right w:w="0" w:type="dxa"/>
        </w:tblCellMar>
      </w:tblPr>
      <w:tblGrid>
        <w:gridCol w:w="23"/>
        <w:gridCol w:w="95"/>
        <w:gridCol w:w="590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590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Our ability to protect or defend our intellectual property rights,</w:t>
            </w:r>
          </w:p>
        </w:tc>
      </w:tr>
    </w:tbl>
    <w:tbl>
      <w:tblPr>
        <w:tblW w:w="5163" w:type="dxa"/>
        <w:jc w:val="left"/>
        <w:tblInd w:w="0" w:type="dxa"/>
        <w:tblLayout w:type="fixed"/>
        <w:tblCellMar>
          <w:top w:w="0" w:type="dxa"/>
          <w:left w:w="0" w:type="dxa"/>
          <w:bottom w:w="0" w:type="dxa"/>
          <w:right w:w="0" w:type="dxa"/>
        </w:tblCellMar>
      </w:tblPr>
      <w:tblGrid>
        <w:gridCol w:w="23"/>
        <w:gridCol w:w="95"/>
        <w:gridCol w:w="504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504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Potential difficulties in integrating future acquisitions,</w:t>
            </w:r>
          </w:p>
        </w:tc>
      </w:tr>
    </w:tbl>
    <w:tbl>
      <w:tblPr>
        <w:tblW w:w="7518" w:type="dxa"/>
        <w:jc w:val="left"/>
        <w:tblInd w:w="0" w:type="dxa"/>
        <w:tblLayout w:type="fixed"/>
        <w:tblCellMar>
          <w:top w:w="0" w:type="dxa"/>
          <w:left w:w="0" w:type="dxa"/>
          <w:bottom w:w="0" w:type="dxa"/>
          <w:right w:w="0" w:type="dxa"/>
        </w:tblCellMar>
      </w:tblPr>
      <w:tblGrid>
        <w:gridCol w:w="23"/>
        <w:gridCol w:w="95"/>
        <w:gridCol w:w="740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740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Decisions to sell operating assets other than in the ordinary course of business,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Environmental matters (such as those requiring emission and discharge standards for existing and new facilities),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The ultimate outcome of income tax audits, tax settlement initiatives or other tax matters, including future tax reform,</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Government laws and regulations and possible changes therein including new environmental, health and safety, sustainability or other regulations,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General global economic and political conditions that disrupt our supply chain, reduce demand or perceived demand for component products or impair our ability to operate our facilities (including changes in the level of gross domestic product in various regions of the world, natural disasters, terrorist acts, global conflicts and public health crises),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Operating interruptions (including, but not limited to labor disputes, leaks, natural disasters, fires, explosions, unscheduled or unplanned downtime, transportation interruptions, certain regional and world events or economic conditions and public health crises);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Technology related disruptions (including, but not limited to, cyber-attacks; software implementation, upgrades or improvements; technology processing failures; or other events) related to our technology infrastructure that could impact our ability to continue operations, or at key vendors which could impact our supply chain, or at key customers which could impact their operations and cause them to curtail or pause orders; and</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Possible disruption of our business or increases in the cost of doing business resulting from terrorist activities or global conflicts.</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Should one or more of these risks materialize or if the consequences worsen, or if the underlying assumptions prove incorrect, actual results could differ materially from those currently forecasted or expected. CompX disclaims any intention or obligation to update or revise any forward-looking statement whether as a result of changes in information, future events or otherwise.</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Investor Relations Contact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Bryan A. Hanley</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and Treasurer</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Tel. 972-233-1700</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 * *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COMPX INTERNATIONAL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SUMMARY OF CONSOLIDATED OPERATIONS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(In millions, except per share amounts)</w:t>
      </w:r>
    </w:p>
    <w:p>
      <w:pPr>
        <w:pStyle w:val="TextBody"/>
        <w:bidi w:val="0"/>
        <w:spacing w:before="0" w:after="0"/>
        <w:ind w:left="0" w:right="0" w:hanging="0"/>
        <w:jc w:val="center"/>
        <w:rPr/>
      </w:pPr>
      <w:r>
        <w:rPr/>
        <w:t>​</w:t>
      </w:r>
    </w:p>
    <w:tbl>
      <w:tblPr>
        <w:tblW w:w="9866" w:type="dxa"/>
        <w:jc w:val="left"/>
        <w:tblInd w:w="0" w:type="dxa"/>
        <w:tblLayout w:type="fixed"/>
        <w:tblCellMar>
          <w:top w:w="0" w:type="dxa"/>
          <w:left w:w="0" w:type="dxa"/>
          <w:bottom w:w="0" w:type="dxa"/>
          <w:right w:w="0" w:type="dxa"/>
        </w:tblCellMar>
      </w:tblPr>
      <w:tblGrid>
        <w:gridCol w:w="5221"/>
        <w:gridCol w:w="272"/>
        <w:gridCol w:w="634"/>
        <w:gridCol w:w="392"/>
        <w:gridCol w:w="272"/>
        <w:gridCol w:w="634"/>
        <w:gridCol w:w="326"/>
        <w:gridCol w:w="226"/>
        <w:gridCol w:w="646"/>
        <w:gridCol w:w="326"/>
        <w:gridCol w:w="226"/>
        <w:gridCol w:w="691"/>
      </w:tblGrid>
      <w:tr>
        <w:trPr/>
        <w:tc>
          <w:tcPr>
            <w:tcW w:w="5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3315335" cy="175260"/>
                      <wp:effectExtent l="0" t="0" r="0" b="0"/>
                      <wp:wrapNone/>
                      <wp:docPr id="2" name="Frame1"/>
                      <a:graphic xmlns:a="http://schemas.openxmlformats.org/drawingml/2006/main">
                        <a:graphicData uri="http://schemas.microsoft.com/office/word/2010/wordprocessingShape">
                          <wps:wsp>
                            <wps:cNvSpPr txBox="1"/>
                            <wps:spPr>
                              <a:xfrm>
                                <a:off x="0" y="0"/>
                                <a:ext cx="331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72720" cy="175260"/>
                      <wp:effectExtent l="0" t="0" r="0" b="0"/>
                      <wp:wrapNone/>
                      <wp:docPr id="3" name="Frame2"/>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02590" cy="175260"/>
                      <wp:effectExtent l="0" t="0" r="0" b="0"/>
                      <wp:wrapNone/>
                      <wp:docPr id="4" name="Frame3"/>
                      <a:graphic xmlns:a="http://schemas.openxmlformats.org/drawingml/2006/main">
                        <a:graphicData uri="http://schemas.microsoft.com/office/word/2010/wordprocessingShape">
                          <wps:wsp>
                            <wps:cNvSpPr txBox="1"/>
                            <wps:spPr>
                              <a:xfrm>
                                <a:off x="0" y="0"/>
                                <a:ext cx="402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48920" cy="175260"/>
                      <wp:effectExtent l="0" t="0" r="0" b="0"/>
                      <wp:wrapNone/>
                      <wp:docPr id="5" name="Frame4"/>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72720" cy="175260"/>
                      <wp:effectExtent l="0" t="0" r="0" b="0"/>
                      <wp:wrapNone/>
                      <wp:docPr id="6" name="Frame5"/>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02590" cy="175260"/>
                      <wp:effectExtent l="0" t="0" r="0" b="0"/>
                      <wp:wrapNone/>
                      <wp:docPr id="7" name="Frame6"/>
                      <a:graphic xmlns:a="http://schemas.openxmlformats.org/drawingml/2006/main">
                        <a:graphicData uri="http://schemas.microsoft.com/office/word/2010/wordprocessingShape">
                          <wps:wsp>
                            <wps:cNvSpPr txBox="1"/>
                            <wps:spPr>
                              <a:xfrm>
                                <a:off x="0" y="0"/>
                                <a:ext cx="402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8"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43510" cy="175260"/>
                      <wp:effectExtent l="0" t="0" r="0" b="0"/>
                      <wp:wrapNone/>
                      <wp:docPr id="9" name="Frame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10210" cy="175260"/>
                      <wp:effectExtent l="0" t="0" r="0" b="0"/>
                      <wp:wrapNone/>
                      <wp:docPr id="10" name="Frame9"/>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1"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43510" cy="175260"/>
                      <wp:effectExtent l="0" t="0" r="0" b="0"/>
                      <wp:wrapNone/>
                      <wp:docPr id="12" name="Frame1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38785" cy="175260"/>
                      <wp:effectExtent l="0" t="0" r="0" b="0"/>
                      <wp:wrapNone/>
                      <wp:docPr id="13" name="Frame1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21" w:type="dxa"/>
            <w:tcBorders/>
            <w:vAlign w:val="center"/>
          </w:tcPr>
          <w:p>
            <w:pPr>
              <w:pStyle w:val="TableContents"/>
              <w:bidi w:val="0"/>
              <w:spacing w:before="0" w:after="0"/>
              <w:ind w:left="0" w:right="0" w:hanging="0"/>
              <w:jc w:val="left"/>
              <w:rPr/>
            </w:pPr>
            <w:r>
              <w:rPr/>
              <w:t>​</w:t>
            </w:r>
          </w:p>
        </w:tc>
        <w:tc>
          <w:tcPr>
            <w:tcW w:w="2204" w:type="dxa"/>
            <w:gridSpan w:val="5"/>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Three months ended</w:t>
            </w:r>
          </w:p>
        </w:tc>
        <w:tc>
          <w:tcPr>
            <w:tcW w:w="326" w:type="dxa"/>
            <w:tcBorders/>
            <w:vAlign w:val="center"/>
          </w:tcPr>
          <w:p>
            <w:pPr>
              <w:pStyle w:val="TableContents"/>
              <w:bidi w:val="0"/>
              <w:spacing w:before="0" w:after="0"/>
              <w:ind w:left="0" w:right="0" w:hanging="0"/>
              <w:jc w:val="left"/>
              <w:rPr/>
            </w:pPr>
            <w:r>
              <w:rPr/>
              <w:t>    </w:t>
            </w:r>
          </w:p>
        </w:tc>
        <w:tc>
          <w:tcPr>
            <w:tcW w:w="2115" w:type="dxa"/>
            <w:gridSpan w:val="5"/>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Nine months ended</w:t>
            </w:r>
          </w:p>
        </w:tc>
      </w:tr>
      <w:tr>
        <w:trPr/>
        <w:tc>
          <w:tcPr>
            <w:tcW w:w="5221" w:type="dxa"/>
            <w:tcBorders/>
            <w:vAlign w:val="center"/>
          </w:tcPr>
          <w:p>
            <w:pPr>
              <w:pStyle w:val="TableContents"/>
              <w:bidi w:val="0"/>
              <w:spacing w:before="0" w:after="0"/>
              <w:ind w:left="0" w:right="0" w:hanging="0"/>
              <w:jc w:val="left"/>
              <w:rPr/>
            </w:pPr>
            <w:r>
              <w:rPr/>
              <w:t>​</w:t>
            </w:r>
          </w:p>
        </w:tc>
        <w:tc>
          <w:tcPr>
            <w:tcW w:w="22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September 30,</w:t>
            </w:r>
          </w:p>
        </w:tc>
        <w:tc>
          <w:tcPr>
            <w:tcW w:w="326" w:type="dxa"/>
            <w:tcBorders/>
            <w:vAlign w:val="center"/>
          </w:tcPr>
          <w:p>
            <w:pPr>
              <w:pStyle w:val="TableContents"/>
              <w:bidi w:val="0"/>
              <w:spacing w:before="0" w:after="0"/>
              <w:ind w:left="0" w:right="0" w:hanging="0"/>
              <w:jc w:val="left"/>
              <w:rPr/>
            </w:pPr>
            <w:r>
              <w:rPr/>
              <w:t>​</w:t>
            </w:r>
          </w:p>
        </w:tc>
        <w:tc>
          <w:tcPr>
            <w:tcW w:w="21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September 30,</w:t>
            </w:r>
          </w:p>
        </w:tc>
      </w:tr>
      <w:tr>
        <w:trPr/>
        <w:tc>
          <w:tcPr>
            <w:tcW w:w="5221" w:type="dxa"/>
            <w:tcBorders/>
            <w:vAlign w:val="center"/>
          </w:tcPr>
          <w:p>
            <w:pPr>
              <w:pStyle w:val="TableContents"/>
              <w:bidi w:val="0"/>
              <w:spacing w:before="0" w:after="0"/>
              <w:ind w:left="0" w:right="0" w:hanging="0"/>
              <w:jc w:val="left"/>
              <w:rPr/>
            </w:pPr>
            <w:r>
              <w:rPr/>
              <w:t>​</w:t>
            </w:r>
          </w:p>
        </w:tc>
        <w:tc>
          <w:tcPr>
            <w:tcW w:w="9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2023</w:t>
            </w:r>
          </w:p>
        </w:tc>
        <w:tc>
          <w:tcPr>
            <w:tcW w:w="392" w:type="dxa"/>
            <w:tcBorders/>
            <w:vAlign w:val="center"/>
          </w:tcPr>
          <w:p>
            <w:pPr>
              <w:pStyle w:val="TableContents"/>
              <w:bidi w:val="0"/>
              <w:spacing w:before="0" w:after="0"/>
              <w:ind w:left="0" w:right="0" w:hanging="0"/>
              <w:jc w:val="left"/>
              <w:rPr/>
            </w:pPr>
            <w:r>
              <w:rPr/>
              <w:t>    </w:t>
            </w:r>
          </w:p>
        </w:tc>
        <w:tc>
          <w:tcPr>
            <w:tcW w:w="9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2024</w:t>
            </w:r>
          </w:p>
        </w:tc>
        <w:tc>
          <w:tcPr>
            <w:tcW w:w="326"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2023</w:t>
            </w:r>
          </w:p>
        </w:tc>
        <w:tc>
          <w:tcPr>
            <w:tcW w:w="326" w:type="dxa"/>
            <w:tcBorders/>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2024</w:t>
            </w:r>
          </w:p>
        </w:tc>
      </w:tr>
      <w:tr>
        <w:trPr/>
        <w:tc>
          <w:tcPr>
            <w:tcW w:w="9866"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5221" w:type="dxa"/>
            <w:tcBorders/>
            <w:vAlign w:val="center"/>
          </w:tcPr>
          <w:p>
            <w:pPr>
              <w:pStyle w:val="TableContents"/>
              <w:bidi w:val="0"/>
              <w:spacing w:before="0" w:after="0"/>
              <w:ind w:left="0" w:right="0" w:hanging="0"/>
              <w:jc w:val="left"/>
              <w:rPr/>
            </w:pPr>
            <w:r>
              <w:rPr/>
              <w:t>​</w:t>
            </w:r>
          </w:p>
        </w:tc>
        <w:tc>
          <w:tcPr>
            <w:tcW w:w="4645" w:type="dxa"/>
            <w:gridSpan w:val="11"/>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Net sales</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40.3</w:t>
            </w:r>
          </w:p>
        </w:tc>
        <w:tc>
          <w:tcPr>
            <w:tcW w:w="392"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33.6</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118.1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107.5</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Cost of sales</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27.7</w:t>
            </w:r>
          </w:p>
        </w:tc>
        <w:tc>
          <w:tcPr>
            <w:tcW w:w="392"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24.1</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82.5</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77.2</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Gross margin</w:t>
            </w:r>
          </w:p>
        </w:tc>
        <w:tc>
          <w:tcPr>
            <w:tcW w:w="272"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12.6</w:t>
            </w:r>
          </w:p>
        </w:tc>
        <w:tc>
          <w:tcPr>
            <w:tcW w:w="392"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9.5</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35.6</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30.3</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Selling, general and administrative expense</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6.0</w:t>
            </w:r>
          </w:p>
        </w:tc>
        <w:tc>
          <w:tcPr>
            <w:tcW w:w="392"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6.2</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17.6</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18.2</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Operating income</w:t>
            </w:r>
          </w:p>
        </w:tc>
        <w:tc>
          <w:tcPr>
            <w:tcW w:w="272"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6.6</w:t>
            </w:r>
          </w:p>
        </w:tc>
        <w:tc>
          <w:tcPr>
            <w:tcW w:w="392"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3.3</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18.0</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12.1</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Interest income</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w:t>
            </w:r>
          </w:p>
        </w:tc>
        <w:tc>
          <w:tcPr>
            <w:tcW w:w="392"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1.3</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3.0</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3.8</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Income before taxes</w:t>
            </w:r>
          </w:p>
        </w:tc>
        <w:tc>
          <w:tcPr>
            <w:tcW w:w="272"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7.7</w:t>
            </w:r>
          </w:p>
        </w:tc>
        <w:tc>
          <w:tcPr>
            <w:tcW w:w="392"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4.6</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21.0</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15.9</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Provision for income taxes</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1.9</w:t>
            </w:r>
          </w:p>
        </w:tc>
        <w:tc>
          <w:tcPr>
            <w:tcW w:w="392"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1.1</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5.1</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3.8</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Net income</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5.8</w:t>
            </w:r>
          </w:p>
        </w:tc>
        <w:tc>
          <w:tcPr>
            <w:tcW w:w="392" w:type="dxa"/>
            <w:tcBorders/>
            <w:shd w:fill="CCEEFF" w:val="clear"/>
            <w:vAlign w:val="center"/>
          </w:tcPr>
          <w:p>
            <w:pPr>
              <w:pStyle w:val="TableContents"/>
              <w:bidi w:val="0"/>
              <w:spacing w:before="0" w:after="0"/>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3.5</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15.9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12.1</w:t>
            </w:r>
          </w:p>
        </w:tc>
      </w:tr>
      <w:tr>
        <w:trPr/>
        <w:tc>
          <w:tcPr>
            <w:tcW w:w="5221"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634" w:type="dxa"/>
            <w:tcBorders/>
            <w:vAlign w:val="center"/>
          </w:tcPr>
          <w:p>
            <w:pPr>
              <w:pStyle w:val="TableContents"/>
              <w:bidi w:val="0"/>
              <w:spacing w:before="0" w:after="0"/>
              <w:ind w:left="0" w:right="0" w:hanging="0"/>
              <w:jc w:val="right"/>
              <w:rPr/>
            </w:pPr>
            <w:r>
              <w:rPr/>
              <w:t>​</w:t>
            </w:r>
          </w:p>
        </w:tc>
        <w:tc>
          <w:tcPr>
            <w:tcW w:w="392"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6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Basic and diluted net income per common share</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.47</w:t>
            </w:r>
          </w:p>
        </w:tc>
        <w:tc>
          <w:tcPr>
            <w:tcW w:w="392" w:type="dxa"/>
            <w:tcBorders/>
            <w:shd w:fill="CCEEFF" w:val="clear"/>
            <w:vAlign w:val="center"/>
          </w:tcPr>
          <w:p>
            <w:pPr>
              <w:pStyle w:val="TableContents"/>
              <w:bidi w:val="0"/>
              <w:spacing w:before="0" w:after="0"/>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.28</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.98</w:t>
            </w:r>
          </w:p>
        </w:tc>
      </w:tr>
      <w:tr>
        <w:trPr/>
        <w:tc>
          <w:tcPr>
            <w:tcW w:w="5221" w:type="dxa"/>
            <w:tcBorders/>
            <w:vAlign w:val="center"/>
          </w:tcPr>
          <w:p>
            <w:pPr>
              <w:pStyle w:val="TableContents"/>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Weighted average diluted common shares outstanding</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12.3</w:t>
            </w:r>
          </w:p>
        </w:tc>
        <w:tc>
          <w:tcPr>
            <w:tcW w:w="392" w:type="dxa"/>
            <w:tcBorders/>
            <w:vAlign w:val="center"/>
          </w:tcPr>
          <w:p>
            <w:pPr>
              <w:pStyle w:val="TableContents"/>
              <w:bidi w:val="0"/>
              <w:spacing w:before="0" w:after="0"/>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12.3</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12.3</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75" w:hanging="0"/>
              <w:jc w:val="right"/>
              <w:rPr>
                <w:rFonts w:ascii="Times New Roman;Times;serif" w:hAnsi="Times New Roman;Times;serif"/>
                <w:b/>
                <w:sz w:val="24"/>
              </w:rPr>
            </w:pPr>
            <w:r>
              <w:rPr>
                <w:rFonts w:ascii="Times New Roman;Times;serif" w:hAnsi="Times New Roman;Times;serif"/>
                <w:b/>
                <w:sz w:val="24"/>
              </w:rPr>
              <w:t>12.3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0"/>
        <w:ind w:left="6750" w:right="0" w:hanging="0"/>
        <w:jc w:val="right"/>
        <w:rPr/>
      </w:pPr>
      <w:bookmarkStart w:id="48" w:name="cix-20241106xex99d2.htm"/>
      <w:bookmarkStart w:id="49" w:name="kscix20241106xex99d2"/>
      <w:bookmarkEnd w:id="48"/>
      <w:bookmarkEnd w:id="49"/>
      <w:r>
        <w:rPr/>
        <w:t>​</w:t>
      </w:r>
      <w:r>
        <w:br w:type="page"/>
      </w:r>
    </w:p>
    <w:p>
      <w:pPr>
        <w:pStyle w:val="TextBody"/>
        <w:bidi w:val="0"/>
        <w:spacing w:before="0" w:after="0"/>
        <w:ind w:left="0" w:right="0" w:hanging="0"/>
        <w:jc w:val="both"/>
        <w:rPr>
          <w:spacing w:val="-2"/>
        </w:rPr>
      </w:pPr>
      <w:r>
        <w:rPr>
          <w:spacing w:val="-2"/>
        </w:rPr>
        <w:t>​</w:t>
      </w:r>
    </w:p>
    <w:tbl>
      <w:tblPr>
        <w:tblW w:w="7606" w:type="dxa"/>
        <w:jc w:val="left"/>
        <w:tblInd w:w="0" w:type="dxa"/>
        <w:tblLayout w:type="fixed"/>
        <w:tblCellMar>
          <w:top w:w="0" w:type="dxa"/>
          <w:left w:w="0" w:type="dxa"/>
          <w:bottom w:w="0" w:type="dxa"/>
          <w:right w:w="0" w:type="dxa"/>
        </w:tblCellMar>
      </w:tblPr>
      <w:tblGrid>
        <w:gridCol w:w="7606"/>
      </w:tblGrid>
      <w:tr>
        <w:trPr/>
        <w:tc>
          <w:tcPr>
            <w:tcW w:w="7606" w:type="dxa"/>
            <w:tcBorders/>
            <w:vAlign w:val="center"/>
          </w:tcPr>
          <w:p>
            <w:pPr>
              <w:pStyle w:val="TableContents"/>
              <w:bidi w:val="0"/>
              <w:spacing w:before="0" w:after="0"/>
              <w:ind w:left="0" w:right="0" w:hanging="0"/>
              <w:jc w:val="both"/>
              <w:rPr/>
            </w:pPr>
            <w:r>
              <w:rPr/>
              <w:t>                                                                                                                            ​</w:t>
            </w:r>
          </w:p>
        </w:tc>
      </w:tr>
      <w:tr>
        <w:trPr/>
        <w:tc>
          <w:tcPr>
            <w:tcW w:w="7606" w:type="dxa"/>
            <w:tcBorders/>
            <w:vAlign w:val="center"/>
          </w:tcPr>
          <w:p>
            <w:pPr>
              <w:pStyle w:val="TableContents"/>
              <w:bidi w:val="0"/>
              <w:spacing w:before="0" w:after="0"/>
              <w:ind w:left="0" w:right="0" w:hanging="0"/>
              <w:jc w:val="both"/>
              <w:rPr/>
            </w:pPr>
            <w:r>
              <w:rPr/>
              <w:t>​</w:t>
            </w:r>
          </w:p>
        </w:tc>
      </w:tr>
      <w:tr>
        <w:trPr/>
        <w:tc>
          <w:tcPr>
            <w:tcW w:w="7606" w:type="dxa"/>
            <w:tcBorders/>
            <w:vAlign w:val="center"/>
          </w:tcPr>
          <w:p>
            <w:pPr>
              <w:pStyle w:val="TableContents"/>
              <w:bidi w:val="0"/>
              <w:spacing w:before="0" w:after="0"/>
              <w:ind w:left="0" w:right="0" w:hanging="0"/>
              <w:jc w:val="center"/>
              <w:rPr/>
            </w:pPr>
            <w:r>
              <w:rPr/>
              <w:drawing>
                <wp:inline distT="0" distB="0" distL="0" distR="0">
                  <wp:extent cx="2713990" cy="904875"/>
                  <wp:effectExtent l="0" t="0" r="0" b="0"/>
                  <wp:docPr id="1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 descr=""/>
                          <pic:cNvPicPr>
                            <a:picLocks noChangeAspect="1" noChangeArrowheads="1"/>
                          </pic:cNvPicPr>
                        </pic:nvPicPr>
                        <pic:blipFill>
                          <a:blip r:embed="rId3"/>
                          <a:stretch>
                            <a:fillRect/>
                          </a:stretch>
                        </pic:blipFill>
                        <pic:spPr bwMode="auto">
                          <a:xfrm>
                            <a:off x="0" y="0"/>
                            <a:ext cx="2713990" cy="904875"/>
                          </a:xfrm>
                          <a:prstGeom prst="rect">
                            <a:avLst/>
                          </a:prstGeom>
                        </pic:spPr>
                      </pic:pic>
                    </a:graphicData>
                  </a:graphic>
                </wp:inline>
              </w:drawing>
            </w:r>
          </w:p>
        </w:tc>
      </w:tr>
    </w:tbl>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center"/>
        <w:rPr>
          <w:rFonts w:ascii="Times New Roman;Times;serif" w:hAnsi="Times New Roman;Times;serif"/>
          <w:b/>
          <w:spacing w:val="-2"/>
          <w:sz w:val="24"/>
        </w:rPr>
      </w:pPr>
      <w:r>
        <w:rPr>
          <w:rFonts w:ascii="Times New Roman;Times;serif" w:hAnsi="Times New Roman;Times;serif"/>
          <w:b/>
          <w:spacing w:val="-2"/>
          <w:sz w:val="24"/>
        </w:rPr>
        <w:t>COMPX DECLARES REGULAR QUARTERLY DIVIDEND</w:t>
      </w:r>
    </w:p>
    <w:p>
      <w:pPr>
        <w:pStyle w:val="TextBody"/>
        <w:bidi w:val="0"/>
        <w:spacing w:before="0" w:after="0"/>
        <w:ind w:left="0" w:right="0" w:hanging="0"/>
        <w:jc w:val="center"/>
        <w:rPr>
          <w:spacing w:val="-2"/>
        </w:rPr>
      </w:pPr>
      <w:r>
        <w:rPr>
          <w:spacing w:val="-2"/>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DALLAS, TEXAS . . . November 6, 2024 . . . CompX International Inc. (NYSE American:  CIX) announced today that its board of directors has declared CompX’s regular quarterly dividend of thirty cents ($0.30) per share on its class A common stock, payable on December 10, 2024 to stockholders of record at the close of business on November 29, 2024.</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CompX is a leading manufacturer of security products and recreational marine components.</w:t>
      </w:r>
    </w:p>
    <w:p>
      <w:pPr>
        <w:pStyle w:val="TextBody"/>
        <w:bidi w:val="0"/>
        <w:spacing w:before="0" w:after="0"/>
        <w:ind w:left="0" w:right="0" w:firstLine="720"/>
        <w:jc w:val="both"/>
        <w:rPr/>
      </w:pPr>
      <w:r>
        <w:rPr/>
        <w:t>​</w:t>
      </w:r>
    </w:p>
    <w:p>
      <w:pPr>
        <w:pStyle w:val="TextBody"/>
        <w:bidi w:val="0"/>
        <w:spacing w:before="0"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 * * *</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Investor Relations Contact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Bryan A. Hanley</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Senior Vice President and Treasurer</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Tel. 972-233-1700</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1753</Words>
  <Characters>9541</Characters>
  <CharactersWithSpaces>11457</CharactersWithSpaces>
  <Paragraphs>446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