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4"/>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Harold C. Simmons Family Trust No. 2</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COMPX INTERNATIONAL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CIX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164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0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14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vMerge w:val="restart"/>
          </w:tcPr>
          <w:p>
            <w:pPr>
              <w:ind w:left="180"/>
              <w:spacing w:after="0"/>
              <w:rPr>
                <w:sz w:val="20"/>
                <w:szCs w:val="20"/>
                <w:color w:val="auto"/>
              </w:rPr>
            </w:pPr>
            <w:r>
              <w:rPr>
                <w:rFonts w:ascii="Arial" w:cs="Arial" w:eastAsia="Arial" w:hAnsi="Arial"/>
                <w:sz w:val="14"/>
                <w:szCs w:val="14"/>
                <w:color w:val="auto"/>
              </w:rPr>
              <w:t>Director</w:t>
            </w:r>
          </w:p>
        </w:tc>
        <w:tc>
          <w:tcPr>
            <w:tcW w:w="1800" w:type="dxa"/>
            <w:vAlign w:val="bottom"/>
            <w:gridSpan w:val="3"/>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1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vMerge w:val="restart"/>
          </w:tcPr>
          <w:p>
            <w:pPr>
              <w:ind w:left="180"/>
              <w:spacing w:after="0"/>
              <w:rPr>
                <w:sz w:val="20"/>
                <w:szCs w:val="20"/>
                <w:color w:val="auto"/>
              </w:rPr>
            </w:pPr>
            <w:r>
              <w:rPr>
                <w:rFonts w:ascii="Arial" w:cs="Arial" w:eastAsia="Arial" w:hAnsi="Arial"/>
                <w:sz w:val="14"/>
                <w:szCs w:val="14"/>
                <w:color w:val="auto"/>
                <w:w w:val="98"/>
              </w:rPr>
              <w:t>Officer (give title</w:t>
            </w:r>
          </w:p>
        </w:tc>
        <w:tc>
          <w:tcPr>
            <w:tcW w:w="1800" w:type="dxa"/>
            <w:vAlign w:val="bottom"/>
            <w:gridSpan w:val="3"/>
            <w:vMerge w:val="restart"/>
          </w:tcPr>
          <w:p>
            <w:pPr>
              <w:ind w:left="6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3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8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(Last)</w:t>
            </w:r>
          </w:p>
        </w:tc>
        <w:tc>
          <w:tcPr>
            <w:tcW w:w="880" w:type="dxa"/>
            <w:vAlign w:val="bottom"/>
          </w:tcPr>
          <w:p>
            <w:pPr>
              <w:ind w:left="180"/>
              <w:spacing w:after="0"/>
              <w:rPr>
                <w:sz w:val="20"/>
                <w:szCs w:val="20"/>
                <w:color w:val="auto"/>
              </w:rPr>
            </w:pPr>
            <w:r>
              <w:rPr>
                <w:rFonts w:ascii="Arial" w:cs="Arial" w:eastAsia="Arial" w:hAnsi="Arial"/>
                <w:sz w:val="14"/>
                <w:szCs w:val="14"/>
                <w:color w:val="auto"/>
              </w:rPr>
              <w:t>(First)</w:t>
            </w:r>
          </w:p>
        </w:tc>
        <w:tc>
          <w:tcPr>
            <w:tcW w:w="1160" w:type="dxa"/>
            <w:vAlign w:val="bottom"/>
          </w:tcPr>
          <w:p>
            <w:pPr>
              <w:ind w:left="560"/>
              <w:spacing w:after="0"/>
              <w:rPr>
                <w:sz w:val="20"/>
                <w:szCs w:val="20"/>
                <w:color w:val="auto"/>
              </w:rPr>
            </w:pPr>
            <w:r>
              <w:rPr>
                <w:rFonts w:ascii="Arial" w:cs="Arial" w:eastAsia="Arial" w:hAnsi="Arial"/>
                <w:sz w:val="14"/>
                <w:szCs w:val="14"/>
                <w:color w:val="auto"/>
              </w:rPr>
              <w:t>(Middle)</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4"/>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Arial" w:cs="Arial" w:eastAsia="Arial" w:hAnsi="Arial"/>
                <w:sz w:val="14"/>
                <w:szCs w:val="14"/>
                <w:color w:val="auto"/>
              </w:rPr>
              <w:t>below)</w:t>
            </w:r>
          </w:p>
        </w:tc>
        <w:tc>
          <w:tcPr>
            <w:tcW w:w="1020" w:type="dxa"/>
            <w:vAlign w:val="bottom"/>
          </w:tcPr>
          <w:p>
            <w:pPr>
              <w:ind w:left="620"/>
              <w:spacing w:after="0"/>
              <w:rPr>
                <w:sz w:val="20"/>
                <w:szCs w:val="20"/>
                <w:color w:val="auto"/>
              </w:rPr>
            </w:pPr>
            <w:r>
              <w:rPr>
                <w:rFonts w:ascii="Arial" w:cs="Arial" w:eastAsia="Arial" w:hAnsi="Arial"/>
                <w:sz w:val="14"/>
                <w:szCs w:val="14"/>
                <w:color w:val="auto"/>
                <w:w w:val="92"/>
              </w:rPr>
              <w:t>below)</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5"/>
            <w:vMerge w:val="restart"/>
          </w:tcPr>
          <w:p>
            <w:pPr>
              <w:spacing w:after="0"/>
              <w:rPr>
                <w:sz w:val="20"/>
                <w:szCs w:val="20"/>
                <w:color w:val="auto"/>
              </w:rPr>
            </w:pPr>
            <w:r>
              <w:rPr>
                <w:rFonts w:ascii="Arial" w:cs="Arial" w:eastAsia="Arial" w:hAnsi="Arial"/>
                <w:sz w:val="18"/>
                <w:szCs w:val="18"/>
                <w:color w:val="0000FF"/>
                <w:w w:val="93"/>
              </w:rPr>
              <w:t>THREE LINCOLN CENTER, 5430 LBJ FREEWAY</w:t>
            </w:r>
          </w:p>
        </w:tc>
        <w:tc>
          <w:tcPr>
            <w:tcW w:w="1620" w:type="dxa"/>
            <w:vAlign w:val="bottom"/>
            <w:gridSpan w:val="4"/>
          </w:tcPr>
          <w:p>
            <w:pPr>
              <w:ind w:left="160"/>
              <w:spacing w:after="0"/>
              <w:rPr>
                <w:sz w:val="20"/>
                <w:szCs w:val="20"/>
                <w:color w:val="auto"/>
              </w:rPr>
            </w:pPr>
            <w:r>
              <w:rPr>
                <w:rFonts w:ascii="Arial" w:cs="Arial" w:eastAsia="Arial" w:hAnsi="Arial"/>
                <w:sz w:val="18"/>
                <w:szCs w:val="18"/>
                <w:color w:val="0000FF"/>
              </w:rPr>
              <w:t>07/17/2018</w:t>
            </w: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restart"/>
          </w:tcPr>
          <w:p>
            <w:pPr>
              <w:spacing w:after="0"/>
              <w:rPr>
                <w:sz w:val="20"/>
                <w:szCs w:val="20"/>
                <w:color w:val="auto"/>
              </w:rPr>
            </w:pPr>
            <w:r>
              <w:rPr>
                <w:rFonts w:ascii="Arial" w:cs="Arial" w:eastAsia="Arial" w:hAnsi="Arial"/>
                <w:sz w:val="18"/>
                <w:szCs w:val="18"/>
                <w:color w:val="0000FF"/>
              </w:rPr>
              <w:t>SUITE 1700</w:t>
            </w:r>
          </w:p>
        </w:tc>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114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1200" w:type="dxa"/>
            <w:vAlign w:val="bottom"/>
            <w:tcBorders>
              <w:bottom w:val="single" w:sz="8" w:color="2C2C2C"/>
            </w:tcBorders>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00" w:type="dxa"/>
            <w:vAlign w:val="bottom"/>
            <w:gridSpan w:val="5"/>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00" w:type="dxa"/>
            <w:vAlign w:val="bottom"/>
          </w:tcPr>
          <w:p>
            <w:pPr>
              <w:spacing w:after="0"/>
              <w:rPr>
                <w:sz w:val="5"/>
                <w:szCs w:val="5"/>
                <w:color w:val="auto"/>
              </w:rPr>
            </w:pPr>
          </w:p>
        </w:tc>
        <w:tc>
          <w:tcPr>
            <w:tcW w:w="3440" w:type="dxa"/>
            <w:vAlign w:val="bottom"/>
            <w:gridSpan w:val="5"/>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00" w:type="dxa"/>
            <w:vAlign w:val="bottom"/>
            <w:gridSpan w:val="5"/>
            <w:vMerge w:val="continue"/>
          </w:tcPr>
          <w:p>
            <w:pPr>
              <w:spacing w:after="0"/>
              <w:rPr>
                <w:sz w:val="13"/>
                <w:szCs w:val="13"/>
                <w:color w:val="auto"/>
              </w:rPr>
            </w:pPr>
          </w:p>
        </w:tc>
        <w:tc>
          <w:tcPr>
            <w:tcW w:w="200" w:type="dxa"/>
            <w:vAlign w:val="bottom"/>
          </w:tcPr>
          <w:p>
            <w:pPr>
              <w:spacing w:after="0"/>
              <w:rPr>
                <w:sz w:val="13"/>
                <w:szCs w:val="13"/>
                <w:color w:val="auto"/>
              </w:rPr>
            </w:pPr>
          </w:p>
        </w:tc>
        <w:tc>
          <w:tcPr>
            <w:tcW w:w="34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ind w:left="80"/>
              <w:spacing w:after="0" w:line="121" w:lineRule="exact"/>
              <w:rPr>
                <w:sz w:val="20"/>
                <w:szCs w:val="20"/>
                <w:color w:val="auto"/>
              </w:rPr>
            </w:pPr>
            <w:r>
              <w:rPr>
                <w:rFonts w:ascii="Arial" w:cs="Arial" w:eastAsia="Arial" w:hAnsi="Arial"/>
                <w:sz w:val="14"/>
                <w:szCs w:val="14"/>
                <w:color w:val="auto"/>
              </w:rPr>
              <w:t>Line)</w:t>
            </w:r>
          </w:p>
        </w:tc>
        <w:tc>
          <w:tcPr>
            <w:tcW w:w="3000" w:type="dxa"/>
            <w:vAlign w:val="bottom"/>
            <w:gridSpan w:val="4"/>
            <w:vMerge w:val="restart"/>
          </w:tcPr>
          <w:p>
            <w:pPr>
              <w:ind w:left="2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DALLAS</w:t>
            </w:r>
          </w:p>
        </w:tc>
        <w:tc>
          <w:tcPr>
            <w:tcW w:w="880" w:type="dxa"/>
            <w:vAlign w:val="bottom"/>
          </w:tcPr>
          <w:p>
            <w:pPr>
              <w:ind w:left="180"/>
              <w:spacing w:after="0"/>
              <w:rPr>
                <w:sz w:val="20"/>
                <w:szCs w:val="20"/>
                <w:color w:val="auto"/>
              </w:rPr>
            </w:pPr>
            <w:r>
              <w:rPr>
                <w:rFonts w:ascii="Arial" w:cs="Arial" w:eastAsia="Arial" w:hAnsi="Arial"/>
                <w:sz w:val="18"/>
                <w:szCs w:val="18"/>
                <w:color w:val="0000FF"/>
              </w:rPr>
              <w:t>TX</w:t>
            </w:r>
          </w:p>
        </w:tc>
        <w:tc>
          <w:tcPr>
            <w:tcW w:w="1160" w:type="dxa"/>
            <w:vAlign w:val="bottom"/>
          </w:tcPr>
          <w:p>
            <w:pPr>
              <w:ind w:left="560"/>
              <w:spacing w:after="0"/>
              <w:rPr>
                <w:sz w:val="20"/>
                <w:szCs w:val="20"/>
                <w:color w:val="auto"/>
              </w:rPr>
            </w:pPr>
            <w:r>
              <w:rPr>
                <w:rFonts w:ascii="Arial" w:cs="Arial" w:eastAsia="Arial" w:hAnsi="Arial"/>
                <w:sz w:val="18"/>
                <w:szCs w:val="18"/>
                <w:color w:val="0000FF"/>
              </w:rPr>
              <w:t>75240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3000" w:type="dxa"/>
            <w:vAlign w:val="bottom"/>
            <w:gridSpan w:val="4"/>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1200" w:type="dxa"/>
            <w:vAlign w:val="bottom"/>
            <w:vMerge w:val="restart"/>
          </w:tcPr>
          <w:p>
            <w:pPr>
              <w:ind w:left="200"/>
              <w:spacing w:after="0"/>
              <w:rPr>
                <w:sz w:val="20"/>
                <w:szCs w:val="20"/>
                <w:color w:val="auto"/>
              </w:rPr>
            </w:pPr>
            <w:r>
              <w:rPr>
                <w:rFonts w:ascii="Arial" w:cs="Arial" w:eastAsia="Arial" w:hAnsi="Arial"/>
                <w:sz w:val="14"/>
                <w:szCs w:val="14"/>
                <w:color w:val="auto"/>
              </w:rPr>
              <w:t>Person</w:t>
            </w:r>
          </w:p>
        </w:tc>
        <w:tc>
          <w:tcPr>
            <w:tcW w:w="10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880" w:type="dxa"/>
            <w:vAlign w:val="bottom"/>
          </w:tcPr>
          <w:p>
            <w:pPr>
              <w:ind w:left="180"/>
              <w:spacing w:after="0"/>
              <w:rPr>
                <w:sz w:val="20"/>
                <w:szCs w:val="20"/>
                <w:color w:val="auto"/>
              </w:rPr>
            </w:pPr>
            <w:r>
              <w:rPr>
                <w:rFonts w:ascii="Arial" w:cs="Arial" w:eastAsia="Arial" w:hAnsi="Arial"/>
                <w:sz w:val="14"/>
                <w:szCs w:val="14"/>
                <w:color w:val="auto"/>
              </w:rPr>
              <w:t>(State)</w:t>
            </w:r>
          </w:p>
        </w:tc>
        <w:tc>
          <w:tcPr>
            <w:tcW w:w="1160" w:type="dxa"/>
            <w:vAlign w:val="bottom"/>
          </w:tcPr>
          <w:p>
            <w:pPr>
              <w:ind w:left="560"/>
              <w:spacing w:after="0"/>
              <w:rPr>
                <w:sz w:val="20"/>
                <w:szCs w:val="20"/>
                <w:color w:val="auto"/>
              </w:rPr>
            </w:pPr>
            <w:r>
              <w:rPr>
                <w:rFonts w:ascii="Arial" w:cs="Arial" w:eastAsia="Arial" w:hAnsi="Arial"/>
                <w:sz w:val="14"/>
                <w:szCs w:val="14"/>
                <w:color w:val="auto"/>
              </w:rPr>
              <w:t>(Zip)</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2"/>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900" w:type="dxa"/>
            <w:vAlign w:val="bottom"/>
            <w:tcBorders>
              <w:bottom w:val="single" w:sz="8" w:color="2C2C2C"/>
            </w:tcBorders>
            <w:gridSpan w:val="6"/>
          </w:tcPr>
          <w:p>
            <w:pPr>
              <w:spacing w:after="0"/>
              <w:rPr>
                <w:sz w:val="11"/>
                <w:szCs w:val="11"/>
                <w:color w:val="auto"/>
              </w:rPr>
            </w:pPr>
          </w:p>
        </w:tc>
        <w:tc>
          <w:tcPr>
            <w:tcW w:w="1640" w:type="dxa"/>
            <w:vAlign w:val="bottom"/>
            <w:tcBorders>
              <w:bottom w:val="single" w:sz="8" w:color="2C2C2C"/>
            </w:tcBorders>
            <w:gridSpan w:val="2"/>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3"/>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10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spacing w:after="0"/>
              <w:rPr>
                <w:sz w:val="15"/>
                <w:szCs w:val="15"/>
                <w:color w:val="auto"/>
              </w:rPr>
            </w:pPr>
          </w:p>
        </w:tc>
        <w:tc>
          <w:tcPr>
            <w:tcW w:w="1140" w:type="dxa"/>
            <w:vAlign w:val="bottom"/>
            <w:gridSpan w:val="5"/>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1020" w:type="dxa"/>
            <w:vAlign w:val="bottom"/>
          </w:tcPr>
          <w:p>
            <w:pPr>
              <w:spacing w:after="0"/>
              <w:rPr>
                <w:sz w:val="6"/>
                <w:szCs w:val="6"/>
                <w:color w:val="auto"/>
              </w:rPr>
            </w:pPr>
          </w:p>
        </w:tc>
        <w:tc>
          <w:tcPr>
            <w:tcW w:w="78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1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gridSpan w:val="4"/>
          </w:tcPr>
          <w:p>
            <w:pPr>
              <w:ind w:left="60"/>
              <w:spacing w:after="0"/>
              <w:rPr>
                <w:sz w:val="20"/>
                <w:szCs w:val="20"/>
                <w:color w:val="auto"/>
              </w:rPr>
            </w:pPr>
            <w:r>
              <w:rPr>
                <w:rFonts w:ascii="Arial" w:cs="Arial" w:eastAsia="Arial" w:hAnsi="Arial"/>
                <w:sz w:val="18"/>
                <w:szCs w:val="18"/>
                <w:color w:val="0000FF"/>
                <w:w w:val="97"/>
              </w:rPr>
              <w:t>Class A Common Stock, par value $0.01</w:t>
            </w:r>
          </w:p>
        </w:tc>
        <w:tc>
          <w:tcPr>
            <w:tcW w:w="114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07/17/2018</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420" w:type="dxa"/>
            <w:vAlign w:val="bottom"/>
            <w:gridSpan w:val="2"/>
            <w:vMerge w:val="restart"/>
          </w:tcPr>
          <w:p>
            <w:pPr>
              <w:ind w:left="60"/>
              <w:spacing w:after="0"/>
              <w:rPr>
                <w:sz w:val="20"/>
                <w:szCs w:val="20"/>
                <w:color w:val="auto"/>
              </w:rPr>
            </w:pPr>
            <w:r>
              <w:rPr>
                <w:rFonts w:ascii="Arial" w:cs="Arial" w:eastAsia="Arial" w:hAnsi="Arial"/>
                <w:sz w:val="18"/>
                <w:szCs w:val="18"/>
                <w:color w:val="0000FF"/>
              </w:rPr>
              <w:t>10,000,000   A</w:t>
            </w:r>
          </w:p>
        </w:tc>
        <w:tc>
          <w:tcPr>
            <w:tcW w:w="640" w:type="dxa"/>
            <w:vAlign w:val="bottom"/>
            <w:gridSpan w:val="2"/>
            <w:vMerge w:val="restart"/>
          </w:tcPr>
          <w:p>
            <w:pPr>
              <w:ind w:left="260"/>
              <w:spacing w:after="0"/>
              <w:rPr>
                <w:sz w:val="20"/>
                <w:szCs w:val="20"/>
                <w:color w:val="auto"/>
              </w:rPr>
            </w:pPr>
            <w:r>
              <w:rPr>
                <w:rFonts w:ascii="Arial" w:cs="Arial" w:eastAsia="Arial" w:hAnsi="Arial"/>
                <w:sz w:val="11"/>
                <w:szCs w:val="11"/>
                <w:color w:val="008000"/>
              </w:rPr>
              <w:t>(1)</w:t>
            </w:r>
          </w:p>
        </w:tc>
        <w:tc>
          <w:tcPr>
            <w:tcW w:w="1200" w:type="dxa"/>
            <w:vAlign w:val="bottom"/>
            <w:vMerge w:val="restart"/>
          </w:tcPr>
          <w:p>
            <w:pPr>
              <w:ind w:left="200"/>
              <w:spacing w:after="0"/>
              <w:rPr>
                <w:sz w:val="20"/>
                <w:szCs w:val="20"/>
                <w:color w:val="auto"/>
              </w:rPr>
            </w:pPr>
            <w:r>
              <w:rPr>
                <w:rFonts w:ascii="Arial" w:cs="Arial" w:eastAsia="Arial" w:hAnsi="Arial"/>
                <w:sz w:val="18"/>
                <w:szCs w:val="18"/>
                <w:color w:val="0000FF"/>
              </w:rPr>
              <w:t>10,755,104</w:t>
            </w:r>
          </w:p>
        </w:tc>
        <w:tc>
          <w:tcPr>
            <w:tcW w:w="102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780" w:type="dxa"/>
            <w:vAlign w:val="bottom"/>
            <w:gridSpan w:val="2"/>
            <w:vMerge w:val="restart"/>
          </w:tcPr>
          <w:p>
            <w:pPr>
              <w:spacing w:after="0"/>
              <w:rPr>
                <w:sz w:val="20"/>
                <w:szCs w:val="20"/>
                <w:color w:val="auto"/>
              </w:rPr>
            </w:pPr>
            <w:r>
              <w:rPr>
                <w:rFonts w:ascii="Arial" w:cs="Arial" w:eastAsia="Arial" w:hAnsi="Arial"/>
                <w:sz w:val="18"/>
                <w:szCs w:val="18"/>
                <w:color w:val="0000FF"/>
              </w:rPr>
              <w:t>By NL</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8"/>
                <w:szCs w:val="18"/>
                <w:color w:val="0000FF"/>
              </w:rPr>
              <w:t>per share</w:t>
            </w: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Class A Common Stock, par value $0.01</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per share</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5"/>
          <w:szCs w:val="15"/>
          <w:color w:val="0000FF"/>
        </w:rPr>
        <w:t>Class A Common Stock, par value $0.01</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20" w:type="dxa"/>
            <w:vAlign w:val="bottom"/>
            <w:vMerge w:val="restart"/>
          </w:tcPr>
          <w:p>
            <w:pPr>
              <w:jc w:val="right"/>
              <w:ind w:right="332"/>
              <w:spacing w:after="0"/>
              <w:rPr>
                <w:sz w:val="20"/>
                <w:szCs w:val="20"/>
                <w:color w:val="auto"/>
              </w:rPr>
            </w:pPr>
            <w:r>
              <w:rPr>
                <w:rFonts w:ascii="Arial" w:cs="Arial" w:eastAsia="Arial" w:hAnsi="Arial"/>
                <w:sz w:val="18"/>
                <w:szCs w:val="18"/>
                <w:color w:val="0000FF"/>
                <w:w w:val="84"/>
              </w:rPr>
              <w:t>5,900</w:t>
            </w:r>
          </w:p>
        </w:tc>
        <w:tc>
          <w:tcPr>
            <w:tcW w:w="74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60" w:type="dxa"/>
            <w:vAlign w:val="bottom"/>
          </w:tcPr>
          <w:p>
            <w:pPr>
              <w:ind w:left="2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960" w:type="dxa"/>
            <w:vAlign w:val="bottom"/>
            <w:vMerge w:val="restart"/>
          </w:tcPr>
          <w:p>
            <w:pPr>
              <w:ind w:left="260"/>
              <w:spacing w:after="0"/>
              <w:rPr>
                <w:sz w:val="20"/>
                <w:szCs w:val="20"/>
                <w:color w:val="auto"/>
              </w:rPr>
            </w:pPr>
            <w:r>
              <w:rPr>
                <w:rFonts w:ascii="Arial" w:cs="Arial" w:eastAsia="Arial" w:hAnsi="Arial"/>
                <w:sz w:val="18"/>
                <w:szCs w:val="18"/>
                <w:color w:val="0000FF"/>
                <w:w w:val="82"/>
              </w:rPr>
              <w:t>Contran</w:t>
            </w:r>
            <w:r>
              <w:rPr>
                <w:rFonts w:ascii="Arial" w:cs="Arial" w:eastAsia="Arial" w:hAnsi="Arial"/>
                <w:sz w:val="22"/>
                <w:szCs w:val="22"/>
                <w:color w:val="008000"/>
                <w:w w:val="82"/>
                <w:vertAlign w:val="superscript"/>
              </w:rPr>
              <w:t>(3)</w:t>
            </w:r>
          </w:p>
        </w:tc>
        <w:tc>
          <w:tcPr>
            <w:tcW w:w="0" w:type="dxa"/>
            <w:vAlign w:val="bottom"/>
          </w:tcPr>
          <w:p>
            <w:pPr>
              <w:spacing w:after="0"/>
              <w:rPr>
                <w:sz w:val="1"/>
                <w:szCs w:val="1"/>
                <w:color w:val="auto"/>
              </w:rPr>
            </w:pPr>
          </w:p>
        </w:tc>
      </w:tr>
      <w:tr>
        <w:trPr>
          <w:trHeight w:val="184"/>
        </w:trPr>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820" w:type="dxa"/>
            <w:vAlign w:val="bottom"/>
            <w:vMerge w:val="restart"/>
          </w:tcPr>
          <w:p>
            <w:pPr>
              <w:jc w:val="right"/>
              <w:ind w:right="332"/>
              <w:spacing w:after="0"/>
              <w:rPr>
                <w:sz w:val="20"/>
                <w:szCs w:val="20"/>
                <w:color w:val="auto"/>
              </w:rPr>
            </w:pPr>
            <w:r>
              <w:rPr>
                <w:rFonts w:ascii="Arial" w:cs="Arial" w:eastAsia="Arial" w:hAnsi="Arial"/>
                <w:sz w:val="18"/>
                <w:szCs w:val="18"/>
                <w:color w:val="0000FF"/>
                <w:w w:val="84"/>
              </w:rPr>
              <w:t>3,000</w:t>
            </w:r>
          </w:p>
        </w:tc>
        <w:tc>
          <w:tcPr>
            <w:tcW w:w="74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60" w:type="dxa"/>
            <w:vAlign w:val="bottom"/>
          </w:tcPr>
          <w:p>
            <w:pPr>
              <w:ind w:left="2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960" w:type="dxa"/>
            <w:vAlign w:val="bottom"/>
            <w:vMerge w:val="restart"/>
          </w:tcPr>
          <w:p>
            <w:pPr>
              <w:ind w:left="260"/>
              <w:spacing w:after="0"/>
              <w:rPr>
                <w:sz w:val="20"/>
                <w:szCs w:val="20"/>
                <w:color w:val="auto"/>
              </w:rPr>
            </w:pPr>
            <w:r>
              <w:rPr>
                <w:rFonts w:ascii="Arial" w:cs="Arial" w:eastAsia="Arial" w:hAnsi="Arial"/>
                <w:sz w:val="18"/>
                <w:szCs w:val="18"/>
                <w:color w:val="0000FF"/>
                <w:w w:val="90"/>
              </w:rPr>
              <w:t>Kronos</w:t>
            </w:r>
            <w:r>
              <w:rPr>
                <w:rFonts w:ascii="Arial" w:cs="Arial" w:eastAsia="Arial" w:hAnsi="Arial"/>
                <w:sz w:val="22"/>
                <w:szCs w:val="22"/>
                <w:color w:val="008000"/>
                <w:w w:val="90"/>
                <w:vertAlign w:val="superscript"/>
              </w:rPr>
              <w:t>(4)</w:t>
            </w:r>
          </w:p>
        </w:tc>
        <w:tc>
          <w:tcPr>
            <w:tcW w:w="0" w:type="dxa"/>
            <w:vAlign w:val="bottom"/>
          </w:tcPr>
          <w:p>
            <w:pPr>
              <w:spacing w:after="0"/>
              <w:rPr>
                <w:sz w:val="1"/>
                <w:szCs w:val="1"/>
                <w:color w:val="auto"/>
              </w:rPr>
            </w:pPr>
          </w:p>
        </w:tc>
      </w:tr>
      <w:tr>
        <w:trPr>
          <w:trHeight w:val="184"/>
        </w:trPr>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8100" w:space="720"/>
            <w:col w:w="2600"/>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268"/>
        </w:trPr>
        <w:tc>
          <w:tcPr>
            <w:tcW w:w="20" w:type="dxa"/>
            <w:vAlign w:val="bottom"/>
          </w:tcPr>
          <w:p>
            <w:pPr>
              <w:spacing w:after="0"/>
              <w:rPr>
                <w:sz w:val="23"/>
                <w:szCs w:val="23"/>
                <w:color w:val="auto"/>
              </w:rPr>
            </w:pPr>
          </w:p>
        </w:tc>
        <w:tc>
          <w:tcPr>
            <w:tcW w:w="3880" w:type="dxa"/>
            <w:vAlign w:val="bottom"/>
            <w:gridSpan w:val="7"/>
          </w:tcPr>
          <w:p>
            <w:pPr>
              <w:ind w:left="60"/>
              <w:spacing w:after="0"/>
              <w:rPr>
                <w:sz w:val="20"/>
                <w:szCs w:val="20"/>
                <w:color w:val="auto"/>
              </w:rPr>
            </w:pPr>
            <w:r>
              <w:rPr>
                <w:rFonts w:ascii="Arial" w:cs="Arial" w:eastAsia="Arial" w:hAnsi="Arial"/>
                <w:sz w:val="18"/>
                <w:szCs w:val="18"/>
                <w:color w:val="0000FF"/>
              </w:rPr>
              <w:t>Class A Common Stock, par value $0.01</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60" w:type="dxa"/>
            <w:vAlign w:val="bottom"/>
            <w:vMerge w:val="restart"/>
          </w:tcPr>
          <w:p>
            <w:pPr>
              <w:ind w:left="20"/>
              <w:spacing w:after="0"/>
              <w:rPr>
                <w:sz w:val="20"/>
                <w:szCs w:val="20"/>
                <w:color w:val="auto"/>
              </w:rPr>
            </w:pPr>
            <w:r>
              <w:rPr>
                <w:rFonts w:ascii="Arial" w:cs="Arial" w:eastAsia="Arial" w:hAnsi="Arial"/>
                <w:sz w:val="18"/>
                <w:szCs w:val="18"/>
                <w:color w:val="0000FF"/>
              </w:rPr>
              <w:t>2,000</w:t>
            </w:r>
          </w:p>
        </w:tc>
        <w:tc>
          <w:tcPr>
            <w:tcW w:w="760" w:type="dxa"/>
            <w:vAlign w:val="bottom"/>
            <w:vMerge w:val="restart"/>
          </w:tcPr>
          <w:p>
            <w:pPr>
              <w:ind w:left="10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(5)</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per share</w:t>
            </w: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28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8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20" w:type="dxa"/>
            <w:vAlign w:val="bottom"/>
            <w:gridSpan w:val="11"/>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40" w:type="dxa"/>
            <w:vAlign w:val="bottom"/>
          </w:tcPr>
          <w:p>
            <w:pPr>
              <w:spacing w:after="0"/>
              <w:rPr>
                <w:sz w:val="11"/>
                <w:szCs w:val="11"/>
                <w:color w:val="auto"/>
              </w:rPr>
            </w:pP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8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6"/>
          </w:tcPr>
          <w:p>
            <w:pPr>
              <w:spacing w:after="0" w:line="224" w:lineRule="exact"/>
              <w:rPr>
                <w:rFonts w:ascii="Arial" w:cs="Arial" w:eastAsia="Arial" w:hAnsi="Arial"/>
                <w:sz w:val="22"/>
                <w:szCs w:val="22"/>
                <w:color w:val="0000EE"/>
                <w:w w:val="99"/>
              </w:rPr>
            </w:pPr>
            <w:hyperlink r:id="rId12">
              <w:r>
                <w:rPr>
                  <w:rFonts w:ascii="Arial" w:cs="Arial" w:eastAsia="Arial" w:hAnsi="Arial"/>
                  <w:sz w:val="22"/>
                  <w:szCs w:val="22"/>
                  <w:color w:val="0000EE"/>
                  <w:w w:val="99"/>
                </w:rPr>
                <w:t>Harold C. Simmons Family Trust No. 2</w:t>
              </w:r>
            </w:hyperlink>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(First)</w:t>
            </w:r>
          </w:p>
        </w:tc>
        <w:tc>
          <w:tcPr>
            <w:tcW w:w="1160" w:type="dxa"/>
            <w:vAlign w:val="bottom"/>
            <w:gridSpan w:val="3"/>
          </w:tcPr>
          <w:p>
            <w:pPr>
              <w:ind w:left="30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6"/>
          </w:tcPr>
          <w:p>
            <w:pPr>
              <w:spacing w:after="0"/>
              <w:rPr>
                <w:sz w:val="20"/>
                <w:szCs w:val="20"/>
                <w:color w:val="auto"/>
              </w:rPr>
            </w:pPr>
            <w:r>
              <w:rPr>
                <w:rFonts w:ascii="Arial" w:cs="Arial" w:eastAsia="Arial" w:hAnsi="Arial"/>
                <w:sz w:val="18"/>
                <w:szCs w:val="18"/>
                <w:color w:val="0000FF"/>
                <w:w w:val="93"/>
              </w:rPr>
              <w:t>THREE LINCOLN CENTER, 5430 LBJ FREEWAY</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0000FF"/>
              </w:rPr>
              <w:t>SUITE 1700</w:t>
            </w:r>
          </w:p>
        </w:tc>
        <w:tc>
          <w:tcPr>
            <w:tcW w:w="1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rPr>
              <w:t>DALLAS</w:t>
            </w:r>
          </w:p>
        </w:tc>
        <w:tc>
          <w:tcPr>
            <w:tcW w:w="7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TX</w:t>
            </w:r>
          </w:p>
        </w:tc>
        <w:tc>
          <w:tcPr>
            <w:tcW w:w="820" w:type="dxa"/>
            <w:vAlign w:val="bottom"/>
          </w:tcPr>
          <w:p>
            <w:pPr>
              <w:ind w:left="300"/>
              <w:spacing w:after="0"/>
              <w:rPr>
                <w:sz w:val="20"/>
                <w:szCs w:val="20"/>
                <w:color w:val="auto"/>
              </w:rPr>
            </w:pPr>
            <w:r>
              <w:rPr>
                <w:rFonts w:ascii="Arial" w:cs="Arial" w:eastAsia="Arial" w:hAnsi="Arial"/>
                <w:sz w:val="18"/>
                <w:szCs w:val="18"/>
                <w:color w:val="0000FF"/>
                <w:w w:val="99"/>
              </w:rPr>
              <w:t>75240</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7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(State)</w:t>
            </w:r>
          </w:p>
        </w:tc>
        <w:tc>
          <w:tcPr>
            <w:tcW w:w="1160" w:type="dxa"/>
            <w:vAlign w:val="bottom"/>
            <w:gridSpan w:val="3"/>
          </w:tcPr>
          <w:p>
            <w:pPr>
              <w:ind w:left="30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0000EE"/>
            </w:tcBorders>
            <w:gridSpan w:val="2"/>
          </w:tcPr>
          <w:p>
            <w:pPr>
              <w:spacing w:after="0" w:line="224" w:lineRule="exact"/>
              <w:rPr>
                <w:rFonts w:ascii="Arial" w:cs="Arial" w:eastAsia="Arial" w:hAnsi="Arial"/>
                <w:sz w:val="22"/>
                <w:szCs w:val="22"/>
                <w:color w:val="0000EE"/>
                <w:w w:val="90"/>
              </w:rPr>
            </w:pPr>
            <w:hyperlink r:id="rId14">
              <w:r>
                <w:rPr>
                  <w:rFonts w:ascii="Arial" w:cs="Arial" w:eastAsia="Arial" w:hAnsi="Arial"/>
                  <w:sz w:val="22"/>
                  <w:szCs w:val="22"/>
                  <w:color w:val="0000EE"/>
                  <w:w w:val="90"/>
                </w:rPr>
                <w:t>Simmons Lisa K</w:t>
              </w:r>
            </w:hyperlink>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(First)</w:t>
            </w:r>
          </w:p>
        </w:tc>
        <w:tc>
          <w:tcPr>
            <w:tcW w:w="1160" w:type="dxa"/>
            <w:vAlign w:val="bottom"/>
            <w:gridSpan w:val="3"/>
          </w:tcPr>
          <w:p>
            <w:pPr>
              <w:ind w:left="30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THREE LINCOLN CENTER, 5430 LBJ FREEWAY</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1700</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DALLAS</w:t>
      </w:r>
      <w:r>
        <w:rPr>
          <w:sz w:val="20"/>
          <w:szCs w:val="20"/>
          <w:color w:val="auto"/>
        </w:rPr>
        <w:tab/>
      </w:r>
      <w:r>
        <w:rPr>
          <w:rFonts w:ascii="Arial" w:cs="Arial" w:eastAsia="Arial" w:hAnsi="Arial"/>
          <w:sz w:val="18"/>
          <w:szCs w:val="18"/>
          <w:color w:val="0000FF"/>
        </w:rPr>
        <w:t>TX</w:t>
      </w:r>
      <w:r>
        <w:rPr>
          <w:sz w:val="20"/>
          <w:szCs w:val="20"/>
          <w:color w:val="auto"/>
        </w:rPr>
        <w:tab/>
      </w:r>
      <w:r>
        <w:rPr>
          <w:rFonts w:ascii="Arial" w:cs="Arial" w:eastAsia="Arial" w:hAnsi="Arial"/>
          <w:sz w:val="15"/>
          <w:szCs w:val="15"/>
          <w:color w:val="0000FF"/>
        </w:rPr>
        <w:t>75240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tcPr>
          <w:p>
            <w:pPr>
              <w:ind w:left="5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CONNELLY SERENA S</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2"/>
          </w:tcPr>
          <w:p>
            <w:pPr>
              <w:ind w:left="5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777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377761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0000FF"/>
        </w:rPr>
        <w:t>THREE LINCOLN CENTER, 5430 LBJ FREEWAY</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SUITE 1700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DALLAS</w:t>
            </w:r>
          </w:p>
        </w:tc>
        <w:tc>
          <w:tcPr>
            <w:tcW w:w="1660" w:type="dxa"/>
            <w:vAlign w:val="bottom"/>
            <w:gridSpan w:val="2"/>
          </w:tcPr>
          <w:p>
            <w:pPr>
              <w:ind w:left="380"/>
              <w:spacing w:after="0"/>
              <w:rPr>
                <w:sz w:val="20"/>
                <w:szCs w:val="20"/>
                <w:color w:val="auto"/>
              </w:rPr>
            </w:pPr>
            <w:r>
              <w:rPr>
                <w:rFonts w:ascii="Arial" w:cs="Arial" w:eastAsia="Arial" w:hAnsi="Arial"/>
                <w:sz w:val="18"/>
                <w:szCs w:val="18"/>
                <w:color w:val="0000FF"/>
              </w:rPr>
              <w:t>TX</w:t>
            </w:r>
          </w:p>
        </w:tc>
        <w:tc>
          <w:tcPr>
            <w:tcW w:w="1600" w:type="dxa"/>
            <w:vAlign w:val="bottom"/>
          </w:tcPr>
          <w:p>
            <w:pPr>
              <w:ind w:left="180"/>
              <w:spacing w:after="0"/>
              <w:rPr>
                <w:sz w:val="20"/>
                <w:szCs w:val="20"/>
                <w:color w:val="auto"/>
              </w:rPr>
            </w:pPr>
            <w:r>
              <w:rPr>
                <w:rFonts w:ascii="Arial" w:cs="Arial" w:eastAsia="Arial" w:hAnsi="Arial"/>
                <w:sz w:val="18"/>
                <w:szCs w:val="18"/>
                <w:color w:val="0000FF"/>
              </w:rPr>
              <w:t>75240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gridSpan w:val="2"/>
          </w:tcPr>
          <w:p>
            <w:pPr>
              <w:ind w:left="3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NL INDUSTRIES INC</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gridSpan w:val="2"/>
          </w:tcPr>
          <w:p>
            <w:pPr>
              <w:ind w:left="3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w w:val="97"/>
              </w:rPr>
              <w:t>5430 LBJ FREEWAY, SUITE 1700</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DALLAS</w:t>
            </w:r>
          </w:p>
        </w:tc>
        <w:tc>
          <w:tcPr>
            <w:tcW w:w="1660" w:type="dxa"/>
            <w:vAlign w:val="bottom"/>
            <w:gridSpan w:val="2"/>
          </w:tcPr>
          <w:p>
            <w:pPr>
              <w:ind w:left="380"/>
              <w:spacing w:after="0"/>
              <w:rPr>
                <w:sz w:val="20"/>
                <w:szCs w:val="20"/>
                <w:color w:val="auto"/>
              </w:rPr>
            </w:pPr>
            <w:r>
              <w:rPr>
                <w:rFonts w:ascii="Arial" w:cs="Arial" w:eastAsia="Arial" w:hAnsi="Arial"/>
                <w:sz w:val="18"/>
                <w:szCs w:val="18"/>
                <w:color w:val="0000FF"/>
              </w:rPr>
              <w:t>TX</w:t>
            </w:r>
          </w:p>
        </w:tc>
        <w:tc>
          <w:tcPr>
            <w:tcW w:w="1600" w:type="dxa"/>
            <w:vAlign w:val="bottom"/>
          </w:tcPr>
          <w:p>
            <w:pPr>
              <w:ind w:left="180"/>
              <w:spacing w:after="0"/>
              <w:rPr>
                <w:sz w:val="20"/>
                <w:szCs w:val="20"/>
                <w:color w:val="auto"/>
              </w:rPr>
            </w:pPr>
            <w:r>
              <w:rPr>
                <w:rFonts w:ascii="Arial" w:cs="Arial" w:eastAsia="Arial" w:hAnsi="Arial"/>
                <w:sz w:val="18"/>
                <w:szCs w:val="18"/>
                <w:color w:val="0000FF"/>
              </w:rPr>
              <w:t>75240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gridSpan w:val="2"/>
          </w:tcPr>
          <w:p>
            <w:pPr>
              <w:ind w:left="3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July 17, 2018, NL Industries, Inc. ("NL") converted all its 10,000,000 shares of class B common stock, par value $0.01 per share (the "Class B Shares") of CompX International Inc. ("CompX") into 10,000,000 shares of class A common stock, par value $0.01 per share, of CompX, for no additional consideration, pursuant to the terms of the Second Amended and Restated Certificate of Incorporation of CompX.</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Directly held by NL. See Exhibit 99.1 to this statement for a description of the relationship of additional persons who may be deemed to beneficially own these shares.</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Directly held by Contran Corporation. See Exhibit 99.1 to this statement for a description of the relationship of additional persons who may be deemed to beneficially own these shares.</w:t>
      </w:r>
    </w:p>
    <w:p>
      <w:pPr>
        <w:spacing w:after="0" w:line="64" w:lineRule="exact"/>
        <w:rPr>
          <w:rFonts w:ascii="Arial" w:cs="Arial" w:eastAsia="Arial" w:hAnsi="Arial"/>
          <w:sz w:val="12"/>
          <w:szCs w:val="12"/>
          <w:color w:val="008000"/>
        </w:rPr>
      </w:pPr>
    </w:p>
    <w:p>
      <w:pPr>
        <w:ind w:left="160" w:hanging="131"/>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Directly held by Kronos Worldwide, Inc. See Exhibit 99.1 to this statement for a description of the relationship of additional persons who may be deemed to beneficially own these shares.</w:t>
      </w:r>
    </w:p>
    <w:p>
      <w:pPr>
        <w:spacing w:after="0" w:line="64" w:lineRule="exact"/>
        <w:rPr>
          <w:rFonts w:ascii="Arial" w:cs="Arial" w:eastAsia="Arial" w:hAnsi="Arial"/>
          <w:sz w:val="12"/>
          <w:szCs w:val="12"/>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Directly held by Serena Simmons Connelly.</w:t>
      </w:r>
    </w:p>
    <w:p>
      <w:pPr>
        <w:sectPr>
          <w:pgSz w:w="11900" w:h="16838" w:orient="portrait"/>
          <w:cols w:equalWidth="0" w:num="1">
            <w:col w:w="11140"/>
          </w:cols>
          <w:pgMar w:left="260" w:top="314" w:right="49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Andrew B. Nace,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58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fact, for Lisa K.Simmons,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31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5318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Trustee of the Harold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26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826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Simmons Family Trust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998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99845" cy="8890"/>
                    </a:xfrm>
                    <a:prstGeom prst="rect">
                      <a:avLst/>
                    </a:prstGeom>
                    <a:noFill/>
                  </pic:spPr>
                </pic:pic>
              </a:graphicData>
            </a:graphic>
          </wp:anchor>
        </w:drawing>
      </w:r>
    </w:p>
    <w:p>
      <w:pPr>
        <w:spacing w:after="0" w:line="60"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Andrew B. Nace,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58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fact, for Serena S. Connelly,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592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5920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Co-Trustee of the Harold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496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496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Simmons Family Trust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998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99845" cy="8890"/>
                    </a:xfrm>
                    <a:prstGeom prst="rect">
                      <a:avLst/>
                    </a:prstGeom>
                    <a:noFill/>
                  </pic:spPr>
                </pic:pic>
              </a:graphicData>
            </a:graphic>
          </wp:anchor>
        </w:drawing>
      </w:r>
    </w:p>
    <w:p>
      <w:pPr>
        <w:spacing w:after="0" w:line="60"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Andrew B. Nace,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47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Vice President of NL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436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6654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6654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color w:val="0000FF"/>
        </w:rPr>
        <w:t>07/18/2018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07/18/2018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07/18/2018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2">
            <w:col w:w="8980" w:space="160"/>
            <w:col w:w="2000"/>
          </w:cols>
          <w:pgMar w:left="260" w:top="314" w:right="499" w:bottom="144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32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140"/>
          </w:cols>
          <w:pgMar w:left="260" w:top="314" w:right="499"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579" w:firstLine="632"/>
        <w:spacing w:after="0" w:line="475" w:lineRule="auto"/>
        <w:rPr>
          <w:sz w:val="20"/>
          <w:szCs w:val="20"/>
          <w:color w:val="auto"/>
        </w:rPr>
      </w:pPr>
      <w:r>
        <w:rPr>
          <w:rFonts w:ascii="Courier New" w:cs="Courier New" w:eastAsia="Courier New" w:hAnsi="Courier New"/>
          <w:sz w:val="18"/>
          <w:szCs w:val="18"/>
          <w:color w:val="auto"/>
        </w:rPr>
        <w:t>The following is a description of the relationships among the Reporting Persons and certain related entities or persons that may be deemed to beneficially own shares of the class A common stock, par value $0.01 per share (the "Class A Shares") of CompX, the issuer.</w:t>
      </w:r>
    </w:p>
    <w:p>
      <w:pPr>
        <w:spacing w:after="0" w:line="200" w:lineRule="exact"/>
        <w:rPr>
          <w:sz w:val="20"/>
          <w:szCs w:val="20"/>
          <w:color w:val="auto"/>
        </w:rPr>
      </w:pPr>
    </w:p>
    <w:p>
      <w:pPr>
        <w:spacing w:after="0" w:line="213" w:lineRule="exact"/>
        <w:rPr>
          <w:sz w:val="20"/>
          <w:szCs w:val="20"/>
          <w:color w:val="auto"/>
        </w:rPr>
      </w:pPr>
    </w:p>
    <w:p>
      <w:pPr>
        <w:jc w:val="both"/>
        <w:ind w:right="3479" w:firstLine="632"/>
        <w:spacing w:after="0" w:line="536" w:lineRule="auto"/>
        <w:rPr>
          <w:sz w:val="20"/>
          <w:szCs w:val="20"/>
          <w:color w:val="auto"/>
        </w:rPr>
      </w:pPr>
      <w:r>
        <w:rPr>
          <w:rFonts w:ascii="Courier New" w:cs="Courier New" w:eastAsia="Courier New" w:hAnsi="Courier New"/>
          <w:sz w:val="16"/>
          <w:szCs w:val="16"/>
          <w:color w:val="auto"/>
        </w:rPr>
        <w:t>All of the outstanding voting stock of Contran Corporation ("Contran") is held by the Harold C. Simmons Family Trust No. 2 (the "Family Trust") established for the benefit of Lisa K.</w:t>
      </w:r>
    </w:p>
    <w:p>
      <w:pPr>
        <w:spacing w:after="0" w:line="1" w:lineRule="exact"/>
        <w:rPr>
          <w:sz w:val="20"/>
          <w:szCs w:val="20"/>
          <w:color w:val="auto"/>
        </w:rPr>
      </w:pPr>
    </w:p>
    <w:p>
      <w:pPr>
        <w:ind w:right="3579"/>
        <w:spacing w:after="0" w:line="474" w:lineRule="auto"/>
        <w:rPr>
          <w:sz w:val="20"/>
          <w:szCs w:val="20"/>
          <w:color w:val="auto"/>
        </w:rPr>
      </w:pPr>
      <w:r>
        <w:rPr>
          <w:rFonts w:ascii="Courier New" w:cs="Courier New" w:eastAsia="Courier New" w:hAnsi="Courier New"/>
          <w:sz w:val="18"/>
          <w:szCs w:val="18"/>
          <w:color w:val="auto"/>
        </w:rPr>
        <w:t>Simmons and Serena Simmons Connelly and their children, for which Ms. Simmons and Ms. Connelly are co-trustees, or is held directly by Ms. Simmons and Ms. Connelly or entities related to them. Ms. Simmons and Ms. Connelly are sisters.</w:t>
      </w:r>
    </w:p>
    <w:p>
      <w:pPr>
        <w:spacing w:after="0" w:line="200" w:lineRule="exact"/>
        <w:rPr>
          <w:sz w:val="20"/>
          <w:szCs w:val="20"/>
          <w:color w:val="auto"/>
        </w:rPr>
      </w:pPr>
    </w:p>
    <w:p>
      <w:pPr>
        <w:spacing w:after="0" w:line="215" w:lineRule="exact"/>
        <w:rPr>
          <w:sz w:val="20"/>
          <w:szCs w:val="20"/>
          <w:color w:val="auto"/>
        </w:rPr>
      </w:pPr>
    </w:p>
    <w:p>
      <w:pPr>
        <w:ind w:right="3359" w:firstLine="632"/>
        <w:spacing w:after="0" w:line="536" w:lineRule="auto"/>
        <w:rPr>
          <w:sz w:val="20"/>
          <w:szCs w:val="20"/>
          <w:color w:val="auto"/>
        </w:rPr>
      </w:pPr>
      <w:r>
        <w:rPr>
          <w:rFonts w:ascii="Courier New" w:cs="Courier New" w:eastAsia="Courier New" w:hAnsi="Courier New"/>
          <w:sz w:val="16"/>
          <w:szCs w:val="16"/>
          <w:color w:val="auto"/>
        </w:rPr>
        <w:t>Ms. Simmons and Ms. Connelly also serve as co-chairs of the Contran board of directors (the "Contran Board"), and one other member of Contran management also serves on the Contran Board. As co-trustees of the Family Trust, Ms. Simmons and Ms. Connelly have the shared power to vote and direct the disposition of the shares of Contran stock held by the Family Trust, and Ms.</w:t>
      </w:r>
    </w:p>
    <w:p>
      <w:pPr>
        <w:spacing w:after="0" w:line="2" w:lineRule="exact"/>
        <w:rPr>
          <w:sz w:val="20"/>
          <w:szCs w:val="20"/>
          <w:color w:val="auto"/>
        </w:rPr>
      </w:pPr>
    </w:p>
    <w:p>
      <w:pPr>
        <w:ind w:right="3479"/>
        <w:spacing w:after="0" w:line="473" w:lineRule="auto"/>
        <w:rPr>
          <w:sz w:val="20"/>
          <w:szCs w:val="20"/>
          <w:color w:val="auto"/>
        </w:rPr>
      </w:pPr>
      <w:r>
        <w:rPr>
          <w:rFonts w:ascii="Courier New" w:cs="Courier New" w:eastAsia="Courier New" w:hAnsi="Courier New"/>
          <w:sz w:val="18"/>
          <w:szCs w:val="18"/>
          <w:color w:val="auto"/>
        </w:rPr>
        <w:t>Simmons and Ms. Connelly each has the power to vote and direct the disposition of shares of Contran stock they hold directly or which is held by other entities related to them.</w:t>
      </w:r>
    </w:p>
    <w:p>
      <w:pPr>
        <w:spacing w:after="0" w:line="200" w:lineRule="exact"/>
        <w:rPr>
          <w:sz w:val="20"/>
          <w:szCs w:val="20"/>
          <w:color w:val="auto"/>
        </w:rPr>
      </w:pPr>
    </w:p>
    <w:p>
      <w:pPr>
        <w:spacing w:after="0" w:line="215" w:lineRule="exact"/>
        <w:rPr>
          <w:sz w:val="20"/>
          <w:szCs w:val="20"/>
          <w:color w:val="auto"/>
        </w:rPr>
      </w:pPr>
    </w:p>
    <w:p>
      <w:pPr>
        <w:ind w:right="3479" w:firstLine="632"/>
        <w:spacing w:after="0" w:line="475" w:lineRule="auto"/>
        <w:rPr>
          <w:sz w:val="20"/>
          <w:szCs w:val="20"/>
          <w:color w:val="auto"/>
        </w:rPr>
      </w:pPr>
      <w:r>
        <w:rPr>
          <w:rFonts w:ascii="Courier New" w:cs="Courier New" w:eastAsia="Courier New" w:hAnsi="Courier New"/>
          <w:sz w:val="18"/>
          <w:szCs w:val="18"/>
          <w:color w:val="auto"/>
        </w:rPr>
        <w:t>Contran is the holder of 100% of the outstanding common stock of Dixie Rice Agricultural L.L.C.("Dixie Rice")and may be deemed to control Dixie Rice. Dixie Rice is the direct holder of 100% of the outstanding common stock of Valhi Holding company ("VHC") and may be deemed to control VHC.</w:t>
      </w:r>
    </w:p>
    <w:p>
      <w:pPr>
        <w:spacing w:after="0" w:line="200" w:lineRule="exact"/>
        <w:rPr>
          <w:sz w:val="20"/>
          <w:szCs w:val="20"/>
          <w:color w:val="auto"/>
        </w:rPr>
      </w:pPr>
    </w:p>
    <w:p>
      <w:pPr>
        <w:spacing w:after="0" w:line="213" w:lineRule="exact"/>
        <w:rPr>
          <w:sz w:val="20"/>
          <w:szCs w:val="20"/>
          <w:color w:val="auto"/>
        </w:rPr>
      </w:pPr>
    </w:p>
    <w:p>
      <w:pPr>
        <w:ind w:right="3479" w:firstLine="632"/>
        <w:spacing w:after="0" w:line="547" w:lineRule="auto"/>
        <w:rPr>
          <w:sz w:val="20"/>
          <w:szCs w:val="20"/>
          <w:color w:val="auto"/>
        </w:rPr>
      </w:pPr>
      <w:r>
        <w:rPr>
          <w:rFonts w:ascii="Courier New" w:cs="Courier New" w:eastAsia="Courier New" w:hAnsi="Courier New"/>
          <w:sz w:val="16"/>
          <w:szCs w:val="16"/>
          <w:color w:val="auto"/>
        </w:rPr>
        <w:t>Ms. Simmons and Ms. Connelly directly hold, or are related to the following persons or entities that directly hold, the following percentages of the outstanding Class A Shares: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gridSpan w:val="2"/>
          </w:tcPr>
          <w:p>
            <w:pPr>
              <w:spacing w:after="0"/>
              <w:rPr>
                <w:sz w:val="20"/>
                <w:szCs w:val="20"/>
                <w:color w:val="auto"/>
              </w:rPr>
            </w:pPr>
            <w:r>
              <w:rPr>
                <w:rFonts w:ascii="Courier New" w:cs="Courier New" w:eastAsia="Courier New" w:hAnsi="Courier New"/>
                <w:sz w:val="18"/>
                <w:szCs w:val="18"/>
                <w:color w:val="auto"/>
                <w:w w:val="92"/>
              </w:rPr>
              <w:t>NL....................................................</w:t>
            </w: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86.6%</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w w:val="97"/>
              </w:rPr>
              <w:t>Contran........................................</w:t>
            </w:r>
          </w:p>
        </w:tc>
        <w:tc>
          <w:tcPr>
            <w:tcW w:w="1260" w:type="dxa"/>
            <w:vAlign w:val="bottom"/>
            <w:gridSpan w:val="3"/>
          </w:tcPr>
          <w:p>
            <w:pPr>
              <w:spacing w:after="0"/>
              <w:rPr>
                <w:sz w:val="20"/>
                <w:szCs w:val="20"/>
                <w:color w:val="auto"/>
              </w:rPr>
            </w:pPr>
            <w:r>
              <w:rPr>
                <w:rFonts w:ascii="Courier New" w:cs="Courier New" w:eastAsia="Courier New" w:hAnsi="Courier New"/>
                <w:sz w:val="18"/>
                <w:szCs w:val="18"/>
                <w:color w:val="auto"/>
                <w:w w:val="95"/>
              </w:rPr>
              <w:t>Less than 1%</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w w:val="99"/>
              </w:rPr>
              <w:t>Kronos Worldwide, Inc. ("Kronos Worldwide")...</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Less</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than</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w w:val="97"/>
              </w:rPr>
              <w:t>Serena Simmons Connelly........................</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Less</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than</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bl>
    <w:p>
      <w:pPr>
        <w:sectPr>
          <w:pgSz w:w="11900" w:h="16838" w:orient="portrait"/>
          <w:cols w:equalWidth="0" w:num="1">
            <w:col w:w="10219"/>
          </w:cols>
          <w:pgMar w:left="240" w:top="136" w:right="1440" w:bottom="132" w:gutter="0" w:footer="0" w:header="0"/>
        </w:sectPr>
      </w:pPr>
    </w:p>
    <w:bookmarkStart w:id="3" w:name="page4"/>
    <w:bookmarkEnd w:id="3"/>
    <w:p>
      <w:pPr>
        <w:ind w:right="4739"/>
        <w:spacing w:after="0" w:line="470" w:lineRule="auto"/>
        <w:rPr>
          <w:sz w:val="20"/>
          <w:szCs w:val="20"/>
          <w:color w:val="auto"/>
        </w:rPr>
      </w:pPr>
      <w:r>
        <w:rPr>
          <w:rFonts w:ascii="Courier New" w:cs="Courier New" w:eastAsia="Courier New" w:hAnsi="Courier New"/>
          <w:sz w:val="18"/>
          <w:szCs w:val="18"/>
          <w:color w:val="auto"/>
        </w:rPr>
        <w:t>There are no shares of class B common stock of CompX outstanding.</w:t>
      </w:r>
    </w:p>
    <w:p>
      <w:pPr>
        <w:spacing w:after="0" w:line="200" w:lineRule="exact"/>
        <w:rPr>
          <w:sz w:val="20"/>
          <w:szCs w:val="20"/>
          <w:color w:val="auto"/>
        </w:rPr>
      </w:pPr>
    </w:p>
    <w:p>
      <w:pPr>
        <w:spacing w:after="0" w:line="217" w:lineRule="exact"/>
        <w:rPr>
          <w:sz w:val="20"/>
          <w:szCs w:val="20"/>
          <w:color w:val="auto"/>
        </w:rPr>
      </w:pPr>
    </w:p>
    <w:p>
      <w:pPr>
        <w:ind w:right="3479" w:firstLine="632"/>
        <w:spacing w:after="0" w:line="474" w:lineRule="auto"/>
        <w:rPr>
          <w:sz w:val="20"/>
          <w:szCs w:val="20"/>
          <w:color w:val="auto"/>
        </w:rPr>
      </w:pPr>
      <w:r>
        <w:rPr>
          <w:rFonts w:ascii="Courier New" w:cs="Courier New" w:eastAsia="Courier New" w:hAnsi="Courier New"/>
          <w:sz w:val="18"/>
          <w:szCs w:val="18"/>
          <w:color w:val="auto"/>
        </w:rPr>
        <w:t>Ms. Simmons and Ms. Connelly directly hold, or are related to the following persons or entities that directly hold, the following percentages of the outstanding shares of NL common stock:</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w w:val="82"/>
              </w:rPr>
              <w:t>Valhi, Inc. ("Valhi")................................</w:t>
            </w: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82.9%</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Kronos</w:t>
            </w:r>
          </w:p>
        </w:tc>
        <w:tc>
          <w:tcPr>
            <w:tcW w:w="4040" w:type="dxa"/>
            <w:vAlign w:val="bottom"/>
          </w:tcPr>
          <w:p>
            <w:pPr>
              <w:ind w:left="40"/>
              <w:spacing w:after="0"/>
              <w:rPr>
                <w:sz w:val="20"/>
                <w:szCs w:val="20"/>
                <w:color w:val="auto"/>
              </w:rPr>
            </w:pPr>
            <w:r>
              <w:rPr>
                <w:rFonts w:ascii="Courier New" w:cs="Courier New" w:eastAsia="Courier New" w:hAnsi="Courier New"/>
                <w:sz w:val="18"/>
                <w:szCs w:val="18"/>
                <w:color w:val="auto"/>
                <w:w w:val="96"/>
              </w:rPr>
              <w:t>Worldwide.............................</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Less than</w:t>
            </w:r>
          </w:p>
        </w:tc>
        <w:tc>
          <w:tcPr>
            <w:tcW w:w="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Serena</w:t>
            </w:r>
          </w:p>
        </w:tc>
        <w:tc>
          <w:tcPr>
            <w:tcW w:w="4040" w:type="dxa"/>
            <w:vAlign w:val="bottom"/>
          </w:tcPr>
          <w:p>
            <w:pPr>
              <w:ind w:left="40"/>
              <w:spacing w:after="0"/>
              <w:rPr>
                <w:sz w:val="20"/>
                <w:szCs w:val="20"/>
                <w:color w:val="auto"/>
              </w:rPr>
            </w:pPr>
            <w:r>
              <w:rPr>
                <w:rFonts w:ascii="Courier New" w:cs="Courier New" w:eastAsia="Courier New" w:hAnsi="Courier New"/>
                <w:sz w:val="18"/>
                <w:szCs w:val="18"/>
                <w:color w:val="auto"/>
                <w:w w:val="96"/>
              </w:rPr>
              <w:t>Simmons Connelly......................</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Less than</w:t>
            </w:r>
          </w:p>
        </w:tc>
        <w:tc>
          <w:tcPr>
            <w:tcW w:w="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779"/>
        <w:spacing w:after="0" w:line="470" w:lineRule="auto"/>
        <w:rPr>
          <w:sz w:val="20"/>
          <w:szCs w:val="20"/>
          <w:color w:val="auto"/>
        </w:rPr>
      </w:pPr>
      <w:r>
        <w:rPr>
          <w:rFonts w:ascii="Courier New" w:cs="Courier New" w:eastAsia="Courier New" w:hAnsi="Courier New"/>
          <w:sz w:val="18"/>
          <w:szCs w:val="18"/>
          <w:color w:val="auto"/>
        </w:rPr>
        <w:t>Together, Valhi and Kronos Worldwide may be deemed to control NL.</w:t>
      </w:r>
    </w:p>
    <w:p>
      <w:pPr>
        <w:spacing w:after="0" w:line="200" w:lineRule="exact"/>
        <w:rPr>
          <w:sz w:val="20"/>
          <w:szCs w:val="20"/>
          <w:color w:val="auto"/>
        </w:rPr>
      </w:pPr>
    </w:p>
    <w:p>
      <w:pPr>
        <w:spacing w:after="0" w:line="217" w:lineRule="exact"/>
        <w:rPr>
          <w:sz w:val="20"/>
          <w:szCs w:val="20"/>
          <w:color w:val="auto"/>
        </w:rPr>
      </w:pPr>
    </w:p>
    <w:p>
      <w:pPr>
        <w:ind w:right="3479" w:firstLine="632"/>
        <w:spacing w:after="0" w:line="536" w:lineRule="auto"/>
        <w:rPr>
          <w:sz w:val="20"/>
          <w:szCs w:val="20"/>
          <w:color w:val="auto"/>
        </w:rPr>
      </w:pPr>
      <w:r>
        <w:rPr>
          <w:rFonts w:ascii="Courier New" w:cs="Courier New" w:eastAsia="Courier New" w:hAnsi="Courier New"/>
          <w:sz w:val="16"/>
          <w:szCs w:val="16"/>
          <w:color w:val="auto"/>
        </w:rPr>
        <w:t>Ms. Simmons and Ms. Connelly directly hold, or are related to the following persons or entities that directly hold,</w:t>
      </w:r>
    </w:p>
    <w:p>
      <w:pPr>
        <w:spacing w:after="0" w:line="1" w:lineRule="exact"/>
        <w:rPr>
          <w:sz w:val="20"/>
          <w:szCs w:val="20"/>
          <w:color w:val="auto"/>
        </w:rPr>
      </w:pPr>
    </w:p>
    <w:p>
      <w:pPr>
        <w:ind w:right="3779"/>
        <w:spacing w:after="0" w:line="470" w:lineRule="auto"/>
        <w:rPr>
          <w:sz w:val="20"/>
          <w:szCs w:val="20"/>
          <w:color w:val="auto"/>
        </w:rPr>
      </w:pPr>
      <w:r>
        <w:rPr>
          <w:rFonts w:ascii="Courier New" w:cs="Courier New" w:eastAsia="Courier New" w:hAnsi="Courier New"/>
          <w:sz w:val="18"/>
          <w:szCs w:val="18"/>
          <w:color w:val="auto"/>
        </w:rPr>
        <w:t>the following percentages of the outstanding shares of Kronos Worldwide common stock:</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gridSpan w:val="2"/>
          </w:tcPr>
          <w:p>
            <w:pPr>
              <w:spacing w:after="0"/>
              <w:rPr>
                <w:sz w:val="20"/>
                <w:szCs w:val="20"/>
                <w:color w:val="auto"/>
              </w:rPr>
            </w:pPr>
            <w:r>
              <w:rPr>
                <w:rFonts w:ascii="Courier New" w:cs="Courier New" w:eastAsia="Courier New" w:hAnsi="Courier New"/>
                <w:sz w:val="18"/>
                <w:szCs w:val="18"/>
                <w:color w:val="auto"/>
                <w:w w:val="92"/>
              </w:rPr>
              <w:t>Valhi.................................................</w:t>
            </w: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50.0%</w:t>
            </w:r>
          </w:p>
        </w:tc>
      </w:tr>
      <w:tr>
        <w:trPr>
          <w:trHeight w:val="405"/>
        </w:trPr>
        <w:tc>
          <w:tcPr>
            <w:tcW w:w="5440" w:type="dxa"/>
            <w:vAlign w:val="bottom"/>
            <w:gridSpan w:val="2"/>
          </w:tcPr>
          <w:p>
            <w:pPr>
              <w:spacing w:after="0"/>
              <w:rPr>
                <w:sz w:val="20"/>
                <w:szCs w:val="20"/>
                <w:color w:val="auto"/>
              </w:rPr>
            </w:pPr>
            <w:r>
              <w:rPr>
                <w:rFonts w:ascii="Courier New" w:cs="Courier New" w:eastAsia="Courier New" w:hAnsi="Courier New"/>
                <w:sz w:val="18"/>
                <w:szCs w:val="18"/>
                <w:color w:val="auto"/>
                <w:w w:val="92"/>
              </w:rPr>
              <w:t>NLKW Holding LLC ("NLKW").............................</w:t>
            </w: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30.4%</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w w:val="99"/>
              </w:rPr>
              <w:t>Contran.......................................</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Less</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than</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w w:val="97"/>
              </w:rPr>
              <w:t>Serena Simmons Connelly........................</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Less</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than</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679"/>
        <w:spacing w:after="0" w:line="470" w:lineRule="auto"/>
        <w:rPr>
          <w:sz w:val="20"/>
          <w:szCs w:val="20"/>
          <w:color w:val="auto"/>
        </w:rPr>
      </w:pPr>
      <w:r>
        <w:rPr>
          <w:rFonts w:ascii="Courier New" w:cs="Courier New" w:eastAsia="Courier New" w:hAnsi="Courier New"/>
          <w:sz w:val="18"/>
          <w:szCs w:val="18"/>
          <w:color w:val="auto"/>
        </w:rPr>
        <w:t>Together, Valhi, NL (and its wholly-owned subsidiary NLKW) and Contran may be deemed to control Kronos Worldwide.</w:t>
      </w:r>
    </w:p>
    <w:p>
      <w:pPr>
        <w:spacing w:after="0" w:line="200" w:lineRule="exact"/>
        <w:rPr>
          <w:sz w:val="20"/>
          <w:szCs w:val="20"/>
          <w:color w:val="auto"/>
        </w:rPr>
      </w:pPr>
    </w:p>
    <w:p>
      <w:pPr>
        <w:spacing w:after="0" w:line="217" w:lineRule="exact"/>
        <w:rPr>
          <w:sz w:val="20"/>
          <w:szCs w:val="20"/>
          <w:color w:val="auto"/>
        </w:rPr>
      </w:pPr>
    </w:p>
    <w:p>
      <w:pPr>
        <w:ind w:right="3479" w:firstLine="632"/>
        <w:spacing w:after="0" w:line="474" w:lineRule="auto"/>
        <w:rPr>
          <w:sz w:val="20"/>
          <w:szCs w:val="20"/>
          <w:color w:val="auto"/>
        </w:rPr>
      </w:pPr>
      <w:r>
        <w:rPr>
          <w:rFonts w:ascii="Courier New" w:cs="Courier New" w:eastAsia="Courier New" w:hAnsi="Courier New"/>
          <w:sz w:val="18"/>
          <w:szCs w:val="18"/>
          <w:color w:val="auto"/>
        </w:rPr>
        <w:t>Ms. Simmons and Ms. Connelly directly hold, or are related to the following persons or entities that directly hold, the following percentages of the outstanding shares of Valhi common stock:</w:t>
      </w:r>
    </w:p>
    <w:p>
      <w:pPr>
        <w:spacing w:after="0" w:line="200" w:lineRule="exact"/>
        <w:rPr>
          <w:sz w:val="20"/>
          <w:szCs w:val="20"/>
          <w:color w:val="auto"/>
        </w:rPr>
      </w:pPr>
    </w:p>
    <w:p>
      <w:pPr>
        <w:spacing w:after="0" w:line="215" w:lineRule="exact"/>
        <w:rPr>
          <w:sz w:val="20"/>
          <w:szCs w:val="20"/>
          <w:color w:val="auto"/>
        </w:rPr>
      </w:pPr>
    </w:p>
    <w:p>
      <w:pPr>
        <w:jc w:val="both"/>
        <w:ind w:right="3999"/>
        <w:spacing w:after="0" w:line="558" w:lineRule="auto"/>
        <w:rPr>
          <w:sz w:val="20"/>
          <w:szCs w:val="20"/>
          <w:color w:val="auto"/>
        </w:rPr>
      </w:pPr>
      <w:r>
        <w:rPr>
          <w:rFonts w:ascii="Courier New" w:cs="Courier New" w:eastAsia="Courier New" w:hAnsi="Courier New"/>
          <w:sz w:val="16"/>
          <w:szCs w:val="16"/>
          <w:color w:val="auto"/>
        </w:rPr>
        <w:t>VHC...................................................91.5% Serena Simmons Connelly........................Less than 1%</w:t>
      </w:r>
    </w:p>
    <w:p>
      <w:pPr>
        <w:spacing w:after="0" w:line="373" w:lineRule="exact"/>
        <w:rPr>
          <w:sz w:val="20"/>
          <w:szCs w:val="20"/>
          <w:color w:val="auto"/>
        </w:rPr>
      </w:pPr>
    </w:p>
    <w:p>
      <w:pPr>
        <w:jc w:val="both"/>
        <w:ind w:right="3779"/>
        <w:spacing w:after="0" w:line="558" w:lineRule="auto"/>
        <w:rPr>
          <w:sz w:val="20"/>
          <w:szCs w:val="20"/>
          <w:color w:val="auto"/>
        </w:rPr>
      </w:pPr>
      <w:r>
        <w:rPr>
          <w:rFonts w:ascii="Courier New" w:cs="Courier New" w:eastAsia="Courier New" w:hAnsi="Courier New"/>
          <w:sz w:val="16"/>
          <w:szCs w:val="16"/>
          <w:color w:val="auto"/>
        </w:rPr>
        <w:t>VHC may be deemed to control Valhi. Contran may be deemed to control VHC, by virtue of its ownership of Dixie Rice shares.</w:t>
      </w:r>
    </w:p>
    <w:p>
      <w:pPr>
        <w:spacing w:after="0" w:line="373"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NL (including a wholly-owned subsidiary of NL) and Kronos</w:t>
      </w:r>
    </w:p>
    <w:p>
      <w:pPr>
        <w:sectPr>
          <w:pgSz w:w="11900" w:h="16838" w:orient="portrait"/>
          <w:cols w:equalWidth="0" w:num="1">
            <w:col w:w="10219"/>
          </w:cols>
          <w:pgMar w:left="240" w:top="344" w:right="1440" w:bottom="0" w:gutter="0" w:footer="0" w:header="0"/>
        </w:sectPr>
      </w:pPr>
    </w:p>
    <w:bookmarkStart w:id="4" w:name="page5"/>
    <w:bookmarkEnd w:id="4"/>
    <w:p>
      <w:pPr>
        <w:ind w:right="3479"/>
        <w:spacing w:after="0" w:line="541" w:lineRule="auto"/>
        <w:rPr>
          <w:sz w:val="20"/>
          <w:szCs w:val="20"/>
          <w:color w:val="auto"/>
        </w:rPr>
      </w:pPr>
      <w:r>
        <w:rPr>
          <w:rFonts w:ascii="Courier New" w:cs="Courier New" w:eastAsia="Courier New" w:hAnsi="Courier New"/>
          <w:sz w:val="16"/>
          <w:szCs w:val="16"/>
          <w:color w:val="auto"/>
        </w:rPr>
        <w:t>Worldwide own 14,372,970 shares and 1,724,916 shares, respectively of Valhi common stock. As already stated, Valhi is the direct holder of approximately 82.9% of the outstanding shares of common stock of NL and 50.0% of the outstanding shares of Kronos Worldwide common stock. As a result of Valhi's direct and indirect ownership of NL and Kronos Worldwide and pursuant to Delaware law and Section 13(d)(4) of the Exchange Act, Valhi treats the shares of Valhi common stock that NL and Kronos Worldwide own as treasury stock for voting purposes. For the purposes of this statement, such shares of Valhi common stock that NL and Kronos Worldwide hold are not deemed outstanding.</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3479" w:firstLine="632"/>
        <w:spacing w:after="0" w:line="536" w:lineRule="auto"/>
        <w:rPr>
          <w:sz w:val="20"/>
          <w:szCs w:val="20"/>
          <w:color w:val="auto"/>
        </w:rPr>
      </w:pPr>
      <w:r>
        <w:rPr>
          <w:rFonts w:ascii="Courier New" w:cs="Courier New" w:eastAsia="Courier New" w:hAnsi="Courier New"/>
          <w:sz w:val="16"/>
          <w:szCs w:val="16"/>
          <w:color w:val="auto"/>
        </w:rPr>
        <w:t>By virtue of the stock ownership of each of Kronos Worldwide, NL, Valhi, VHC, Dixie Rice and Contran, the role of Ms. Simmons and Ms. Connelly as co-trustees of the Family Trust, Ms. Simmons and Ms. Connelly being beneficiaries of the Family Trust, the direct holdings of Contran voting stock by each of Ms. Simmons, Ms. Connelly and entities related to them, the positions as co-chairs of the Contran Board by each of</w:t>
      </w:r>
    </w:p>
    <w:p>
      <w:pPr>
        <w:spacing w:after="0" w:line="236" w:lineRule="auto"/>
        <w:rPr>
          <w:sz w:val="20"/>
          <w:szCs w:val="20"/>
          <w:color w:val="auto"/>
        </w:rPr>
      </w:pPr>
      <w:r>
        <w:rPr>
          <w:rFonts w:ascii="Courier New" w:cs="Courier New" w:eastAsia="Courier New" w:hAnsi="Courier New"/>
          <w:sz w:val="18"/>
          <w:szCs w:val="18"/>
          <w:color w:val="auto"/>
        </w:rPr>
        <w:t>Ms. Simmons and Ms. Connelly, in each case as described above,</w:t>
      </w:r>
    </w:p>
    <w:p>
      <w:pPr>
        <w:spacing w:after="0" w:line="207" w:lineRule="exact"/>
        <w:rPr>
          <w:sz w:val="20"/>
          <w:szCs w:val="20"/>
          <w:color w:val="auto"/>
        </w:rPr>
      </w:pPr>
    </w:p>
    <w:p>
      <w:pPr>
        <w:ind w:right="3479" w:firstLine="8"/>
        <w:spacing w:after="0" w:line="47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Ms. Simmons and Ms. Connelly may be deemed to control the Family Trust, Contran, Dixie Rice, VHC, Valhi, NL, and Kronos Worldwide and CompX and (b) Ms. Simmons and Ms. Connelly, Contran, Dixie Rice, VHC, Valhi, NL and Kronos Worldwide may be deemed to possess indirect beneficial ownership of, and a pecuniary interest in, shares of common stock directly held by such entities, including any Class A Shares. However, except for the 2,000 Class A Shares she holds directly, Ms. Connelly disclaims beneficial ownership of all Class A Shares, except to the extent of her pecuniary interest in such Shares, if any. Ms. Simmons disclaims beneficial ownership of all Class A Shares except to the extent of her pecuniary interest in such shares, if any.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2" Type="http://schemas.openxmlformats.org/officeDocument/2006/relationships/hyperlink" Target="http://www.sec.gov/cgi-bin/browse-edgar?action=getcompany&amp;CIK=0001600851" TargetMode="External"/><Relationship Id="rId13" Type="http://schemas.openxmlformats.org/officeDocument/2006/relationships/hyperlink" Target="http://www.sec.gov/cgi-bin/browse-edgar?action=getcompany&amp;CIK=0001049606" TargetMode="External"/><Relationship Id="rId14" Type="http://schemas.openxmlformats.org/officeDocument/2006/relationships/hyperlink" Target="http://www.sec.gov/cgi-bin/browse-edgar?action=getcompany&amp;CIK=0001599736" TargetMode="External"/><Relationship Id="rId15" Type="http://schemas.openxmlformats.org/officeDocument/2006/relationships/hyperlink" Target="http://www.sec.gov/cgi-bin/browse-edgar?action=getcompany&amp;CIK=0001520515" TargetMode="External"/><Relationship Id="rId17" Type="http://schemas.openxmlformats.org/officeDocument/2006/relationships/hyperlink" Target="http://www.sec.gov/cgi-bin/browse-edgar?action=getcompany&amp;CIK=00000721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2019-12-23T20:04:54Z</dcterms:created>
  <dcterms:modified xsi:type="dcterms:W3CDTF">2019-12-23T20:04:54Z</dcterms:modified>
</cp:coreProperties>
</file>