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Proxy Statement Pursuant to Section 14(a) of the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70" w:lineRule="exact"/>
        <w:rPr>
          <w:sz w:val="24"/>
          <w:szCs w:val="24"/>
          <w:color w:val="auto"/>
        </w:rPr>
      </w:pPr>
    </w:p>
    <w:p>
      <w:pPr>
        <w:spacing w:after="0" w:line="207" w:lineRule="exact"/>
        <w:tabs>
          <w:tab w:leader="none" w:pos="4660" w:val="left"/>
        </w:tabs>
        <w:rPr>
          <w:sz w:val="20"/>
          <w:szCs w:val="20"/>
          <w:color w:val="auto"/>
        </w:rPr>
      </w:pPr>
      <w:r>
        <w:rPr>
          <w:rFonts w:ascii="Arial" w:cs="Arial" w:eastAsia="Arial" w:hAnsi="Arial"/>
          <w:sz w:val="18"/>
          <w:szCs w:val="18"/>
          <w:color w:val="auto"/>
        </w:rPr>
        <w:t>Filed by Registrant:</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tabs>
          <w:tab w:leader="none" w:pos="472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 w:lineRule="exact"/>
        <w:rPr>
          <w:sz w:val="24"/>
          <w:szCs w:val="24"/>
          <w:color w:val="auto"/>
        </w:rPr>
      </w:pPr>
    </w:p>
    <w:p>
      <w:pPr>
        <w:ind w:left="620" w:hanging="612"/>
        <w:spacing w:after="0" w:line="207" w:lineRule="exact"/>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6(e)(2))</w:t>
      </w:r>
    </w:p>
    <w:p>
      <w:pPr>
        <w:spacing w:after="0" w:line="15" w:lineRule="exact"/>
        <w:rPr>
          <w:rFonts w:ascii="MS PGothic" w:cs="MS PGothic" w:eastAsia="MS PGothic" w:hAnsi="MS PGothic"/>
          <w:sz w:val="18"/>
          <w:szCs w:val="18"/>
          <w:color w:val="auto"/>
        </w:rPr>
      </w:pPr>
    </w:p>
    <w:p>
      <w:pPr>
        <w:ind w:left="620" w:hanging="612"/>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620" w:hanging="612"/>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620" w:hanging="612"/>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w:t>
      </w:r>
      <w:r>
        <w:rPr>
          <w:rFonts w:ascii="Arial" w:cs="Arial" w:eastAsia="Arial" w:hAnsi="Arial"/>
          <w:sz w:val="17"/>
          <w:szCs w:val="17"/>
          <w:b w:val="1"/>
          <w:bCs w:val="1"/>
          <w:color w:val="auto"/>
        </w:rPr>
        <w:t>OMP</w:t>
      </w:r>
      <w:r>
        <w:rPr>
          <w:rFonts w:ascii="Arial" w:cs="Arial" w:eastAsia="Arial" w:hAnsi="Arial"/>
          <w:sz w:val="25"/>
          <w:szCs w:val="25"/>
          <w:b w:val="1"/>
          <w:bCs w:val="1"/>
          <w:color w:val="auto"/>
        </w:rPr>
        <w:t>X I</w:t>
      </w:r>
      <w:r>
        <w:rPr>
          <w:rFonts w:ascii="Arial" w:cs="Arial" w:eastAsia="Arial" w:hAnsi="Arial"/>
          <w:sz w:val="17"/>
          <w:szCs w:val="17"/>
          <w:b w:val="1"/>
          <w:bCs w:val="1"/>
          <w:color w:val="auto"/>
        </w:rPr>
        <w:t>NTERNATIONAL</w:t>
      </w:r>
      <w:r>
        <w:rPr>
          <w:rFonts w:ascii="Arial" w:cs="Arial" w:eastAsia="Arial" w:hAnsi="Arial"/>
          <w:sz w:val="25"/>
          <w:szCs w:val="25"/>
          <w:b w:val="1"/>
          <w:bCs w:val="1"/>
          <w:color w:val="auto"/>
        </w:rPr>
        <w:t xml:space="preserve"> I</w:t>
      </w:r>
      <w:r>
        <w:rPr>
          <w:rFonts w:ascii="Arial" w:cs="Arial" w:eastAsia="Arial" w:hAnsi="Arial"/>
          <w:sz w:val="17"/>
          <w:szCs w:val="17"/>
          <w:b w:val="1"/>
          <w:bCs w:val="1"/>
          <w:color w:val="auto"/>
        </w:rPr>
        <w:t>NC</w:t>
      </w:r>
      <w:r>
        <w:rPr>
          <w:rFonts w:ascii="Arial" w:cs="Arial" w:eastAsia="Arial" w:hAnsi="Arial"/>
          <w:sz w:val="25"/>
          <w:szCs w:val="25"/>
          <w:b w:val="1"/>
          <w:bCs w:val="1"/>
          <w:color w:val="auto"/>
        </w:rPr>
        <w:t>.</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344"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660" w:hanging="652"/>
        <w:spacing w:after="0" w:line="207" w:lineRule="exact"/>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w:t>
      </w:r>
      <w:r>
        <w:rPr>
          <w:rFonts w:ascii="MS PGothic" w:cs="MS PGothic" w:eastAsia="MS PGothic" w:hAnsi="MS PGothic"/>
          <w:sz w:val="18"/>
          <w:szCs w:val="18"/>
          <w:color w:val="auto"/>
        </w:rPr>
        <w:t>‑</w:t>
      </w:r>
      <w:r>
        <w:rPr>
          <w:rFonts w:ascii="Arial" w:cs="Arial" w:eastAsia="Arial" w:hAnsi="Arial"/>
          <w:sz w:val="18"/>
          <w:szCs w:val="18"/>
          <w:color w:val="auto"/>
        </w:rPr>
        <w:t>11.</w:t>
      </w:r>
    </w:p>
    <w:p>
      <w:pPr>
        <w:spacing w:after="0" w:line="117" w:lineRule="exact"/>
        <w:rPr>
          <w:rFonts w:ascii="MS PGothic" w:cs="MS PGothic" w:eastAsia="MS PGothic" w:hAnsi="MS PGothic"/>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300" w:hanging="644"/>
        <w:spacing w:after="0" w:line="223" w:lineRule="exact"/>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81"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60" w:hanging="652"/>
        <w:spacing w:after="0" w:line="277" w:lineRule="auto"/>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2" w:lineRule="exact"/>
        <w:rPr>
          <w:rFonts w:ascii="MS PGothic" w:cs="MS PGothic" w:eastAsia="MS PGothic" w:hAnsi="MS PGothic"/>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ectPr>
          <w:pgSz w:w="11900" w:h="16838" w:orient="portrait"/>
          <w:cols w:equalWidth="0" w:num="1">
            <w:col w:w="11420"/>
          </w:cols>
          <w:pgMar w:left="240" w:top="229"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1300" w:hanging="644"/>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518160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color w:val="auto"/>
        </w:rPr>
        <w:t>Preliminary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169545</wp:posOffset>
            </wp:positionV>
            <wp:extent cx="1475105"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HREE</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INCOLN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ENTRE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5430 LBJ F</w:t>
      </w:r>
      <w:r>
        <w:rPr>
          <w:rFonts w:ascii="Arial" w:cs="Arial" w:eastAsia="Arial" w:hAnsi="Arial"/>
          <w:sz w:val="12"/>
          <w:szCs w:val="12"/>
          <w:b w:val="1"/>
          <w:bCs w:val="1"/>
          <w:color w:val="auto"/>
        </w:rPr>
        <w:t>REEWAY</w:t>
      </w:r>
      <w:r>
        <w:rPr>
          <w:rFonts w:ascii="Arial" w:cs="Arial" w:eastAsia="Arial" w:hAnsi="Arial"/>
          <w:sz w:val="18"/>
          <w:szCs w:val="18"/>
          <w:b w:val="1"/>
          <w:bCs w:val="1"/>
          <w:color w:val="auto"/>
        </w:rPr>
        <w:t>, S</w:t>
      </w:r>
      <w:r>
        <w:rPr>
          <w:rFonts w:ascii="Arial" w:cs="Arial" w:eastAsia="Arial" w:hAnsi="Arial"/>
          <w:sz w:val="12"/>
          <w:szCs w:val="12"/>
          <w:b w:val="1"/>
          <w:bCs w:val="1"/>
          <w:color w:val="auto"/>
        </w:rPr>
        <w:t>UITE</w:t>
      </w:r>
      <w:r>
        <w:rPr>
          <w:rFonts w:ascii="Arial" w:cs="Arial" w:eastAsia="Arial" w:hAnsi="Arial"/>
          <w:sz w:val="18"/>
          <w:szCs w:val="18"/>
          <w:b w:val="1"/>
          <w:bCs w:val="1"/>
          <w:color w:val="auto"/>
        </w:rPr>
        <w:t xml:space="preserve"> 1700</w:t>
      </w:r>
    </w:p>
    <w:p>
      <w:pPr>
        <w:spacing w:after="0" w:line="9"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ALLAS</w:t>
      </w:r>
      <w:r>
        <w:rPr>
          <w:rFonts w:ascii="Arial" w:cs="Arial" w:eastAsia="Arial" w:hAnsi="Arial"/>
          <w:sz w:val="18"/>
          <w:szCs w:val="18"/>
          <w:b w:val="1"/>
          <w:bCs w:val="1"/>
          <w:color w:val="auto"/>
        </w:rPr>
        <w:t>, T</w:t>
      </w:r>
      <w:r>
        <w:rPr>
          <w:rFonts w:ascii="Arial" w:cs="Arial" w:eastAsia="Arial" w:hAnsi="Arial"/>
          <w:sz w:val="12"/>
          <w:szCs w:val="12"/>
          <w:b w:val="1"/>
          <w:bCs w:val="1"/>
          <w:color w:val="auto"/>
        </w:rPr>
        <w:t>EXAS</w:t>
      </w:r>
      <w:r>
        <w:rPr>
          <w:rFonts w:ascii="Arial" w:cs="Arial" w:eastAsia="Arial" w:hAnsi="Arial"/>
          <w:sz w:val="18"/>
          <w:szCs w:val="18"/>
          <w:b w:val="1"/>
          <w:bCs w:val="1"/>
          <w:color w:val="auto"/>
        </w:rPr>
        <w:t xml:space="preserve"> 75240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2697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18,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5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You are cordially invited to attend the 2018 annual meeting of stockholders of CompX International Inc., which will be held on Wednesday, May 23, 2018, at 10:00 a.m., local time, at our corporate offices at Three Lincoln Centre, 5430 LBJ Freeway, Suite 1700, Dallas, Texas 75240-2697. The matters to be acted upon at the meeting are described in the attached notice of annual meeting of stockholders and proxy statement.</w:t>
      </w:r>
    </w:p>
    <w:p>
      <w:pPr>
        <w:spacing w:after="0" w:line="16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Whether or not you plan to attend the meeting, please cast your vote as instructed on your proxy card or voting instruction form as promptly as possible to ensure that your shares are represented and voted in accordance with your wishes. Your vote, whether given by proxy or in person at the meeting, will be held in confidence by the inspector of election as provided in our bylaws.</w:t>
      </w:r>
    </w:p>
    <w:p>
      <w:pPr>
        <w:spacing w:after="0" w:line="18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169545</wp:posOffset>
            </wp:positionV>
            <wp:extent cx="2118360" cy="557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83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Loretta J. Feehan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160020</wp:posOffset>
            </wp:positionV>
            <wp:extent cx="1337945"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94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Scott C. James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Preliminary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Lincoln Centre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5430 LBJ Freeway, Suite 1700</w:t>
      </w:r>
    </w:p>
    <w:p>
      <w:pPr>
        <w:spacing w:after="0" w:line="9"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Dallas, Texas 75240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2697</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May 23,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CompX International Inc.:</w:t>
      </w:r>
    </w:p>
    <w:p>
      <w:pPr>
        <w:spacing w:after="0" w:line="225"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The 2018 annual meeting of stockholders of CompX International Inc. will be held on Wednesday, May 23, 2018, at 10:00 a.m., local time, at our corporate offices at Three Lincoln Centre, 5430 LBJ Freeway, Suite 1700, Dallas, Texas 75240-2697, for the following purposes:</w:t>
      </w:r>
    </w:p>
    <w:p>
      <w:pPr>
        <w:spacing w:after="0" w:line="147"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elect the eight director nominees named in the proxy statement to serve until the 2019 annual meeting of stockholders;</w:t>
      </w:r>
    </w:p>
    <w:p>
      <w:pPr>
        <w:spacing w:after="0" w:line="117" w:lineRule="exact"/>
        <w:rPr>
          <w:rFonts w:ascii="Arial" w:cs="Arial" w:eastAsia="Arial" w:hAnsi="Arial"/>
          <w:sz w:val="18"/>
          <w:szCs w:val="18"/>
          <w:b w:val="1"/>
          <w:bCs w:val="1"/>
          <w:color w:val="auto"/>
        </w:rPr>
      </w:pPr>
    </w:p>
    <w:p>
      <w:pPr>
        <w:ind w:left="1300" w:hanging="644"/>
        <w:spacing w:after="0"/>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approve, on a nonbinding advisory basis, our named executive officer compensation;</w:t>
      </w:r>
    </w:p>
    <w:p>
      <w:pPr>
        <w:spacing w:after="0" w:line="117" w:lineRule="exact"/>
        <w:rPr>
          <w:rFonts w:ascii="Arial" w:cs="Arial" w:eastAsia="Arial" w:hAnsi="Arial"/>
          <w:sz w:val="18"/>
          <w:szCs w:val="18"/>
          <w:b w:val="1"/>
          <w:bCs w:val="1"/>
          <w:color w:val="auto"/>
        </w:rPr>
      </w:pPr>
    </w:p>
    <w:p>
      <w:pPr>
        <w:jc w:val="both"/>
        <w:ind w:left="1300" w:right="180" w:hanging="644"/>
        <w:spacing w:after="0" w:line="264" w:lineRule="auto"/>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approve our second amended and restated certificate of incorporation to (i) add a right for each holder of shares of our class B common stock, at its option, to convert any or all of those shares into the same number of shares of our class A common stock, and (ii) make other changes as described in more detail in the proxy statement; and</w:t>
      </w:r>
    </w:p>
    <w:p>
      <w:pPr>
        <w:spacing w:after="0" w:line="73" w:lineRule="exact"/>
        <w:rPr>
          <w:rFonts w:ascii="Arial" w:cs="Arial" w:eastAsia="Arial" w:hAnsi="Arial"/>
          <w:sz w:val="18"/>
          <w:szCs w:val="18"/>
          <w:b w:val="1"/>
          <w:bCs w:val="1"/>
          <w:color w:val="auto"/>
        </w:rPr>
      </w:pPr>
    </w:p>
    <w:p>
      <w:pPr>
        <w:ind w:left="1300" w:hanging="644"/>
        <w:spacing w:after="0"/>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close of business on March 29, 2018 has been set as the record date for the meeting. Only holders of our class A or B common stock at the close of business on the record date are entitled to notice of and to vote at the meeting. A complete list of stockholders entitled to vote at the meeting will be available for examination during normal business hours by any of our stockholders, for purposes related to the meeting, for a period of ten days prior to the meeting at our corporate offices.</w:t>
      </w:r>
    </w:p>
    <w:p>
      <w:pPr>
        <w:spacing w:after="0" w:line="187"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You are cordially invited to attend the meeting. Whether or not you plan to attend the meeting, please cast your vote as instructed on the proxy card or voting instruction form as promptly as possible to ensure that your shares are represented and voted in accordance with your wishes.</w:t>
      </w:r>
    </w:p>
    <w:p>
      <w:pPr>
        <w:spacing w:after="0" w:line="14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14605</wp:posOffset>
            </wp:positionV>
            <wp:extent cx="1303655"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xml:space="preserve">Jane R. Grimm, </w:t>
      </w:r>
      <w:r>
        <w:rPr>
          <w:rFonts w:ascii="Arial" w:cs="Arial" w:eastAsia="Arial" w:hAnsi="Arial"/>
          <w:sz w:val="18"/>
          <w:szCs w:val="18"/>
          <w:i w:val="1"/>
          <w:iCs w:val="1"/>
          <w:color w:val="auto"/>
        </w:rPr>
        <w:t>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18, 2018</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Stockholder Meeting to Be Held on May 23, 2018.</w:t>
      </w:r>
    </w:p>
    <w:p>
      <w:pPr>
        <w:spacing w:after="0" w:line="234"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The proxy statement and annual report to stockholders (including CompX's Annual Report on 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fiscal year ended December 31, 2017) are available at </w:t>
      </w:r>
      <w:r>
        <w:rPr>
          <w:rFonts w:ascii="Arial" w:cs="Arial" w:eastAsia="Arial" w:hAnsi="Arial"/>
          <w:sz w:val="18"/>
          <w:szCs w:val="18"/>
          <w:b w:val="1"/>
          <w:bCs w:val="1"/>
          <w:i w:val="1"/>
          <w:iCs w:val="1"/>
          <w:color w:val="auto"/>
        </w:rPr>
        <w:t>www.viewproxy.com/CompX/2018</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Page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TABLE OF CONTENTS</w:t>
      </w:r>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GLOSSARY OF TERMS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GENERAL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QUESTIONS AND ANSWERS ABOUT THE ANNUAL MEETING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CONTROLLING STOCKHOLDER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SECURITY OWNERSHIP</w:t>
        </w:r>
      </w:hyperlink>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Ownership of CompX</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Ownership of Related Companies</w:t>
      </w:r>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PROPOSAL 1: ELECTION OF DIRECTORS</w:t>
        </w:r>
      </w:hyperlink>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Nominees for Director</w:t>
      </w:r>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EXECUTIVE OFFICERS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CORPORATE GOVERNANCE</w:t>
        </w:r>
      </w:hyperlink>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Controlled Company Status, Director Independence and Committees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2017 Meetings and Standing Committees of the Board of Directors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Audit Committee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Development and Compensation Committee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Risk Oversight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Identifying and Evaluating Director Nominees</w:t>
      </w:r>
    </w:p>
    <w:p>
      <w:pPr>
        <w:spacing w:after="0" w:line="9" w:lineRule="exact"/>
        <w:rPr>
          <w:sz w:val="20"/>
          <w:szCs w:val="20"/>
          <w:color w:val="auto"/>
        </w:rPr>
      </w:pPr>
    </w:p>
    <w:p>
      <w:pPr>
        <w:ind w:left="660" w:right="3900"/>
        <w:spacing w:after="0" w:line="250" w:lineRule="auto"/>
        <w:rPr>
          <w:sz w:val="20"/>
          <w:szCs w:val="20"/>
          <w:color w:val="auto"/>
        </w:rPr>
      </w:pPr>
      <w:r>
        <w:rPr>
          <w:rFonts w:ascii="Arial" w:cs="Arial" w:eastAsia="Arial" w:hAnsi="Arial"/>
          <w:sz w:val="18"/>
          <w:szCs w:val="18"/>
          <w:color w:val="221E1F"/>
        </w:rPr>
        <w:t xml:space="preserve">Leadership Structure of the Board of Directors and Independent Director Meetings </w:t>
      </w:r>
      <w:r>
        <w:rPr>
          <w:rFonts w:ascii="Arial" w:cs="Arial" w:eastAsia="Arial" w:hAnsi="Arial"/>
          <w:sz w:val="18"/>
          <w:szCs w:val="18"/>
          <w:color w:val="000000"/>
        </w:rPr>
        <w:t>Stockholder Proposals and Director Nominations for the 2019 Annual Meeting of Stockholders Communications with Directors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Committee Interlocks and Insider Participation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Code of Business Conduct and Ethics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Governance Guidelines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Availability of Corporate Governance Documents</w:t>
      </w:r>
    </w:p>
    <w:p>
      <w:pPr>
        <w:spacing w:after="0" w:line="9" w:lineRule="exact"/>
        <w:rPr>
          <w:sz w:val="20"/>
          <w:szCs w:val="20"/>
          <w:color w:val="auto"/>
        </w:rPr>
      </w:pPr>
    </w:p>
    <w:p>
      <w:pPr>
        <w:ind w:left="660" w:right="3960" w:hanging="647"/>
        <w:spacing w:after="0" w:line="250" w:lineRule="auto"/>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COMPENSATION OF EXECUTIVE OFFICERS AND DIRECTORS AND OTHER INFORMATION</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Compensation Discussion and Analysis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Committee Report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of Cash and Certain Other Compensation of Executive Officers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2017 Grants of Plan-Based Awards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Outstanding Equity Awards at December 31, 2017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Option Exercises or Stock Vested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Pension Benefits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Nonqualified Deferred Compensation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 Ratio Disclosure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 Compensation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221E1F"/>
        </w:rPr>
        <w:t>Compensation Policies and Practices as They Relate to Risk Management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Consultants</w:t>
      </w:r>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SECTION 16(a) BENEFICIAL OWNERSHIP REPORTING COMPLIANCE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CERTAIN RELATIONSHIPS AND TRANSACTIONS</w:t>
        </w:r>
      </w:hyperlink>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Related Party Transaction Policy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Relationships with Related Parties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Intercorporate Services Agreements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Risk Management Program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Matters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Related Party Loans for Cash Management Purposes</w:t>
      </w:r>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AUDIT COMMITTEE REPORT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INDEPENDENT REGISTERED PUBLIC ACCOUNTING FIRM MATTERS</w:t>
        </w:r>
      </w:hyperlink>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Independent Registered Public Accounting Firm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Fees Paid to PricewaterhouseCoopers LLP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Preapproval Policies and Procedures</w:t>
      </w:r>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PROPOSAL 2:NONBINDING ADVISORY RESOLUTION ON NAMED EXECUTIVE OFFICER COMPENSATION</w:t>
        </w:r>
      </w:hyperlink>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Background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Say-on-Pay Proposal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 of the Proposal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Vote Required</w:t>
      </w:r>
    </w:p>
    <w:p>
      <w:pPr>
        <w:spacing w:after="0" w:line="9" w:lineRule="exact"/>
        <w:rPr>
          <w:sz w:val="20"/>
          <w:szCs w:val="20"/>
          <w:color w:val="auto"/>
        </w:rPr>
      </w:pPr>
    </w:p>
    <w:p>
      <w:pPr>
        <w:ind w:left="660" w:right="3320" w:hanging="647"/>
        <w:spacing w:after="0" w:line="250" w:lineRule="auto"/>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PROPOSAL 3: SECOND AMENDMENT AND RESTATEMENT OF CERTIFICATE OF INCORPORATION</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Summary of the Proposal</w:t>
      </w:r>
    </w:p>
    <w:p>
      <w:pPr>
        <w:spacing w:after="0" w:line="1" w:lineRule="exact"/>
        <w:rPr>
          <w:sz w:val="20"/>
          <w:szCs w:val="20"/>
          <w:color w:val="auto"/>
        </w:rPr>
      </w:pPr>
    </w:p>
    <w:p>
      <w:pPr>
        <w:ind w:left="1300" w:right="660" w:hanging="647"/>
        <w:spacing w:after="0" w:line="250" w:lineRule="auto"/>
        <w:rPr>
          <w:sz w:val="20"/>
          <w:szCs w:val="20"/>
          <w:color w:val="auto"/>
        </w:rPr>
      </w:pPr>
      <w:r>
        <w:rPr>
          <w:rFonts w:ascii="Arial" w:cs="Arial" w:eastAsia="Arial" w:hAnsi="Arial"/>
          <w:sz w:val="18"/>
          <w:szCs w:val="18"/>
          <w:color w:val="auto"/>
        </w:rPr>
        <w:t>Summary of the Changes between the Current Restated Certificate of Incorporation and the Proposed Second Amended and Restated Certificate of Incorporation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Voting Requirements</w:t>
      </w:r>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OTHER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2017 ANNUAL REPORT ON FORM 10-K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STOCKHOLDERS SHARING THE SAME ADDRESS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REQUEST COPIES OF THE 2017 ANNUAL REPORT AND THIS PROXY STATEMENT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EXHIBIT A — C</w:t>
        </w:r>
        <w:r>
          <w:rPr>
            <w:rFonts w:ascii="Arial" w:cs="Arial" w:eastAsia="Arial" w:hAnsi="Arial"/>
            <w:sz w:val="12"/>
            <w:szCs w:val="12"/>
            <w:u w:val="single" w:color="auto"/>
            <w:color w:val="0000EE"/>
          </w:rPr>
          <w:t>OMP</w:t>
        </w:r>
        <w:r>
          <w:rPr>
            <w:rFonts w:ascii="Arial" w:cs="Arial" w:eastAsia="Arial" w:hAnsi="Arial"/>
            <w:sz w:val="18"/>
            <w:szCs w:val="18"/>
            <w:u w:val="single" w:color="auto"/>
            <w:color w:val="0000EE"/>
          </w:rPr>
          <w:t>X I</w:t>
        </w:r>
        <w:r>
          <w:rPr>
            <w:rFonts w:ascii="Arial" w:cs="Arial" w:eastAsia="Arial" w:hAnsi="Arial"/>
            <w:sz w:val="12"/>
            <w:szCs w:val="12"/>
            <w:u w:val="single" w:color="auto"/>
            <w:color w:val="0000EE"/>
          </w:rPr>
          <w:t>NTERNATIONAL</w:t>
        </w:r>
        <w:r>
          <w:rPr>
            <w:rFonts w:ascii="Arial" w:cs="Arial" w:eastAsia="Arial" w:hAnsi="Arial"/>
            <w:sz w:val="18"/>
            <w:szCs w:val="18"/>
            <w:u w:val="single" w:color="auto"/>
            <w:color w:val="0000EE"/>
          </w:rPr>
          <w:t xml:space="preserve"> I</w:t>
        </w:r>
        <w:r>
          <w:rPr>
            <w:rFonts w:ascii="Arial" w:cs="Arial" w:eastAsia="Arial" w:hAnsi="Arial"/>
            <w:sz w:val="12"/>
            <w:szCs w:val="12"/>
            <w:u w:val="single" w:color="auto"/>
            <w:color w:val="0000EE"/>
          </w:rPr>
          <w:t>NC</w:t>
        </w:r>
        <w:r>
          <w:rPr>
            <w:rFonts w:ascii="Arial" w:cs="Arial" w:eastAsia="Arial" w:hAnsi="Arial"/>
            <w:sz w:val="18"/>
            <w:szCs w:val="18"/>
            <w:u w:val="single" w:color="auto"/>
            <w:color w:val="0000EE"/>
          </w:rPr>
          <w:t>. S</w:t>
        </w:r>
        <w:r>
          <w:rPr>
            <w:rFonts w:ascii="Arial" w:cs="Arial" w:eastAsia="Arial" w:hAnsi="Arial"/>
            <w:sz w:val="12"/>
            <w:szCs w:val="12"/>
            <w:u w:val="single" w:color="auto"/>
            <w:color w:val="0000EE"/>
          </w:rPr>
          <w:t>ECOND</w:t>
        </w:r>
        <w:r>
          <w:rPr>
            <w:rFonts w:ascii="Arial" w:cs="Arial" w:eastAsia="Arial" w:hAnsi="Arial"/>
            <w:sz w:val="18"/>
            <w:szCs w:val="18"/>
            <w:u w:val="single" w:color="auto"/>
            <w:color w:val="0000EE"/>
          </w:rPr>
          <w:t xml:space="preserve"> A</w:t>
        </w:r>
        <w:r>
          <w:rPr>
            <w:rFonts w:ascii="Arial" w:cs="Arial" w:eastAsia="Arial" w:hAnsi="Arial"/>
            <w:sz w:val="12"/>
            <w:szCs w:val="12"/>
            <w:u w:val="single" w:color="auto"/>
            <w:color w:val="0000EE"/>
          </w:rPr>
          <w:t>MENDED AND</w:t>
        </w:r>
        <w:r>
          <w:rPr>
            <w:rFonts w:ascii="Arial" w:cs="Arial" w:eastAsia="Arial" w:hAnsi="Arial"/>
            <w:sz w:val="18"/>
            <w:szCs w:val="18"/>
            <w:u w:val="single" w:color="auto"/>
            <w:color w:val="0000EE"/>
          </w:rPr>
          <w:t xml:space="preserve"> R</w:t>
        </w:r>
        <w:r>
          <w:rPr>
            <w:rFonts w:ascii="Arial" w:cs="Arial" w:eastAsia="Arial" w:hAnsi="Arial"/>
            <w:sz w:val="12"/>
            <w:szCs w:val="12"/>
            <w:u w:val="single" w:color="auto"/>
            <w:color w:val="0000EE"/>
          </w:rPr>
          <w:t>ESTATED</w:t>
        </w:r>
        <w:r>
          <w:rPr>
            <w:rFonts w:ascii="Arial" w:cs="Arial" w:eastAsia="Arial" w:hAnsi="Arial"/>
            <w:sz w:val="18"/>
            <w:szCs w:val="18"/>
            <w:u w:val="single" w:color="auto"/>
            <w:color w:val="0000EE"/>
          </w:rPr>
          <w:t xml:space="preserve"> C</w:t>
        </w:r>
        <w:r>
          <w:rPr>
            <w:rFonts w:ascii="Arial" w:cs="Arial" w:eastAsia="Arial" w:hAnsi="Arial"/>
            <w:sz w:val="12"/>
            <w:szCs w:val="12"/>
            <w:u w:val="single" w:color="auto"/>
            <w:color w:val="0000EE"/>
          </w:rPr>
          <w:t>ERTIFICATE OF</w:t>
        </w:r>
        <w:r>
          <w:rPr>
            <w:rFonts w:ascii="Arial" w:cs="Arial" w:eastAsia="Arial" w:hAnsi="Arial"/>
            <w:sz w:val="18"/>
            <w:szCs w:val="18"/>
            <w:u w:val="single" w:color="auto"/>
            <w:color w:val="0000EE"/>
          </w:rPr>
          <w:t xml:space="preserve"> I</w:t>
        </w:r>
        <w:r>
          <w:rPr>
            <w:rFonts w:ascii="Arial" w:cs="Arial" w:eastAsia="Arial" w:hAnsi="Arial"/>
            <w:sz w:val="12"/>
            <w:szCs w:val="12"/>
            <w:u w:val="single" w:color="auto"/>
            <w:color w:val="0000EE"/>
          </w:rPr>
          <w:t>NCORPORATION</w:t>
        </w:r>
      </w:hyperlink>
    </w:p>
    <w:p>
      <w:pPr>
        <w:sectPr>
          <w:pgSz w:w="11900" w:h="16838" w:orient="portrait"/>
          <w:cols w:equalWidth="0" w:num="1">
            <w:col w:w="11420"/>
          </w:cols>
          <w:pgMar w:left="240" w:top="472" w:right="239" w:bottom="432"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432"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GLOSSARY OF TERMS</w:t>
      </w:r>
    </w:p>
    <w:p>
      <w:pPr>
        <w:spacing w:after="0" w:line="121" w:lineRule="exact"/>
        <w:rPr>
          <w:sz w:val="20"/>
          <w:szCs w:val="20"/>
          <w:color w:val="auto"/>
        </w:rPr>
      </w:pPr>
    </w:p>
    <w:p>
      <w:pPr>
        <w:ind w:left="180" w:right="840" w:hanging="167"/>
        <w:spacing w:after="0" w:line="277" w:lineRule="auto"/>
        <w:rPr>
          <w:sz w:val="20"/>
          <w:szCs w:val="20"/>
          <w:color w:val="auto"/>
        </w:rPr>
      </w:pPr>
      <w:r>
        <w:rPr>
          <w:rFonts w:ascii="Arial" w:cs="Arial" w:eastAsia="Arial" w:hAnsi="Arial"/>
          <w:sz w:val="18"/>
          <w:szCs w:val="18"/>
          <w:i w:val="1"/>
          <w:iCs w:val="1"/>
          <w:color w:val="auto"/>
        </w:rPr>
        <w:t xml:space="preserve">"Alliance Advisors" </w:t>
      </w:r>
      <w:r>
        <w:rPr>
          <w:rFonts w:ascii="Arial" w:cs="Arial" w:eastAsia="Arial" w:hAnsi="Arial"/>
          <w:sz w:val="18"/>
          <w:szCs w:val="18"/>
          <w:color w:val="auto"/>
        </w:rPr>
        <w:t>means Alliance Advisors, LLC, our proxy management advisor who will act as inspector of election for the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401(k) Plan</w:t>
      </w:r>
      <w:r>
        <w:rPr>
          <w:rFonts w:ascii="Arial" w:cs="Arial" w:eastAsia="Arial" w:hAnsi="Arial"/>
          <w:sz w:val="18"/>
          <w:szCs w:val="18"/>
          <w:color w:val="auto"/>
        </w:rPr>
        <w:t>" means The Employee 401(k) Retirement Plan, a defined contribution plan.</w:t>
      </w:r>
    </w:p>
    <w:p>
      <w:pPr>
        <w:spacing w:after="0" w:line="90" w:lineRule="exact"/>
        <w:rPr>
          <w:sz w:val="20"/>
          <w:szCs w:val="20"/>
          <w:color w:val="auto"/>
        </w:rPr>
      </w:pPr>
    </w:p>
    <w:p>
      <w:pPr>
        <w:ind w:left="180" w:right="400" w:hanging="1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brokerage firm or other nominee</w:t>
      </w:r>
      <w:r>
        <w:rPr>
          <w:rFonts w:ascii="Arial" w:cs="Arial" w:eastAsia="Arial" w:hAnsi="Arial"/>
          <w:sz w:val="18"/>
          <w:szCs w:val="18"/>
          <w:color w:val="auto"/>
        </w:rPr>
        <w:t>" means a brokerage firm or other nominee such as a banking institution, custodian, trustee or fiduciary (other than our transfer agent, Computershare) through which a stockholder holds its shares of our common stock.</w:t>
      </w:r>
    </w:p>
    <w:p>
      <w:pPr>
        <w:spacing w:after="0" w:line="22" w:lineRule="exact"/>
        <w:rPr>
          <w:sz w:val="20"/>
          <w:szCs w:val="20"/>
          <w:color w:val="auto"/>
        </w:rPr>
      </w:pPr>
    </w:p>
    <w:p>
      <w:pPr>
        <w:ind w:left="180" w:hanging="167"/>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broker/nominee non-vote</w:t>
      </w:r>
      <w:r>
        <w:rPr>
          <w:rFonts w:ascii="Arial" w:cs="Arial" w:eastAsia="Arial" w:hAnsi="Arial"/>
          <w:sz w:val="17"/>
          <w:szCs w:val="17"/>
          <w:color w:val="auto"/>
        </w:rPr>
        <w:t>" means a non-vote by a brokerage firm or other nominee for shares held for a client's account for which the brokerage firm or other nominee does not have discretionary authority to vote on a particular matter and has not received instructions from the client.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Computershare</w:t>
      </w:r>
      <w:r>
        <w:rPr>
          <w:rFonts w:ascii="Arial" w:cs="Arial" w:eastAsia="Arial" w:hAnsi="Arial"/>
          <w:sz w:val="18"/>
          <w:szCs w:val="18"/>
          <w:color w:val="auto"/>
        </w:rPr>
        <w:t>" means Computershare Trust Company, N.A., our stock transfer agent and registrar.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CompX</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or "</w:t>
      </w:r>
      <w:r>
        <w:rPr>
          <w:rFonts w:ascii="Arial" w:cs="Arial" w:eastAsia="Arial" w:hAnsi="Arial"/>
          <w:sz w:val="18"/>
          <w:szCs w:val="18"/>
          <w:i w:val="1"/>
          <w:iCs w:val="1"/>
          <w:color w:val="auto"/>
        </w:rPr>
        <w:t>our</w:t>
      </w:r>
      <w:r>
        <w:rPr>
          <w:rFonts w:ascii="Arial" w:cs="Arial" w:eastAsia="Arial" w:hAnsi="Arial"/>
          <w:sz w:val="18"/>
          <w:szCs w:val="18"/>
          <w:color w:val="auto"/>
        </w:rPr>
        <w:t>" means CompX International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Contran</w:t>
      </w:r>
      <w:r>
        <w:rPr>
          <w:rFonts w:ascii="Arial" w:cs="Arial" w:eastAsia="Arial" w:hAnsi="Arial"/>
          <w:sz w:val="18"/>
          <w:szCs w:val="18"/>
          <w:color w:val="auto"/>
        </w:rPr>
        <w:t>" means Contran Corporation, the parent corporation of our consolidated tax group.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Dixie Rice</w:t>
      </w:r>
      <w:r>
        <w:rPr>
          <w:rFonts w:ascii="Arial" w:cs="Arial" w:eastAsia="Arial" w:hAnsi="Arial"/>
          <w:sz w:val="18"/>
          <w:szCs w:val="18"/>
          <w:color w:val="auto"/>
        </w:rPr>
        <w:t>" means Dixie Rice Agricultural L.L.C., one of our parent companies.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EWI</w:t>
      </w:r>
      <w:r>
        <w:rPr>
          <w:rFonts w:ascii="Arial" w:cs="Arial" w:eastAsia="Arial" w:hAnsi="Arial"/>
          <w:sz w:val="18"/>
          <w:szCs w:val="18"/>
          <w:color w:val="auto"/>
        </w:rPr>
        <w:t>" means EWI RE, Inc., a reinsurance brokerage and risk management corporation wholly owned by NL.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Family Trust</w:t>
      </w:r>
      <w:r>
        <w:rPr>
          <w:rFonts w:ascii="Arial" w:cs="Arial" w:eastAsia="Arial" w:hAnsi="Arial"/>
          <w:sz w:val="18"/>
          <w:szCs w:val="18"/>
          <w:color w:val="auto"/>
        </w:rPr>
        <w:t>" means the Harold C. Simmons Family Trust No. 2 of which Serena Simmons Connelly and Lisa K. Simmons are co-trustees.</w:t>
      </w:r>
    </w:p>
    <w:p>
      <w:pPr>
        <w:spacing w:after="0" w:line="77" w:lineRule="exact"/>
        <w:rPr>
          <w:sz w:val="20"/>
          <w:szCs w:val="20"/>
          <w:color w:val="auto"/>
        </w:rPr>
      </w:pPr>
    </w:p>
    <w:p>
      <w:pPr>
        <w:ind w:left="180" w:right="80" w:hanging="1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directors</w:t>
      </w:r>
      <w:r>
        <w:rPr>
          <w:rFonts w:ascii="Arial" w:cs="Arial" w:eastAsia="Arial" w:hAnsi="Arial"/>
          <w:sz w:val="18"/>
          <w:szCs w:val="18"/>
          <w:color w:val="auto"/>
        </w:rPr>
        <w:t>" means the following directors: Thomas E. Barry, Elisabeth C. Fisher, Terri L. Herrington, Ann Manix, Cecil H. Moore, Jr. and Mary A. Tidlund, as applicable.</w:t>
      </w:r>
    </w:p>
    <w:p>
      <w:pPr>
        <w:spacing w:after="0" w:line="35" w:lineRule="exact"/>
        <w:rPr>
          <w:sz w:val="20"/>
          <w:szCs w:val="20"/>
          <w:color w:val="auto"/>
        </w:rPr>
      </w:pPr>
    </w:p>
    <w:p>
      <w:pPr>
        <w:ind w:left="180" w:right="80" w:hanging="1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ISA</w:t>
      </w:r>
      <w:r>
        <w:rPr>
          <w:rFonts w:ascii="Arial" w:cs="Arial" w:eastAsia="Arial" w:hAnsi="Arial"/>
          <w:sz w:val="18"/>
          <w:szCs w:val="18"/>
          <w:color w:val="auto"/>
        </w:rPr>
        <w:t>" means an intercorporate services agreement between Contran and a related company pursuant to which employees of Contran provide certain services, including executive officer services, to such related company on an annual fixed fee basis.</w:t>
      </w:r>
    </w:p>
    <w:p>
      <w:pPr>
        <w:spacing w:after="0" w:line="22" w:lineRule="exact"/>
        <w:rPr>
          <w:sz w:val="20"/>
          <w:szCs w:val="20"/>
          <w:color w:val="auto"/>
        </w:rPr>
      </w:pPr>
    </w:p>
    <w:p>
      <w:pPr>
        <w:ind w:left="180" w:right="360" w:hanging="1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Kronos Worldwide</w:t>
      </w:r>
      <w:r>
        <w:rPr>
          <w:rFonts w:ascii="Arial" w:cs="Arial" w:eastAsia="Arial" w:hAnsi="Arial"/>
          <w:sz w:val="18"/>
          <w:szCs w:val="18"/>
          <w:color w:val="auto"/>
        </w:rPr>
        <w:t>" means Kronos Worldwide, Inc., one of our publicly held sister corporations that is an international manufacturer of titanium dioxide products.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named executive officer</w:t>
      </w:r>
      <w:r>
        <w:rPr>
          <w:rFonts w:ascii="Arial" w:cs="Arial" w:eastAsia="Arial" w:hAnsi="Arial"/>
          <w:sz w:val="18"/>
          <w:szCs w:val="18"/>
          <w:color w:val="auto"/>
        </w:rPr>
        <w:t>" means any person named in the 2017 Summary Compensation Table in this proxy statement.</w:t>
      </w:r>
    </w:p>
    <w:p>
      <w:pPr>
        <w:spacing w:after="0" w:line="90" w:lineRule="exact"/>
        <w:rPr>
          <w:sz w:val="20"/>
          <w:szCs w:val="20"/>
          <w:color w:val="auto"/>
        </w:rPr>
      </w:pPr>
    </w:p>
    <w:p>
      <w:pPr>
        <w:ind w:left="180" w:right="240" w:hanging="1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NL</w:t>
      </w:r>
      <w:r>
        <w:rPr>
          <w:rFonts w:ascii="Arial" w:cs="Arial" w:eastAsia="Arial" w:hAnsi="Arial"/>
          <w:sz w:val="18"/>
          <w:szCs w:val="18"/>
          <w:color w:val="auto"/>
        </w:rPr>
        <w:t>" means NL Industries, Inc., one of our publicly held parent corporations that is a diversified holding company (i) of which we are a subsidiary and (ii) that holds a significant investment in Kronos Worldwide.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NLKW</w:t>
      </w:r>
      <w:r>
        <w:rPr>
          <w:rFonts w:ascii="Arial" w:cs="Arial" w:eastAsia="Arial" w:hAnsi="Arial"/>
          <w:sz w:val="18"/>
          <w:szCs w:val="18"/>
          <w:color w:val="auto"/>
        </w:rPr>
        <w:t>" means NLKW Holding, LLC, a wholly-owned subsidiary of NL, which holds a significant equity interest in Kronos Worldwide.</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NYSE American</w:t>
      </w:r>
      <w:r>
        <w:rPr>
          <w:rFonts w:ascii="Arial" w:cs="Arial" w:eastAsia="Arial" w:hAnsi="Arial"/>
          <w:sz w:val="17"/>
          <w:szCs w:val="17"/>
          <w:color w:val="auto"/>
        </w:rPr>
        <w:t>" means the NYSE American (formerly named NYSE MKT), the stock exchange on which our shares of class A common stock trade.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PCAOB"</w:t>
      </w:r>
      <w:r>
        <w:rPr>
          <w:rFonts w:ascii="Arial" w:cs="Arial" w:eastAsia="Arial" w:hAnsi="Arial"/>
          <w:sz w:val="16"/>
          <w:szCs w:val="16"/>
          <w:color w:val="auto"/>
        </w:rPr>
        <w:t xml:space="preserve"> means the Public Company Accounting Oversight Board, a private sector, non-profit corporation that oversees auditors of U.S. public companies.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PwC</w:t>
      </w:r>
      <w:r>
        <w:rPr>
          <w:rFonts w:ascii="Arial" w:cs="Arial" w:eastAsia="Arial" w:hAnsi="Arial"/>
          <w:sz w:val="18"/>
          <w:szCs w:val="18"/>
          <w:color w:val="auto"/>
        </w:rPr>
        <w:t>" means PricewaterhouseCoopers LLP, our independent registered public accounting firm.</w:t>
      </w:r>
    </w:p>
    <w:p>
      <w:pPr>
        <w:spacing w:after="0" w:line="77" w:lineRule="exact"/>
        <w:rPr>
          <w:sz w:val="20"/>
          <w:szCs w:val="20"/>
          <w:color w:val="auto"/>
        </w:rPr>
      </w:pPr>
    </w:p>
    <w:p>
      <w:pPr>
        <w:ind w:left="180" w:hanging="1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record date</w:t>
      </w:r>
      <w:r>
        <w:rPr>
          <w:rFonts w:ascii="Arial" w:cs="Arial" w:eastAsia="Arial" w:hAnsi="Arial"/>
          <w:sz w:val="18"/>
          <w:szCs w:val="18"/>
          <w:color w:val="auto"/>
        </w:rPr>
        <w:t>" means the close of business on March 29, 2018, the date our board of directors set for the determination of stockholders entitled to notice of and to vote at the 2018 annual meeting of our stockholders.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RPT Policy</w:t>
      </w:r>
      <w:r>
        <w:rPr>
          <w:rFonts w:ascii="Arial" w:cs="Arial" w:eastAsia="Arial" w:hAnsi="Arial"/>
          <w:sz w:val="18"/>
          <w:szCs w:val="18"/>
          <w:color w:val="auto"/>
        </w:rPr>
        <w:t>" means the Amended and Restated CompX International Inc. Policy Regarding Related Party Transactions dated August 3, 2016.</w:t>
      </w:r>
    </w:p>
    <w:p>
      <w:pPr>
        <w:spacing w:after="0" w:line="77" w:lineRule="exact"/>
        <w:rPr>
          <w:sz w:val="20"/>
          <w:szCs w:val="20"/>
          <w:color w:val="auto"/>
        </w:rPr>
      </w:pPr>
    </w:p>
    <w:p>
      <w:pPr>
        <w:ind w:left="180" w:right="420" w:hanging="167"/>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Say-on-Pay</w:t>
      </w:r>
      <w:r>
        <w:rPr>
          <w:rFonts w:ascii="Arial" w:cs="Arial" w:eastAsia="Arial" w:hAnsi="Arial"/>
          <w:sz w:val="16"/>
          <w:szCs w:val="16"/>
          <w:color w:val="auto"/>
        </w:rPr>
        <w:t>" means the second proposal in this proxy statement for a nonbinding advisory vote for the consideration of our stockholders to approve the compensation of our named executive officers as such proposal is described and as such compensation is disclosed in this proxy statement.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Exchange Act</w:t>
      </w:r>
      <w:r>
        <w:rPr>
          <w:rFonts w:ascii="Arial" w:cs="Arial" w:eastAsia="Arial" w:hAnsi="Arial"/>
          <w:sz w:val="18"/>
          <w:szCs w:val="18"/>
          <w:color w:val="auto"/>
        </w:rPr>
        <w:t>" means the Securities Exchange Act of 1934, as amended.</w:t>
      </w:r>
    </w:p>
    <w:p>
      <w:pPr>
        <w:spacing w:after="0" w:line="77" w:lineRule="exact"/>
        <w:rPr>
          <w:sz w:val="20"/>
          <w:szCs w:val="20"/>
          <w:color w:val="auto"/>
        </w:rPr>
      </w:pPr>
    </w:p>
    <w:p>
      <w:pPr>
        <w:ind w:left="180" w:right="360" w:hanging="16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 of record</w:t>
      </w:r>
      <w:r>
        <w:rPr>
          <w:rFonts w:ascii="Arial" w:cs="Arial" w:eastAsia="Arial" w:hAnsi="Arial"/>
          <w:sz w:val="18"/>
          <w:szCs w:val="18"/>
          <w:color w:val="auto"/>
        </w:rPr>
        <w:t>" means a stockholder of our class A or B common stock who holds shares in its name in certificate form or electronically with our transfer agent, Computershare.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Tall Pines</w:t>
      </w:r>
      <w:r>
        <w:rPr>
          <w:rFonts w:ascii="Arial" w:cs="Arial" w:eastAsia="Arial" w:hAnsi="Arial"/>
          <w:sz w:val="18"/>
          <w:szCs w:val="18"/>
          <w:color w:val="auto"/>
        </w:rPr>
        <w:t>" means Tall Pines Insurance Company, an indirect wholly owned captive insurance subsidiary of Valhi.</w:t>
      </w:r>
    </w:p>
    <w:p>
      <w:pPr>
        <w:spacing w:after="0" w:line="90" w:lineRule="exact"/>
        <w:rPr>
          <w:sz w:val="20"/>
          <w:szCs w:val="20"/>
          <w:color w:val="auto"/>
        </w:rPr>
      </w:pPr>
    </w:p>
    <w:p>
      <w:pPr>
        <w:ind w:left="180" w:right="660" w:hanging="16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Valhi</w:t>
      </w:r>
      <w:r>
        <w:rPr>
          <w:rFonts w:ascii="Arial" w:cs="Arial" w:eastAsia="Arial" w:hAnsi="Arial"/>
          <w:sz w:val="18"/>
          <w:szCs w:val="18"/>
          <w:color w:val="auto"/>
        </w:rPr>
        <w:t>" means Valhi, Inc., one of our publicly held parent corporations that is a diversified holding company of which NL and Kronos Worldwide are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VHC</w:t>
      </w:r>
      <w:r>
        <w:rPr>
          <w:rFonts w:ascii="Arial" w:cs="Arial" w:eastAsia="Arial" w:hAnsi="Arial"/>
          <w:sz w:val="18"/>
          <w:szCs w:val="18"/>
          <w:color w:val="auto"/>
        </w:rPr>
        <w:t>" means Valhi Holding Company, one of our parent corporations.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Preliminary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Lincoln Centre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5430 LBJ Freeway, Suite 1700</w:t>
      </w:r>
    </w:p>
    <w:p>
      <w:pPr>
        <w:spacing w:after="0" w:line="9"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Dallas, Texas 75240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2697</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are providing this proxy statement in connection with the solicitation of proxies by and on behalf of our board of directors for use at our 2018 annual meeting of stockholders to be held on Wednesday, May 23, 2018 and at any adjournment or postponement of the meeting. We initiated the mailing of our 2018 annual meeting materials on or about April 20, 2018 to the holders of our class A or B common stock as of the close of business on March 29, 2018. Our mailed materials include:</w:t>
      </w:r>
    </w:p>
    <w:p>
      <w:pPr>
        <w:spacing w:after="0" w:line="7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accompanying notice of the 2018 annual meeting of stockholders;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proxy statement;</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2017 Annual Report to Stockholders, which includes our Annual Report on Form 10-K for the fiscal year ended December 31, 2017; and</w:t>
      </w:r>
    </w:p>
    <w:p>
      <w:pPr>
        <w:spacing w:after="0" w:line="170"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proxy card (or voting instruction form if you hold your shares through a brokerage firm or other nominee and not in your name in certificate form or electronically with our transfer agent, Computershare).</w:t>
      </w:r>
    </w:p>
    <w:p>
      <w:pPr>
        <w:spacing w:after="0" w:line="3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not incorporating the 2017 annual report into this proxy statement and you should not consider the annual report as proxy solicitation material. The accompanying notice of annual meeting of stockholders sets forth the time, place and purposes of the meeting. Our principal executive offices are located at Three Lincoln Centre, 5430 LBJ Freeway, Suite 1700, Dallas, Texas 75240-2697.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Please refer to the Glossary of Terms on page ii for the definitions of certain terms used in this proxy statement.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purpose of the annual meeting?</w:t>
      </w:r>
    </w:p>
    <w:p>
      <w:pPr>
        <w:spacing w:after="0" w:line="22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the annual meeting, stockholders will vote on the following, as described in this proxy statement: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Proposal 1 – the election of the eight director nominees named in this proxy statement;</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Proposal 2 – the adoption of a nonbinding advisory resolution that approves the named executive officer compensation described in this proxy statement (Say-on-Pay); and</w:t>
      </w:r>
    </w:p>
    <w:p>
      <w:pPr>
        <w:ind w:left="980" w:hanging="32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Proposal 3 – the approval of our second amended and restated certificate of incorporation.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stockholders will vote on any other matter that may properly come before the meeting.</w:t>
      </w:r>
    </w:p>
    <w:p>
      <w:pPr>
        <w:spacing w:after="0" w:line="221"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recommend that I vote?</w:t>
      </w:r>
    </w:p>
    <w:p>
      <w:pPr>
        <w:spacing w:after="0" w:line="22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of directors recommends that you vote FOR: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election of each of the nominees for director named in this proxy statement;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approval and adoption of proposal 2 (Say-on-Pay);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approval of our second amended and restated certificate of incorporation.</w:t>
      </w:r>
    </w:p>
    <w:p>
      <w:pPr>
        <w:spacing w:after="0" w:line="288" w:lineRule="exact"/>
        <w:rPr>
          <w:rFonts w:ascii="Arial" w:cs="Arial" w:eastAsia="Arial" w:hAnsi="Arial"/>
          <w:sz w:val="18"/>
          <w:szCs w:val="18"/>
          <w:color w:val="auto"/>
        </w:rPr>
      </w:pPr>
    </w:p>
    <w:p>
      <w:pPr>
        <w:ind w:left="5680" w:hanging="86"/>
        <w:spacing w:after="0"/>
        <w:tabs>
          <w:tab w:leader="none" w:pos="5680" w:val="left"/>
        </w:tabs>
        <w:numPr>
          <w:ilvl w:val="2"/>
          <w:numId w:val="11"/>
        </w:numPr>
        <w:rPr>
          <w:rFonts w:ascii="Arial" w:cs="Arial" w:eastAsia="Arial" w:hAnsi="Arial"/>
          <w:sz w:val="14"/>
          <w:szCs w:val="14"/>
          <w:color w:val="auto"/>
        </w:rPr>
      </w:pPr>
      <w:r>
        <w:rPr>
          <w:rFonts w:ascii="Arial" w:cs="Arial" w:eastAsia="Arial" w:hAnsi="Arial"/>
          <w:sz w:val="14"/>
          <w:szCs w:val="14"/>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ind w:left="652" w:hanging="652"/>
        <w:spacing w:after="0"/>
        <w:tabs>
          <w:tab w:leader="none" w:pos="6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Who is allowed to vote at the annual meeting?</w:t>
      </w:r>
    </w:p>
    <w:p>
      <w:pPr>
        <w:spacing w:after="0" w:line="229" w:lineRule="exact"/>
        <w:rPr>
          <w:sz w:val="20"/>
          <w:szCs w:val="20"/>
          <w:color w:val="auto"/>
        </w:rPr>
      </w:pPr>
    </w:p>
    <w:p>
      <w:pPr>
        <w:ind w:left="652" w:hanging="652"/>
        <w:spacing w:after="0" w:line="276" w:lineRule="auto"/>
        <w:tabs>
          <w:tab w:leader="none" w:pos="652"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board of directors has set the close of business on March 29, 2018 as the record date for the determination of stockholders entitled to notice of and to vote at the meeting. Only holders of our class A or B common stock as of the close of business on the record date are entitled to vote at the meeting. On the record date, 2,426,107 shares of our class A common stock and 10,000,000 shares of our class B common stock were issued and outstanding. Each share of our class A common stock entitles its holder to one vote. Each share of our class B common stock entitles its holder to ten votes with respect to the election of directors and one vote on all other matters.</w:t>
      </w:r>
    </w:p>
    <w:p>
      <w:pPr>
        <w:spacing w:after="0" w:line="169" w:lineRule="exact"/>
        <w:rPr>
          <w:sz w:val="20"/>
          <w:szCs w:val="20"/>
          <w:color w:val="auto"/>
        </w:rPr>
      </w:pPr>
    </w:p>
    <w:p>
      <w:pPr>
        <w:ind w:left="652" w:hanging="652"/>
        <w:spacing w:after="0"/>
        <w:tabs>
          <w:tab w:leader="none" w:pos="6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 if I am a stockholder of record?</w:t>
      </w:r>
    </w:p>
    <w:p>
      <w:pPr>
        <w:spacing w:after="0" w:line="229" w:lineRule="exact"/>
        <w:rPr>
          <w:sz w:val="20"/>
          <w:szCs w:val="20"/>
          <w:color w:val="auto"/>
        </w:rPr>
      </w:pPr>
    </w:p>
    <w:p>
      <w:pPr>
        <w:ind w:left="652" w:right="160" w:hanging="652"/>
        <w:spacing w:after="0" w:line="308" w:lineRule="auto"/>
        <w:tabs>
          <w:tab w:leader="none" w:pos="6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you hold shares of our class A or B common stock in your name in certificate form or electronically with our transfer agent, Computershare, and not through a brokerage firm or other nominee, you are a stockholder of record. As a stockholder of record, you may:</w:t>
      </w:r>
    </w:p>
    <w:p>
      <w:pPr>
        <w:spacing w:after="0" w:line="38" w:lineRule="exact"/>
        <w:rPr>
          <w:rFonts w:ascii="Arial" w:cs="Arial" w:eastAsia="Arial" w:hAnsi="Arial"/>
          <w:sz w:val="17"/>
          <w:szCs w:val="17"/>
          <w:color w:val="auto"/>
        </w:rPr>
      </w:pPr>
    </w:p>
    <w:p>
      <w:pPr>
        <w:ind w:left="1292" w:hanging="644"/>
        <w:spacing w:after="0"/>
        <w:tabs>
          <w:tab w:leader="none" w:pos="12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vote over the internet at </w:t>
      </w:r>
      <w:r>
        <w:rPr>
          <w:rFonts w:ascii="Arial" w:cs="Arial" w:eastAsia="Arial" w:hAnsi="Arial"/>
          <w:sz w:val="18"/>
          <w:szCs w:val="18"/>
          <w:i w:val="1"/>
          <w:iCs w:val="1"/>
          <w:color w:val="auto"/>
        </w:rPr>
        <w:t>www.AALvote.com/CIX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vote by telephone using the voting procedures set forth on your proxy card;</w:t>
      </w:r>
    </w:p>
    <w:p>
      <w:pPr>
        <w:spacing w:after="0" w:line="225" w:lineRule="exact"/>
        <w:rPr>
          <w:rFonts w:ascii="Arial" w:cs="Arial" w:eastAsia="Arial" w:hAnsi="Arial"/>
          <w:sz w:val="18"/>
          <w:szCs w:val="18"/>
          <w:color w:val="auto"/>
        </w:rPr>
      </w:pPr>
    </w:p>
    <w:p>
      <w:pPr>
        <w:ind w:left="1292" w:right="260" w:hanging="644"/>
        <w:spacing w:after="0" w:line="277" w:lineRule="auto"/>
        <w:tabs>
          <w:tab w:leader="none" w:pos="12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instruct the agents named on your proxy card how to vote your shares by completing, signing and mailing the enclosed proxy card in the envelope provided; or</w:t>
      </w:r>
    </w:p>
    <w:p>
      <w:pPr>
        <w:spacing w:after="0" w:line="170" w:lineRule="exact"/>
        <w:rPr>
          <w:rFonts w:ascii="Arial" w:cs="Arial" w:eastAsia="Arial" w:hAnsi="Arial"/>
          <w:sz w:val="18"/>
          <w:szCs w:val="18"/>
          <w:color w:val="auto"/>
        </w:rPr>
      </w:pPr>
    </w:p>
    <w:p>
      <w:pPr>
        <w:ind w:left="1292" w:hanging="644"/>
        <w:spacing w:after="0"/>
        <w:tabs>
          <w:tab w:leader="none" w:pos="12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vote in person at the annual meeting.</w:t>
      </w:r>
    </w:p>
    <w:p>
      <w:pPr>
        <w:spacing w:after="0" w:line="200" w:lineRule="exact"/>
        <w:rPr>
          <w:sz w:val="20"/>
          <w:szCs w:val="20"/>
          <w:color w:val="auto"/>
        </w:rPr>
      </w:pPr>
    </w:p>
    <w:p>
      <w:pPr>
        <w:spacing w:after="0" w:line="237" w:lineRule="exact"/>
        <w:rPr>
          <w:sz w:val="20"/>
          <w:szCs w:val="20"/>
          <w:color w:val="auto"/>
        </w:rPr>
      </w:pPr>
    </w:p>
    <w:p>
      <w:pPr>
        <w:ind w:left="652" w:right="420" w:hanging="652"/>
        <w:spacing w:after="0" w:line="313" w:lineRule="auto"/>
        <w:tabs>
          <w:tab w:leader="none" w:pos="652"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What are the consequences if I am a stockholder of record and I execute my proxy card but do not indicate how I would like my shares voted for one or more of the director nominees named in this proxy statement or proposal 2 or proposal 3?</w:t>
      </w:r>
    </w:p>
    <w:p>
      <w:pPr>
        <w:spacing w:after="0" w:line="142" w:lineRule="exact"/>
        <w:rPr>
          <w:sz w:val="20"/>
          <w:szCs w:val="20"/>
          <w:color w:val="auto"/>
        </w:rPr>
      </w:pPr>
    </w:p>
    <w:p>
      <w:pPr>
        <w:ind w:left="652" w:right="780" w:hanging="652"/>
        <w:spacing w:after="0" w:line="277" w:lineRule="auto"/>
        <w:tabs>
          <w:tab w:leader="none" w:pos="6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you are a stockholder of record, the agents named on your proxy card will vote your shares on such uninstructed nominee or proposal as recommended by the board of directors in this proxy statement.</w:t>
      </w:r>
    </w:p>
    <w:p>
      <w:pPr>
        <w:spacing w:after="0" w:line="166" w:lineRule="exact"/>
        <w:rPr>
          <w:sz w:val="20"/>
          <w:szCs w:val="20"/>
          <w:color w:val="auto"/>
        </w:rPr>
      </w:pPr>
    </w:p>
    <w:p>
      <w:pPr>
        <w:ind w:left="652" w:hanging="652"/>
        <w:spacing w:after="0"/>
        <w:tabs>
          <w:tab w:leader="none" w:pos="6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 if my shares are held through a brokerage firm or other nominee?</w:t>
      </w:r>
    </w:p>
    <w:p>
      <w:pPr>
        <w:spacing w:after="0" w:line="229" w:lineRule="exact"/>
        <w:rPr>
          <w:sz w:val="20"/>
          <w:szCs w:val="20"/>
          <w:color w:val="auto"/>
        </w:rPr>
      </w:pPr>
    </w:p>
    <w:p>
      <w:pPr>
        <w:ind w:left="652" w:right="100" w:hanging="652"/>
        <w:spacing w:after="0" w:line="264" w:lineRule="auto"/>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you hold your shares through a brokerage firm or other nominee, you must follow the instructions on your voting instruction form on how to vote your shares. In order to ensure your brokerage firm or other nominee votes your shares in the manner you would like, you must provide voting instructions to your brokerage firm or other nominee by the deadline provided on your voting instruction form.</w:t>
      </w:r>
    </w:p>
    <w:p>
      <w:pPr>
        <w:spacing w:after="0" w:line="181" w:lineRule="exact"/>
        <w:rPr>
          <w:rFonts w:ascii="Arial" w:cs="Arial" w:eastAsia="Arial" w:hAnsi="Arial"/>
          <w:sz w:val="18"/>
          <w:szCs w:val="18"/>
          <w:color w:val="auto"/>
        </w:rPr>
      </w:pPr>
    </w:p>
    <w:p>
      <w:pPr>
        <w:ind w:left="652"/>
        <w:spacing w:after="0" w:line="253"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Brokerage firms or other nominees may not vote your shares on the election of a director nominee or proposal 2 or proposal 3 in the absence of your specific instructions as to how to vote. </w:t>
      </w:r>
      <w:r>
        <w:rPr>
          <w:rFonts w:ascii="Arial" w:cs="Arial" w:eastAsia="Arial" w:hAnsi="Arial"/>
          <w:sz w:val="18"/>
          <w:szCs w:val="18"/>
          <w:b w:val="1"/>
          <w:bCs w:val="1"/>
          <w:color w:val="auto"/>
        </w:rPr>
        <w:t>We encourage you to provide instructions to your brokerage firm or other nominee regarding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voting of your shares. </w:t>
      </w:r>
      <w:r>
        <w:rPr>
          <w:rFonts w:ascii="Arial" w:cs="Arial" w:eastAsia="Arial" w:hAnsi="Arial"/>
          <w:sz w:val="18"/>
          <w:szCs w:val="18"/>
          <w:i w:val="1"/>
          <w:iCs w:val="1"/>
          <w:color w:val="auto"/>
        </w:rPr>
        <w:t>If you do not instruct your brokerage firm or other nominee how to vote with respect to the election of a director nominee or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proposal 2 or proposal 3, your brokerage firm or other nominee may not vote with respect to the election of such director nominee or on proposal 2 or on proposal 3 and your vote will be counted as a "broker/nominee non-vote." </w:t>
      </w:r>
      <w:r>
        <w:rPr>
          <w:rFonts w:ascii="Arial" w:cs="Arial" w:eastAsia="Arial" w:hAnsi="Arial"/>
          <w:sz w:val="18"/>
          <w:szCs w:val="18"/>
          <w:color w:val="auto"/>
        </w:rPr>
        <w:t>"Broker/nominee non-votes" are non-votes by a brokerage firm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nominee for shares held in a client's account for which the brokerage firm or other nominee does not have discretionary authority to vote on a particular matter and has not received instructions from the client. How we treat broker/nominee non-votes is separately described in each of the answers below regarding what constitutes a quorum and the requisite votes necessary to elect a director nominee or approve proposal 2 or proposal 3.</w:t>
      </w:r>
    </w:p>
    <w:p>
      <w:pPr>
        <w:spacing w:after="0" w:line="193" w:lineRule="exact"/>
        <w:rPr>
          <w:sz w:val="20"/>
          <w:szCs w:val="20"/>
          <w:color w:val="auto"/>
        </w:rPr>
      </w:pPr>
    </w:p>
    <w:p>
      <w:pPr>
        <w:ind w:left="652" w:hanging="652"/>
        <w:spacing w:after="0"/>
        <w:tabs>
          <w:tab w:leader="none" w:pos="6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If I hold my shares through a brokerage firm or other nominee, how may I vote in person at the annual meeting?</w:t>
      </w:r>
    </w:p>
    <w:p>
      <w:pPr>
        <w:spacing w:after="0" w:line="229" w:lineRule="exact"/>
        <w:rPr>
          <w:sz w:val="20"/>
          <w:szCs w:val="20"/>
          <w:color w:val="auto"/>
        </w:rPr>
      </w:pPr>
    </w:p>
    <w:p>
      <w:pPr>
        <w:ind w:left="652" w:right="320" w:hanging="652"/>
        <w:spacing w:after="0" w:line="277" w:lineRule="auto"/>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you wish to vote in person at the annual meeting, you will need to follow the instructions on your voting instruction form on how to obtain the appropriate documents to vote in person at the meeting.</w:t>
      </w:r>
    </w:p>
    <w:p>
      <w:pPr>
        <w:spacing w:after="0" w:line="166" w:lineRule="exact"/>
        <w:rPr>
          <w:sz w:val="20"/>
          <w:szCs w:val="20"/>
          <w:color w:val="auto"/>
        </w:rPr>
      </w:pPr>
    </w:p>
    <w:p>
      <w:pPr>
        <w:ind w:left="652" w:hanging="652"/>
        <w:spacing w:after="0"/>
        <w:tabs>
          <w:tab w:leader="none" w:pos="65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Who will count the votes?</w:t>
      </w:r>
    </w:p>
    <w:p>
      <w:pPr>
        <w:spacing w:after="0" w:line="229" w:lineRule="exact"/>
        <w:rPr>
          <w:sz w:val="20"/>
          <w:szCs w:val="20"/>
          <w:color w:val="auto"/>
        </w:rPr>
      </w:pPr>
    </w:p>
    <w:p>
      <w:pPr>
        <w:ind w:left="652" w:right="360" w:hanging="652"/>
        <w:spacing w:after="0" w:line="277" w:lineRule="auto"/>
        <w:tabs>
          <w:tab w:leader="none" w:pos="6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of directors has appointed Alliance Advisors to ascertain the number of shares represented, tabulate the vote and serve as inspector of election for the meeting.</w:t>
      </w:r>
    </w:p>
    <w:p>
      <w:pPr>
        <w:spacing w:after="0" w:line="166" w:lineRule="exact"/>
        <w:rPr>
          <w:rFonts w:ascii="Arial" w:cs="Arial" w:eastAsia="Arial" w:hAnsi="Arial"/>
          <w:sz w:val="18"/>
          <w:szCs w:val="18"/>
          <w:color w:val="auto"/>
        </w:rPr>
      </w:pPr>
    </w:p>
    <w:p>
      <w:pPr>
        <w:ind w:left="5672" w:hanging="86"/>
        <w:spacing w:after="0"/>
        <w:tabs>
          <w:tab w:leader="none" w:pos="5672" w:val="left"/>
        </w:tabs>
        <w:numPr>
          <w:ilvl w:val="1"/>
          <w:numId w:val="23"/>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121" w:right="259" w:bottom="1440" w:gutter="0" w:footer="0" w:header="0"/>
        </w:sectPr>
      </w:pPr>
    </w:p>
    <w:bookmarkStart w:id="7" w:name="page8"/>
    <w:bookmarkEnd w:id="7"/>
    <w:p>
      <w:pPr>
        <w:ind w:left="652" w:hanging="652"/>
        <w:spacing w:after="0"/>
        <w:tabs>
          <w:tab w:leader="none" w:pos="65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confidential?</w:t>
      </w:r>
    </w:p>
    <w:p>
      <w:pPr>
        <w:spacing w:after="0" w:line="229" w:lineRule="exact"/>
        <w:rPr>
          <w:sz w:val="20"/>
          <w:szCs w:val="20"/>
          <w:color w:val="auto"/>
        </w:rPr>
      </w:pPr>
    </w:p>
    <w:p>
      <w:pPr>
        <w:ind w:left="652" w:hanging="652"/>
        <w:spacing w:after="0"/>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Yes. All proxy cards, ballots or voting instructions will be kept confidential in accordance with our bylaws.</w:t>
      </w:r>
    </w:p>
    <w:p>
      <w:pPr>
        <w:spacing w:after="0" w:line="221" w:lineRule="exact"/>
        <w:rPr>
          <w:sz w:val="20"/>
          <w:szCs w:val="20"/>
          <w:color w:val="auto"/>
        </w:rPr>
      </w:pPr>
    </w:p>
    <w:p>
      <w:pPr>
        <w:ind w:left="652" w:hanging="652"/>
        <w:spacing w:after="0"/>
        <w:tabs>
          <w:tab w:leader="none" w:pos="65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How do I change or revoke my proxy instructions if I am a stockholder of record?</w:t>
      </w:r>
    </w:p>
    <w:p>
      <w:pPr>
        <w:spacing w:after="0" w:line="229" w:lineRule="exact"/>
        <w:rPr>
          <w:sz w:val="20"/>
          <w:szCs w:val="20"/>
          <w:color w:val="auto"/>
        </w:rPr>
      </w:pPr>
    </w:p>
    <w:p>
      <w:pPr>
        <w:ind w:left="652" w:hanging="652"/>
        <w:spacing w:after="0"/>
        <w:tabs>
          <w:tab w:leader="none" w:pos="6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you are a stockholder of record, you may change or revoke your proxy instructions in any of the following ways:</w:t>
      </w:r>
    </w:p>
    <w:p>
      <w:pPr>
        <w:spacing w:after="0" w:line="117" w:lineRule="exact"/>
        <w:rPr>
          <w:rFonts w:ascii="Arial" w:cs="Arial" w:eastAsia="Arial" w:hAnsi="Arial"/>
          <w:sz w:val="18"/>
          <w:szCs w:val="18"/>
          <w:color w:val="auto"/>
        </w:rPr>
      </w:pPr>
    </w:p>
    <w:p>
      <w:pPr>
        <w:ind w:left="1292" w:hanging="644"/>
        <w:spacing w:after="0"/>
        <w:tabs>
          <w:tab w:leader="none" w:pos="12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delivering to Alliance Advisors a written revocation;</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submitting another proxy card bearing a later date;</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changing your vote on </w:t>
      </w:r>
      <w:r>
        <w:rPr>
          <w:rFonts w:ascii="Arial" w:cs="Arial" w:eastAsia="Arial" w:hAnsi="Arial"/>
          <w:sz w:val="18"/>
          <w:szCs w:val="18"/>
          <w:i w:val="1"/>
          <w:iCs w:val="1"/>
          <w:color w:val="auto"/>
        </w:rPr>
        <w:t>www.AALvote.com/CIX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using the telephone voting procedures set forth on your proxy card; or</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voting in person at the annual meeting.</w:t>
      </w:r>
    </w:p>
    <w:p>
      <w:pPr>
        <w:spacing w:after="0" w:line="200" w:lineRule="exact"/>
        <w:rPr>
          <w:sz w:val="20"/>
          <w:szCs w:val="20"/>
          <w:color w:val="auto"/>
        </w:rPr>
      </w:pPr>
    </w:p>
    <w:p>
      <w:pPr>
        <w:spacing w:after="0" w:line="237" w:lineRule="exact"/>
        <w:rPr>
          <w:sz w:val="20"/>
          <w:szCs w:val="20"/>
          <w:color w:val="auto"/>
        </w:rPr>
      </w:pPr>
    </w:p>
    <w:p>
      <w:pPr>
        <w:ind w:left="652" w:hanging="652"/>
        <w:spacing w:after="0"/>
        <w:tabs>
          <w:tab w:leader="none" w:pos="65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How do I change or revoke my voting instructions if my shares are held through a brokerage firm or other nominee?</w:t>
      </w:r>
    </w:p>
    <w:p>
      <w:pPr>
        <w:spacing w:after="0" w:line="229" w:lineRule="exact"/>
        <w:rPr>
          <w:sz w:val="20"/>
          <w:szCs w:val="20"/>
          <w:color w:val="auto"/>
        </w:rPr>
      </w:pPr>
    </w:p>
    <w:p>
      <w:pPr>
        <w:ind w:left="652" w:right="200" w:hanging="652"/>
        <w:spacing w:after="0" w:line="277" w:lineRule="auto"/>
        <w:tabs>
          <w:tab w:leader="none" w:pos="6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your shares are held through a brokerage firm or other nominee, you must follow the instructions from your brokerage firm or other nominee on how to change or revoke your voting instructions or how to vote in person at the annual meeting.</w:t>
      </w:r>
    </w:p>
    <w:p>
      <w:pPr>
        <w:spacing w:after="0" w:line="193" w:lineRule="exact"/>
        <w:rPr>
          <w:sz w:val="20"/>
          <w:szCs w:val="20"/>
          <w:color w:val="auto"/>
        </w:rPr>
      </w:pPr>
    </w:p>
    <w:p>
      <w:pPr>
        <w:ind w:left="652" w:hanging="652"/>
        <w:spacing w:after="0"/>
        <w:tabs>
          <w:tab w:leader="none" w:pos="65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229" w:lineRule="exact"/>
        <w:rPr>
          <w:sz w:val="20"/>
          <w:szCs w:val="20"/>
          <w:color w:val="auto"/>
        </w:rPr>
      </w:pPr>
    </w:p>
    <w:p>
      <w:pPr>
        <w:ind w:left="652" w:hanging="652"/>
        <w:spacing w:after="0" w:line="277" w:lineRule="auto"/>
        <w:tabs>
          <w:tab w:leader="none" w:pos="6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quorum is the presence, in person or by proxy, of the holders of a majority of the votes from holders of the outstanding shares of our class A and B common stock, counted as a single class, entitled to vote at the meeting.</w:t>
      </w:r>
    </w:p>
    <w:p>
      <w:pPr>
        <w:spacing w:after="0" w:line="170" w:lineRule="exact"/>
        <w:rPr>
          <w:rFonts w:ascii="Arial" w:cs="Arial" w:eastAsia="Arial" w:hAnsi="Arial"/>
          <w:sz w:val="18"/>
          <w:szCs w:val="18"/>
          <w:color w:val="auto"/>
        </w:rPr>
      </w:pPr>
    </w:p>
    <w:p>
      <w:pPr>
        <w:ind w:left="652" w:right="380"/>
        <w:spacing w:after="0" w:line="277" w:lineRule="auto"/>
        <w:rPr>
          <w:rFonts w:ascii="Arial" w:cs="Arial" w:eastAsia="Arial" w:hAnsi="Arial"/>
          <w:sz w:val="18"/>
          <w:szCs w:val="18"/>
          <w:color w:val="auto"/>
        </w:rPr>
      </w:pPr>
      <w:r>
        <w:rPr>
          <w:rFonts w:ascii="Arial" w:cs="Arial" w:eastAsia="Arial" w:hAnsi="Arial"/>
          <w:sz w:val="18"/>
          <w:szCs w:val="18"/>
          <w:color w:val="auto"/>
        </w:rPr>
        <w:t>Shares that are voted "abstain" or "withheld" are counted as present and entitled to vote and are, therefore, included for purposes of determining whether a quorum is present at the annual meeting.</w:t>
      </w:r>
    </w:p>
    <w:p>
      <w:pPr>
        <w:spacing w:after="0" w:line="170" w:lineRule="exact"/>
        <w:rPr>
          <w:rFonts w:ascii="Arial" w:cs="Arial" w:eastAsia="Arial" w:hAnsi="Arial"/>
          <w:sz w:val="18"/>
          <w:szCs w:val="18"/>
          <w:color w:val="auto"/>
        </w:rPr>
      </w:pPr>
    </w:p>
    <w:p>
      <w:pPr>
        <w:ind w:left="652"/>
        <w:spacing w:after="0" w:line="255" w:lineRule="auto"/>
        <w:rPr>
          <w:rFonts w:ascii="Arial" w:cs="Arial" w:eastAsia="Arial" w:hAnsi="Arial"/>
          <w:sz w:val="18"/>
          <w:szCs w:val="18"/>
          <w:color w:val="auto"/>
        </w:rPr>
      </w:pPr>
      <w:r>
        <w:rPr>
          <w:rFonts w:ascii="Arial" w:cs="Arial" w:eastAsia="Arial" w:hAnsi="Arial"/>
          <w:sz w:val="18"/>
          <w:szCs w:val="18"/>
          <w:color w:val="auto"/>
        </w:rPr>
        <w:t>As already discussed in the previous answer regarding how to vote shares held through a brokerage firm or other nominee, there are no proposals for the annual meeting that would allow a brokerage firm or nominee to cast a vote on uninstructed shares. If a brokerage firm or other nominee receives no instruction for the election of any director nominee and receives no instruction for proposal 2 or proposal 3, such uninstructed shares will be counted as not entitled to cast a vote and are, therefore, not considered for purposes of determining whether a quorum is present at the annual meeting. If a brokerage firm or other nominee receives instructions on the election of at least one director nominee or on proposal 2 or on proposal 3, such instructed shares will be counted as present and entitled to cast a vote and are, therefore, included for purposes of determining whether a quorum is present at the annual meeting.</w:t>
      </w:r>
    </w:p>
    <w:p>
      <w:pPr>
        <w:spacing w:after="0" w:line="189" w:lineRule="exact"/>
        <w:rPr>
          <w:sz w:val="20"/>
          <w:szCs w:val="20"/>
          <w:color w:val="auto"/>
        </w:rPr>
      </w:pPr>
    </w:p>
    <w:p>
      <w:pPr>
        <w:ind w:left="652" w:right="500"/>
        <w:spacing w:after="0" w:line="264" w:lineRule="auto"/>
        <w:rPr>
          <w:sz w:val="20"/>
          <w:szCs w:val="20"/>
          <w:color w:val="auto"/>
        </w:rPr>
      </w:pPr>
      <w:r>
        <w:rPr>
          <w:rFonts w:ascii="Arial" w:cs="Arial" w:eastAsia="Arial" w:hAnsi="Arial"/>
          <w:sz w:val="18"/>
          <w:szCs w:val="18"/>
          <w:color w:val="auto"/>
        </w:rPr>
        <w:t>NL directly held approximately 86.6% of the outstanding shares of our combined class A and B common stock as of the record date. NL has indicated its intention to have its shares of our common stock represented at the meeting. If NL attends the meeting in person or by proxy, the meeting will have a quorum present.</w:t>
      </w:r>
    </w:p>
    <w:p>
      <w:pPr>
        <w:spacing w:after="0" w:line="177" w:lineRule="exact"/>
        <w:rPr>
          <w:sz w:val="20"/>
          <w:szCs w:val="20"/>
          <w:color w:val="auto"/>
        </w:rPr>
      </w:pPr>
    </w:p>
    <w:p>
      <w:pPr>
        <w:ind w:left="652" w:hanging="652"/>
        <w:spacing w:after="0"/>
        <w:tabs>
          <w:tab w:leader="none" w:pos="65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Assuming a quorum is present, what vote is required to elect a director nominee?</w:t>
      </w:r>
    </w:p>
    <w:p>
      <w:pPr>
        <w:spacing w:after="0" w:line="229" w:lineRule="exact"/>
        <w:rPr>
          <w:sz w:val="20"/>
          <w:szCs w:val="20"/>
          <w:color w:val="auto"/>
        </w:rPr>
      </w:pPr>
    </w:p>
    <w:p>
      <w:pPr>
        <w:ind w:left="652" w:right="180" w:hanging="652"/>
        <w:spacing w:after="0" w:line="276" w:lineRule="auto"/>
        <w:tabs>
          <w:tab w:leader="none" w:pos="6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plurality of affirmative votes of the holders of our outstanding class A and B shares of common stock, voting together as a single class, represented and entitled to vote at the meeting is necessary to elect each director nominee. You may indicate on your proxy card or in your voting instructions that you desire to withhold authority to vote for any of the director nominees. Since director nominees need only receive a plurality of affirmative votes from the holders represented and entitled to vote at the meeting to be elected, a vote withheld or a broker/nominee non-vote regarding a particular nominee will not affect the election of such director nominee.</w:t>
      </w:r>
    </w:p>
    <w:p>
      <w:pPr>
        <w:spacing w:after="0" w:line="172" w:lineRule="exact"/>
        <w:rPr>
          <w:rFonts w:ascii="Arial" w:cs="Arial" w:eastAsia="Arial" w:hAnsi="Arial"/>
          <w:sz w:val="17"/>
          <w:szCs w:val="17"/>
          <w:color w:val="auto"/>
        </w:rPr>
      </w:pPr>
    </w:p>
    <w:p>
      <w:pPr>
        <w:ind w:left="652" w:right="60"/>
        <w:spacing w:after="0" w:line="264" w:lineRule="auto"/>
        <w:rPr>
          <w:rFonts w:ascii="Arial" w:cs="Arial" w:eastAsia="Arial" w:hAnsi="Arial"/>
          <w:sz w:val="17"/>
          <w:szCs w:val="17"/>
          <w:color w:val="auto"/>
        </w:rPr>
      </w:pPr>
      <w:r>
        <w:rPr>
          <w:rFonts w:ascii="Arial" w:cs="Arial" w:eastAsia="Arial" w:hAnsi="Arial"/>
          <w:sz w:val="18"/>
          <w:szCs w:val="18"/>
          <w:color w:val="auto"/>
        </w:rPr>
        <w:t>NL has indicated its intention to have its shares of our common stock represented at the meeting and to vote such shares FOR the election of each of the director nominees named in this proxy statement. If NL attends the meeting in person or by proxy and votes as indicated, the stockholders will elect all of the nominees named in this proxy statement to the board of directors.</w:t>
      </w:r>
    </w:p>
    <w:p>
      <w:pPr>
        <w:spacing w:after="0" w:line="176" w:lineRule="exact"/>
        <w:rPr>
          <w:rFonts w:ascii="Arial" w:cs="Arial" w:eastAsia="Arial" w:hAnsi="Arial"/>
          <w:sz w:val="17"/>
          <w:szCs w:val="17"/>
          <w:color w:val="auto"/>
        </w:rPr>
      </w:pPr>
    </w:p>
    <w:p>
      <w:pPr>
        <w:ind w:left="5672" w:hanging="86"/>
        <w:spacing w:after="0"/>
        <w:tabs>
          <w:tab w:leader="none" w:pos="5672" w:val="left"/>
        </w:tabs>
        <w:numPr>
          <w:ilvl w:val="1"/>
          <w:numId w:val="33"/>
        </w:numPr>
        <w:rPr>
          <w:rFonts w:ascii="Arial" w:cs="Arial" w:eastAsia="Arial" w:hAnsi="Arial"/>
          <w:sz w:val="14"/>
          <w:szCs w:val="14"/>
          <w:color w:val="auto"/>
        </w:rPr>
      </w:pPr>
      <w:r>
        <w:rPr>
          <w:rFonts w:ascii="Arial" w:cs="Arial" w:eastAsia="Arial" w:hAnsi="Arial"/>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121" w:right="259" w:bottom="1440" w:gutter="0" w:footer="0" w:header="0"/>
        </w:sectPr>
      </w:pPr>
    </w:p>
    <w:bookmarkStart w:id="8" w:name="page9"/>
    <w:bookmarkEnd w:id="8"/>
    <w:p>
      <w:pPr>
        <w:ind w:left="652" w:hanging="652"/>
        <w:spacing w:after="0"/>
        <w:tabs>
          <w:tab w:leader="none" w:pos="65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Assuming a quorum is present, what vote is required to adopt and approve proposal 2 (Say-on-Pay)?</w:t>
      </w:r>
    </w:p>
    <w:p>
      <w:pPr>
        <w:spacing w:after="0" w:line="229" w:lineRule="exact"/>
        <w:rPr>
          <w:sz w:val="20"/>
          <w:szCs w:val="20"/>
          <w:color w:val="auto"/>
        </w:rPr>
      </w:pPr>
    </w:p>
    <w:p>
      <w:pPr>
        <w:ind w:left="652" w:right="80" w:hanging="652"/>
        <w:spacing w:after="0" w:line="297" w:lineRule="auto"/>
        <w:tabs>
          <w:tab w:leader="none" w:pos="65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stockholder resolution contained in this proposal provides that the nonbinding affirmative vote of the holders of the majority of the outstanding shares of the class A and B common stock, voting together as a single class, present in person or represented by proxy at the meeting and entitled to vote on the subject matter will be the requisite vote to adopt the resolution and approve the compensation of our named executive officers as such compensation is disclosed in this proxy statement. Abstentions will be counted as represented and entitled to vote and will therefore have the effect of a negative vote. Broker/nominee non-votes will not be counted as entitled to vote and will have no effect on this proposal.</w:t>
      </w:r>
    </w:p>
    <w:p>
      <w:pPr>
        <w:spacing w:after="0" w:line="158" w:lineRule="exact"/>
        <w:rPr>
          <w:sz w:val="20"/>
          <w:szCs w:val="20"/>
          <w:color w:val="auto"/>
        </w:rPr>
      </w:pPr>
    </w:p>
    <w:p>
      <w:pPr>
        <w:ind w:left="652" w:right="320"/>
        <w:spacing w:after="0" w:line="264" w:lineRule="auto"/>
        <w:rPr>
          <w:sz w:val="20"/>
          <w:szCs w:val="20"/>
          <w:color w:val="auto"/>
        </w:rPr>
      </w:pPr>
      <w:r>
        <w:rPr>
          <w:rFonts w:ascii="Arial" w:cs="Arial" w:eastAsia="Arial" w:hAnsi="Arial"/>
          <w:sz w:val="18"/>
          <w:szCs w:val="18"/>
          <w:color w:val="auto"/>
        </w:rPr>
        <w:t>NL has indicated its intention to have its shares of our common stock represented at the meeting and to vote such shares FOR this nonbinding advisory proposal. If NL attends the meeting in person or by proxy and votes as indicated, the stockholders will, by a nonbinding advisory vote, approve this proposal.</w:t>
      </w:r>
    </w:p>
    <w:p>
      <w:pPr>
        <w:spacing w:after="0" w:line="177" w:lineRule="exact"/>
        <w:rPr>
          <w:sz w:val="20"/>
          <w:szCs w:val="20"/>
          <w:color w:val="auto"/>
        </w:rPr>
      </w:pPr>
    </w:p>
    <w:p>
      <w:pPr>
        <w:ind w:left="652" w:hanging="652"/>
        <w:spacing w:after="0"/>
        <w:tabs>
          <w:tab w:leader="none" w:pos="65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Assuming a quorum is present, what vote is required to adopt and approve proposal 3?</w:t>
      </w:r>
    </w:p>
    <w:p>
      <w:pPr>
        <w:spacing w:after="0" w:line="229" w:lineRule="exact"/>
        <w:rPr>
          <w:sz w:val="20"/>
          <w:szCs w:val="20"/>
          <w:color w:val="auto"/>
        </w:rPr>
      </w:pPr>
    </w:p>
    <w:p>
      <w:pPr>
        <w:ind w:left="652" w:right="120" w:hanging="652"/>
        <w:spacing w:after="0" w:line="264" w:lineRule="auto"/>
        <w:tabs>
          <w:tab w:leader="none" w:pos="6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affirmative vote of the holders of the majority of the outstanding shares of the class A and B common stock, voting together as a single class is required to approve our second amended and restated certificate of incorporation. Abstentions and broker/nominee non-votes will have the same effect as a vote against proposal 3.</w:t>
      </w:r>
    </w:p>
    <w:p>
      <w:pPr>
        <w:spacing w:after="0" w:line="181" w:lineRule="exact"/>
        <w:rPr>
          <w:sz w:val="20"/>
          <w:szCs w:val="20"/>
          <w:color w:val="auto"/>
        </w:rPr>
      </w:pPr>
    </w:p>
    <w:p>
      <w:pPr>
        <w:ind w:left="652" w:right="340"/>
        <w:spacing w:after="0" w:line="264" w:lineRule="auto"/>
        <w:rPr>
          <w:sz w:val="20"/>
          <w:szCs w:val="20"/>
          <w:color w:val="auto"/>
        </w:rPr>
      </w:pPr>
      <w:r>
        <w:rPr>
          <w:rFonts w:ascii="Arial" w:cs="Arial" w:eastAsia="Arial" w:hAnsi="Arial"/>
          <w:sz w:val="18"/>
          <w:szCs w:val="18"/>
          <w:color w:val="auto"/>
        </w:rPr>
        <w:t>NL has indicated its intention to have its shares of our common stock represented at the meeting and to vote such shares FOR proposal 3. If NL attends the meeting in person or by proxy and votes as indicated, the stockholders will approve our second amended and restated certificate of incorporation.</w:t>
      </w:r>
    </w:p>
    <w:p>
      <w:pPr>
        <w:spacing w:after="0" w:line="177" w:lineRule="exact"/>
        <w:rPr>
          <w:sz w:val="20"/>
          <w:szCs w:val="20"/>
          <w:color w:val="auto"/>
        </w:rPr>
      </w:pPr>
    </w:p>
    <w:p>
      <w:pPr>
        <w:ind w:left="652" w:hanging="652"/>
        <w:spacing w:after="0"/>
        <w:tabs>
          <w:tab w:leader="none" w:pos="65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Assuming a quorum is present, what vote is required to approve any other matter to come before the meeting?</w:t>
      </w:r>
    </w:p>
    <w:p>
      <w:pPr>
        <w:spacing w:after="0" w:line="229" w:lineRule="exact"/>
        <w:rPr>
          <w:sz w:val="20"/>
          <w:szCs w:val="20"/>
          <w:color w:val="auto"/>
        </w:rPr>
      </w:pPr>
    </w:p>
    <w:p>
      <w:pPr>
        <w:ind w:left="652" w:hanging="652"/>
        <w:spacing w:after="0" w:line="259" w:lineRule="auto"/>
        <w:tabs>
          <w:tab w:leader="none" w:pos="6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as applicable laws may otherwise provide, the approval of any other matter that may properly come before the meeting will require the affirmative vote of the holders of the majority of the class A and B shares of common stock, voting together as a single class, present in person or represented by proxy at the annual meeting and entitled to vote on the subject matter. Abstentions will be counted as represented and entitled to vote and will therefore have the effect of a negative vote.</w:t>
      </w:r>
    </w:p>
    <w:p>
      <w:pPr>
        <w:spacing w:after="0" w:line="210" w:lineRule="exact"/>
        <w:rPr>
          <w:sz w:val="20"/>
          <w:szCs w:val="20"/>
          <w:color w:val="auto"/>
        </w:rPr>
      </w:pPr>
    </w:p>
    <w:p>
      <w:pPr>
        <w:ind w:left="652" w:hanging="652"/>
        <w:spacing w:after="0"/>
        <w:tabs>
          <w:tab w:leader="none" w:pos="652"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If I am a stockholder of record, how will the agents named on my proxy card vote on any other matter to come before the meeting?</w:t>
      </w:r>
    </w:p>
    <w:p>
      <w:pPr>
        <w:spacing w:after="0" w:line="241" w:lineRule="exact"/>
        <w:rPr>
          <w:sz w:val="20"/>
          <w:szCs w:val="20"/>
          <w:color w:val="auto"/>
        </w:rPr>
      </w:pPr>
    </w:p>
    <w:p>
      <w:pPr>
        <w:ind w:left="652" w:right="180" w:hanging="652"/>
        <w:spacing w:after="0" w:line="277" w:lineRule="auto"/>
        <w:tabs>
          <w:tab w:leader="none" w:pos="6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you are a stockholder of record and to the extent allowed by applicable law, the agents named on your proxy card will vote in their discretion on any other matter that may properly come before the meeting.</w:t>
      </w:r>
    </w:p>
    <w:p>
      <w:pPr>
        <w:spacing w:after="0" w:line="166" w:lineRule="exact"/>
        <w:rPr>
          <w:sz w:val="20"/>
          <w:szCs w:val="20"/>
          <w:color w:val="auto"/>
        </w:rPr>
      </w:pPr>
    </w:p>
    <w:p>
      <w:pPr>
        <w:ind w:left="652" w:hanging="652"/>
        <w:spacing w:after="0"/>
        <w:tabs>
          <w:tab w:leader="none" w:pos="65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Who will pay for the cost of soliciting the proxies?</w:t>
      </w:r>
    </w:p>
    <w:p>
      <w:pPr>
        <w:spacing w:after="0" w:line="121" w:lineRule="exact"/>
        <w:rPr>
          <w:sz w:val="20"/>
          <w:szCs w:val="20"/>
          <w:color w:val="auto"/>
        </w:rPr>
      </w:pPr>
    </w:p>
    <w:p>
      <w:pPr>
        <w:ind w:left="652" w:right="100" w:hanging="652"/>
        <w:spacing w:after="0" w:line="257" w:lineRule="auto"/>
        <w:tabs>
          <w:tab w:leader="none" w:pos="6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will pay all expenses related to the solicitation, including charges for preparing, printing, assembling and distributing all materials delivered to stockholders. In addition to the solicitation by mail, our directors, officers and regular employees may solicit proxies by telephone or in person for which such persons will receive no additional compensation. Upon request, we will reimburse brokerage firms or other nominees for their reasonable out-of-pocket expenses incurred in distributing proxy materials and voting instruction forms to the beneficial owners of our class A or B common stock that hold such stock in accounts with such entities.</w:t>
      </w:r>
    </w:p>
    <w:p>
      <w:pPr>
        <w:spacing w:after="0" w:line="143" w:lineRule="exact"/>
        <w:rPr>
          <w:rFonts w:ascii="Arial" w:cs="Arial" w:eastAsia="Arial" w:hAnsi="Arial"/>
          <w:sz w:val="18"/>
          <w:szCs w:val="18"/>
          <w:color w:val="auto"/>
        </w:rPr>
      </w:pPr>
    </w:p>
    <w:p>
      <w:pPr>
        <w:ind w:left="5672" w:hanging="86"/>
        <w:spacing w:after="0"/>
        <w:tabs>
          <w:tab w:leader="none" w:pos="5672" w:val="left"/>
        </w:tabs>
        <w:numPr>
          <w:ilvl w:val="1"/>
          <w:numId w:val="43"/>
        </w:numPr>
        <w:rPr>
          <w:rFonts w:ascii="Arial" w:cs="Arial" w:eastAsia="Arial" w:hAnsi="Arial"/>
          <w:sz w:val="14"/>
          <w:szCs w:val="14"/>
          <w:color w:val="auto"/>
        </w:rPr>
      </w:pPr>
      <w:r>
        <w:rPr>
          <w:rFonts w:ascii="Arial" w:cs="Arial" w:eastAsia="Arial" w:hAnsi="Arial"/>
          <w:sz w:val="14"/>
          <w:szCs w:val="14"/>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72"/>
          </w:cols>
          <w:pgMar w:left="248" w:top="121"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CONTROLLING STOCKHOLDER</w:t>
      </w:r>
    </w:p>
    <w:p>
      <w:pPr>
        <w:spacing w:after="0" w:line="12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NL directly held approximately 86.6% of the outstanding shares of our combined class A and B common stock as of the record date, which represents approximately 98.4% of the combined voting power of our class A and B common stock for the election of directors and 86.6% of the combined voting power of our class A and B common stock for other matters. NL has indicated its intention to have its shares of our common stock represented at the meeting and to vote such shares FOR the election of each of the director nominees named in this proxy statement and FOR proposals 2 and 3. If NL attends the meeting in person or by proxy and votes as indicated, the meeting will have a quorum present and the stockholders will elect all of the nominees named in this proxy statement to the board of directors and approve proposals 2 and 3.</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w:t>
      </w:r>
    </w:p>
    <w:p>
      <w:pPr>
        <w:spacing w:after="0" w:line="12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b w:val="1"/>
          <w:bCs w:val="1"/>
          <w:i w:val="1"/>
          <w:iCs w:val="1"/>
          <w:color w:val="auto"/>
        </w:rPr>
        <w:t>Ownership of CompX</w:t>
      </w:r>
      <w:r>
        <w:rPr>
          <w:rFonts w:ascii="Arial" w:cs="Arial" w:eastAsia="Arial" w:hAnsi="Arial"/>
          <w:sz w:val="17"/>
          <w:szCs w:val="17"/>
          <w:color w:val="auto"/>
        </w:rPr>
        <w:t>. The following table and footnotes set forth as of the record date the beneficial ownership, as defined by regulations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 of our class A and B common stock held by each individual, entity or group known to us to own beneficially more than 5% of the outstanding shares of our class A or B common stock, each director, each named executive officer and all of our current directors and executive officers as a group. See footnote 3 below for information concerning the relationships of certain individuals and entities that may be deemed to own indirectly and beneficially more than 5% of the outstanding shares of our class A or B common stock. All information is taken from or based upon ownership filings made by such individuals or entities with the SEC or upon information provided by such individuals or entities.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5"/>
              </w:rPr>
              <w:t>CompX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Class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7"/>
              </w:rPr>
              <w:t>and 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Common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140" w:type="dxa"/>
            <w:vAlign w:val="bottom"/>
            <w:gridSpan w:val="2"/>
          </w:tcPr>
          <w:p>
            <w:pPr>
              <w:ind w:left="540"/>
              <w:spacing w:after="0"/>
              <w:rPr>
                <w:sz w:val="20"/>
                <w:szCs w:val="20"/>
                <w:color w:val="auto"/>
              </w:rPr>
            </w:pPr>
            <w:r>
              <w:rPr>
                <w:rFonts w:ascii="Arial" w:cs="Arial" w:eastAsia="Arial" w:hAnsi="Arial"/>
                <w:sz w:val="18"/>
                <w:szCs w:val="18"/>
                <w:b w:val="1"/>
                <w:bCs w:val="1"/>
                <w:color w:val="auto"/>
              </w:rPr>
              <w:t>CompX Class A Common</w:t>
            </w:r>
          </w:p>
        </w:tc>
        <w:tc>
          <w:tcPr>
            <w:tcW w:w="3240" w:type="dxa"/>
            <w:vAlign w:val="bottom"/>
            <w:gridSpan w:val="2"/>
          </w:tcPr>
          <w:p>
            <w:pPr>
              <w:ind w:left="580"/>
              <w:spacing w:after="0"/>
              <w:rPr>
                <w:sz w:val="20"/>
                <w:szCs w:val="20"/>
                <w:color w:val="auto"/>
              </w:rPr>
            </w:pPr>
            <w:r>
              <w:rPr>
                <w:rFonts w:ascii="Arial" w:cs="Arial" w:eastAsia="Arial" w:hAnsi="Arial"/>
                <w:sz w:val="18"/>
                <w:szCs w:val="18"/>
                <w:b w:val="1"/>
                <w:bCs w:val="1"/>
                <w:color w:val="auto"/>
              </w:rPr>
              <w:t>CompX Class B Common</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Stock</w:t>
            </w:r>
          </w:p>
        </w:tc>
        <w:tc>
          <w:tcPr>
            <w:tcW w:w="1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Stock</w:t>
            </w:r>
          </w:p>
        </w:tc>
        <w:tc>
          <w:tcPr>
            <w:tcW w:w="1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Amount and</w:t>
            </w:r>
          </w:p>
        </w:tc>
        <w:tc>
          <w:tcPr>
            <w:tcW w:w="1180" w:type="dxa"/>
            <w:vAlign w:val="bottom"/>
          </w:tcPr>
          <w:p>
            <w:pPr>
              <w:spacing w:after="0"/>
              <w:rPr>
                <w:sz w:val="17"/>
                <w:szCs w:val="17"/>
                <w:color w:val="auto"/>
              </w:rPr>
            </w:pPr>
          </w:p>
        </w:tc>
        <w:tc>
          <w:tcPr>
            <w:tcW w:w="198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1"/>
              </w:rPr>
              <w:t>Amount and</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3"/>
              </w:rPr>
              <w:t>Nature of</w:t>
            </w: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Percent</w:t>
            </w:r>
          </w:p>
        </w:tc>
        <w:tc>
          <w:tcPr>
            <w:tcW w:w="19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Nature of</w:t>
            </w: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Beneficial</w:t>
            </w: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of Class</w:t>
            </w:r>
          </w:p>
        </w:tc>
        <w:tc>
          <w:tcPr>
            <w:tcW w:w="1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Beneficial</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40" w:type="dxa"/>
            <w:vAlign w:val="bottom"/>
            <w:tcBorders>
              <w:bottom w:val="single" w:sz="8" w:color="auto"/>
            </w:tcBorders>
            <w:gridSpan w:val="2"/>
          </w:tcPr>
          <w:p>
            <w:pPr>
              <w:ind w:left="1140"/>
              <w:spacing w:after="0"/>
              <w:rPr>
                <w:sz w:val="20"/>
                <w:szCs w:val="20"/>
                <w:color w:val="auto"/>
              </w:rPr>
            </w:pPr>
            <w:r>
              <w:rPr>
                <w:rFonts w:ascii="Arial" w:cs="Arial" w:eastAsia="Arial" w:hAnsi="Arial"/>
                <w:sz w:val="18"/>
                <w:szCs w:val="18"/>
                <w:b w:val="1"/>
                <w:bCs w:val="1"/>
                <w:color w:val="auto"/>
              </w:rPr>
              <w:t>Beneficial Owner</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Ownership (1)</w:t>
            </w:r>
          </w:p>
        </w:tc>
        <w:tc>
          <w:tcPr>
            <w:tcW w:w="11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(2)</w:t>
            </w:r>
          </w:p>
        </w:tc>
        <w:tc>
          <w:tcPr>
            <w:tcW w:w="1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Ownership (1)</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Class (2)</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Class (2)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Harold C. Simmons Family Trust No. 2; Lisa K.</w:t>
            </w:r>
          </w:p>
        </w:tc>
        <w:tc>
          <w:tcPr>
            <w:tcW w:w="19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Simmons and Serena Simmons Connelly as co-</w:t>
            </w: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trustees</w:t>
            </w:r>
          </w:p>
        </w:tc>
        <w:tc>
          <w:tcPr>
            <w:tcW w:w="1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764,004(3)(4)</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3"/>
              </w:rPr>
              <w:t>31.5%</w:t>
            </w:r>
          </w:p>
        </w:tc>
        <w:tc>
          <w:tcPr>
            <w:tcW w:w="19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10,000,000(3)(4)</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Serena Simmons Connelly</w:t>
            </w:r>
          </w:p>
        </w:tc>
        <w:tc>
          <w:tcPr>
            <w:tcW w:w="1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2,000(3)(4)</w:t>
            </w:r>
          </w:p>
        </w:tc>
        <w:tc>
          <w:tcPr>
            <w:tcW w:w="11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Sessa Capital (Master), L.P.</w:t>
            </w:r>
          </w:p>
        </w:tc>
        <w:tc>
          <w:tcPr>
            <w:tcW w:w="19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431,732(5)</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3"/>
              </w:rPr>
              <w:t>17.8%</w:t>
            </w:r>
          </w:p>
        </w:tc>
        <w:tc>
          <w:tcPr>
            <w:tcW w:w="1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Royce &amp; Associates, LP</w:t>
            </w:r>
          </w:p>
        </w:tc>
        <w:tc>
          <w:tcPr>
            <w:tcW w:w="1960" w:type="dxa"/>
            <w:vAlign w:val="bottom"/>
          </w:tcPr>
          <w:p>
            <w:pPr>
              <w:jc w:val="right"/>
              <w:ind w:right="510"/>
              <w:spacing w:after="0"/>
              <w:rPr>
                <w:sz w:val="20"/>
                <w:szCs w:val="20"/>
                <w:color w:val="auto"/>
              </w:rPr>
            </w:pPr>
            <w:r>
              <w:rPr>
                <w:rFonts w:ascii="Arial" w:cs="Arial" w:eastAsia="Arial" w:hAnsi="Arial"/>
                <w:sz w:val="18"/>
                <w:szCs w:val="18"/>
                <w:color w:val="auto"/>
              </w:rPr>
              <w:t>289,300(6)</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6"/>
              </w:rPr>
              <w:t>11.9%</w:t>
            </w:r>
          </w:p>
        </w:tc>
        <w:tc>
          <w:tcPr>
            <w:tcW w:w="1980" w:type="dxa"/>
            <w:vAlign w:val="bottom"/>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Dimensional Fund Advisors LP</w:t>
            </w:r>
          </w:p>
        </w:tc>
        <w:tc>
          <w:tcPr>
            <w:tcW w:w="19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175,873(7)</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7"/>
              </w:rPr>
              <w:t>7.2%</w:t>
            </w:r>
          </w:p>
        </w:tc>
        <w:tc>
          <w:tcPr>
            <w:tcW w:w="1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Renaissance Technologies LLC</w:t>
            </w:r>
          </w:p>
        </w:tc>
        <w:tc>
          <w:tcPr>
            <w:tcW w:w="1960" w:type="dxa"/>
            <w:vAlign w:val="bottom"/>
          </w:tcPr>
          <w:p>
            <w:pPr>
              <w:jc w:val="right"/>
              <w:ind w:right="510"/>
              <w:spacing w:after="0"/>
              <w:rPr>
                <w:sz w:val="20"/>
                <w:szCs w:val="20"/>
                <w:color w:val="auto"/>
              </w:rPr>
            </w:pPr>
            <w:r>
              <w:rPr>
                <w:rFonts w:ascii="Arial" w:cs="Arial" w:eastAsia="Arial" w:hAnsi="Arial"/>
                <w:sz w:val="18"/>
                <w:szCs w:val="18"/>
                <w:color w:val="auto"/>
              </w:rPr>
              <w:t>163,700(8)</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87"/>
              </w:rPr>
              <w:t>6.7%</w:t>
            </w:r>
          </w:p>
        </w:tc>
        <w:tc>
          <w:tcPr>
            <w:tcW w:w="1980" w:type="dxa"/>
            <w:vAlign w:val="bottom"/>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Thomas E. Barry</w:t>
            </w:r>
          </w:p>
        </w:tc>
        <w:tc>
          <w:tcPr>
            <w:tcW w:w="1960" w:type="dxa"/>
            <w:vAlign w:val="bottom"/>
          </w:tcPr>
          <w:p>
            <w:pPr>
              <w:jc w:val="right"/>
              <w:ind w:right="510"/>
              <w:spacing w:after="0"/>
              <w:rPr>
                <w:sz w:val="20"/>
                <w:szCs w:val="20"/>
                <w:color w:val="auto"/>
              </w:rPr>
            </w:pPr>
            <w:r>
              <w:rPr>
                <w:rFonts w:ascii="Arial" w:cs="Arial" w:eastAsia="Arial" w:hAnsi="Arial"/>
                <w:sz w:val="18"/>
                <w:szCs w:val="18"/>
                <w:color w:val="auto"/>
              </w:rPr>
              <w:t>2,000(9)</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Bowers</w:t>
            </w:r>
          </w:p>
        </w:tc>
        <w:tc>
          <w:tcPr>
            <w:tcW w:w="19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10,000(9)</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Loretta J. Feehan</w:t>
            </w:r>
          </w:p>
        </w:tc>
        <w:tc>
          <w:tcPr>
            <w:tcW w:w="1960" w:type="dxa"/>
            <w:vAlign w:val="bottom"/>
          </w:tcPr>
          <w:p>
            <w:pPr>
              <w:jc w:val="right"/>
              <w:ind w:right="510"/>
              <w:spacing w:after="0"/>
              <w:rPr>
                <w:sz w:val="20"/>
                <w:szCs w:val="20"/>
                <w:color w:val="auto"/>
              </w:rPr>
            </w:pPr>
            <w:r>
              <w:rPr>
                <w:rFonts w:ascii="Arial" w:cs="Arial" w:eastAsia="Arial" w:hAnsi="Arial"/>
                <w:sz w:val="18"/>
                <w:szCs w:val="18"/>
                <w:color w:val="auto"/>
              </w:rPr>
              <w:t>4,000(9)</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Elisabeth C. Fisher</w:t>
            </w:r>
          </w:p>
        </w:tc>
        <w:tc>
          <w:tcPr>
            <w:tcW w:w="19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2,000(9)</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Robert D. Graham</w:t>
            </w:r>
          </w:p>
        </w:tc>
        <w:tc>
          <w:tcPr>
            <w:tcW w:w="1960" w:type="dxa"/>
            <w:vAlign w:val="bottom"/>
          </w:tcPr>
          <w:p>
            <w:pPr>
              <w:jc w:val="right"/>
              <w:ind w:right="510"/>
              <w:spacing w:after="0"/>
              <w:rPr>
                <w:sz w:val="20"/>
                <w:szCs w:val="20"/>
                <w:color w:val="auto"/>
              </w:rPr>
            </w:pPr>
            <w:r>
              <w:rPr>
                <w:rFonts w:ascii="Arial" w:cs="Arial" w:eastAsia="Arial" w:hAnsi="Arial"/>
                <w:sz w:val="18"/>
                <w:szCs w:val="18"/>
                <w:color w:val="auto"/>
              </w:rPr>
              <w:t>1,000(9)</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 L. Herrington</w:t>
            </w:r>
          </w:p>
        </w:tc>
        <w:tc>
          <w:tcPr>
            <w:tcW w:w="19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-0-(9)</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-0-</w:t>
            </w:r>
          </w:p>
        </w:tc>
        <w:tc>
          <w:tcPr>
            <w:tcW w:w="1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Ann Manix</w:t>
            </w:r>
          </w:p>
        </w:tc>
        <w:tc>
          <w:tcPr>
            <w:tcW w:w="1960" w:type="dxa"/>
            <w:vAlign w:val="bottom"/>
          </w:tcPr>
          <w:p>
            <w:pPr>
              <w:jc w:val="right"/>
              <w:ind w:right="510"/>
              <w:spacing w:after="0"/>
              <w:rPr>
                <w:sz w:val="20"/>
                <w:szCs w:val="20"/>
                <w:color w:val="auto"/>
              </w:rPr>
            </w:pPr>
            <w:r>
              <w:rPr>
                <w:rFonts w:ascii="Arial" w:cs="Arial" w:eastAsia="Arial" w:hAnsi="Arial"/>
                <w:sz w:val="18"/>
                <w:szCs w:val="18"/>
                <w:color w:val="auto"/>
              </w:rPr>
              <w:t>2,175(9)</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Cecil H. Moore, Jr.</w:t>
            </w:r>
          </w:p>
        </w:tc>
        <w:tc>
          <w:tcPr>
            <w:tcW w:w="19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2,000(9)</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Mary A. Tidlund</w:t>
            </w:r>
          </w:p>
        </w:tc>
        <w:tc>
          <w:tcPr>
            <w:tcW w:w="1960" w:type="dxa"/>
            <w:vAlign w:val="bottom"/>
          </w:tcPr>
          <w:p>
            <w:pPr>
              <w:jc w:val="right"/>
              <w:ind w:right="510"/>
              <w:spacing w:after="0"/>
              <w:rPr>
                <w:sz w:val="20"/>
                <w:szCs w:val="20"/>
                <w:color w:val="auto"/>
              </w:rPr>
            </w:pPr>
            <w:r>
              <w:rPr>
                <w:rFonts w:ascii="Arial" w:cs="Arial" w:eastAsia="Arial" w:hAnsi="Arial"/>
                <w:sz w:val="18"/>
                <w:szCs w:val="18"/>
                <w:color w:val="auto"/>
              </w:rPr>
              <w:t>2,000(9)</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James W. Brown</w:t>
            </w:r>
          </w:p>
        </w:tc>
        <w:tc>
          <w:tcPr>
            <w:tcW w:w="1960" w:type="dxa"/>
            <w:vAlign w:val="bottom"/>
          </w:tcPr>
          <w:p>
            <w:pPr>
              <w:jc w:val="right"/>
              <w:ind w:right="510"/>
              <w:spacing w:after="0"/>
              <w:rPr>
                <w:sz w:val="20"/>
                <w:szCs w:val="20"/>
                <w:color w:val="auto"/>
              </w:rPr>
            </w:pPr>
            <w:r>
              <w:rPr>
                <w:rFonts w:ascii="Arial" w:cs="Arial" w:eastAsia="Arial" w:hAnsi="Arial"/>
                <w:sz w:val="18"/>
                <w:szCs w:val="18"/>
                <w:color w:val="auto"/>
              </w:rPr>
              <w:t>-0-(9)</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90"/>
              </w:rPr>
              <w:t>-0-</w:t>
            </w:r>
          </w:p>
        </w:tc>
        <w:tc>
          <w:tcPr>
            <w:tcW w:w="1980" w:type="dxa"/>
            <w:vAlign w:val="bottom"/>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tcPr>
          <w:p>
            <w:pPr>
              <w:jc w:val="right"/>
              <w:ind w:right="4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C. James</w:t>
            </w:r>
          </w:p>
        </w:tc>
        <w:tc>
          <w:tcPr>
            <w:tcW w:w="19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-0-(9)</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-0-</w:t>
            </w:r>
          </w:p>
        </w:tc>
        <w:tc>
          <w:tcPr>
            <w:tcW w:w="1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Andrew B. Nace</w:t>
            </w:r>
          </w:p>
        </w:tc>
        <w:tc>
          <w:tcPr>
            <w:tcW w:w="1960" w:type="dxa"/>
            <w:vAlign w:val="bottom"/>
          </w:tcPr>
          <w:p>
            <w:pPr>
              <w:jc w:val="right"/>
              <w:ind w:right="510"/>
              <w:spacing w:after="0"/>
              <w:rPr>
                <w:sz w:val="20"/>
                <w:szCs w:val="20"/>
                <w:color w:val="auto"/>
              </w:rPr>
            </w:pPr>
            <w:r>
              <w:rPr>
                <w:rFonts w:ascii="Arial" w:cs="Arial" w:eastAsia="Arial" w:hAnsi="Arial"/>
                <w:sz w:val="18"/>
                <w:szCs w:val="18"/>
                <w:color w:val="auto"/>
              </w:rPr>
              <w:t>-0-(9)</w:t>
            </w:r>
          </w:p>
        </w:tc>
        <w:tc>
          <w:tcPr>
            <w:tcW w:w="1180" w:type="dxa"/>
            <w:vAlign w:val="bottom"/>
          </w:tcPr>
          <w:p>
            <w:pPr>
              <w:jc w:val="center"/>
              <w:ind w:right="50"/>
              <w:spacing w:after="0"/>
              <w:rPr>
                <w:sz w:val="20"/>
                <w:szCs w:val="20"/>
                <w:color w:val="auto"/>
              </w:rPr>
            </w:pPr>
            <w:r>
              <w:rPr>
                <w:rFonts w:ascii="Arial" w:cs="Arial" w:eastAsia="Arial" w:hAnsi="Arial"/>
                <w:sz w:val="18"/>
                <w:szCs w:val="18"/>
                <w:color w:val="auto"/>
                <w:w w:val="90"/>
              </w:rPr>
              <w:t>-0-</w:t>
            </w:r>
          </w:p>
        </w:tc>
        <w:tc>
          <w:tcPr>
            <w:tcW w:w="1980" w:type="dxa"/>
            <w:vAlign w:val="bottom"/>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tcPr>
          <w:p>
            <w:pPr>
              <w:jc w:val="right"/>
              <w:ind w:right="4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M. Swalwell</w:t>
            </w:r>
          </w:p>
        </w:tc>
        <w:tc>
          <w:tcPr>
            <w:tcW w:w="19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-0-(9)</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-0-</w:t>
            </w:r>
          </w:p>
        </w:tc>
        <w:tc>
          <w:tcPr>
            <w:tcW w:w="1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Current directors and executive officers as a</w:t>
            </w:r>
          </w:p>
        </w:tc>
        <w:tc>
          <w:tcPr>
            <w:tcW w:w="19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group (17 persons)</w:t>
            </w:r>
          </w:p>
        </w:tc>
        <w:tc>
          <w:tcPr>
            <w:tcW w:w="19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25,375(9)</w:t>
            </w:r>
          </w:p>
        </w:tc>
        <w:tc>
          <w:tcPr>
            <w:tcW w:w="11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-0-</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15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740" w:hanging="732"/>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25" w:lineRule="exact"/>
        <w:rPr>
          <w:sz w:val="20"/>
          <w:szCs w:val="20"/>
          <w:color w:val="auto"/>
        </w:rPr>
      </w:pPr>
    </w:p>
    <w:p>
      <w:pPr>
        <w:ind w:left="660" w:hanging="652"/>
        <w:spacing w:after="0" w:line="279"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Beneficial ownership as reported in the above table has been determined in accordance with Rule 13d-3 under the Securities Exchange Act, and is not necessarily indicative of beneficial ownership for any other purpose. Except as otherwise noted, the listed entities, individuals or group have sole investment power and sole voting power as to all shares set forth opposite their names. Other than the investment funds, the business address for each listed person or entity is Three Lincoln Centre, 5430 LBJ Freeway, Suite 1700, Dallas, Texas 75240-2697.</w:t>
      </w:r>
    </w:p>
    <w:p>
      <w:pPr>
        <w:sectPr>
          <w:pgSz w:w="11900" w:h="16838" w:orient="portrait"/>
          <w:cols w:equalWidth="0" w:num="1">
            <w:col w:w="11420"/>
          </w:cols>
          <w:pgMar w:left="240" w:top="121" w:right="239" w:bottom="580" w:gutter="0" w:footer="0" w:header="0"/>
        </w:sect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580" w:gutter="0" w:footer="0" w:header="0"/>
          <w:type w:val="continuous"/>
        </w:sectPr>
      </w:pPr>
    </w:p>
    <w:bookmarkStart w:id="10" w:name="page11"/>
    <w:bookmarkEnd w:id="10"/>
    <w:p>
      <w:pPr>
        <w:ind w:left="660" w:right="20" w:hanging="652"/>
        <w:spacing w:after="0" w:line="255"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percentages set forth above and in the following footnotes are based on 2,426,107 shares of our class A common stock and 10,000,000 shares of our class B common stock outstanding as of the record date. As already discussed, each share of our class A common stock entitles its holder to one vote on all matters, including with respect to the election of directors; and each share of our class B common stock entitles its holder to ten votes with respect to the election of directors and one vote on all other matters. In certain instances, shares of our class B common stock are automatically convertible into shares of our class A common stock. See also the "Proposal 3 – Second Amended and Restated Certificate of Incorporation" section of this proxy statement.</w:t>
      </w:r>
    </w:p>
    <w:p>
      <w:pPr>
        <w:spacing w:after="0" w:line="193" w:lineRule="exact"/>
        <w:rPr>
          <w:rFonts w:ascii="Arial" w:cs="Arial" w:eastAsia="Arial" w:hAnsi="Arial"/>
          <w:sz w:val="18"/>
          <w:szCs w:val="18"/>
          <w:color w:val="auto"/>
        </w:rPr>
      </w:pPr>
    </w:p>
    <w:p>
      <w:pPr>
        <w:ind w:left="660" w:hanging="652"/>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following is a description of certain related entities or persons that may be deemed to beneficially own outstanding shares of our common stock.</w:t>
      </w:r>
    </w:p>
    <w:p>
      <w:pPr>
        <w:spacing w:after="0" w:line="248" w:lineRule="exact"/>
        <w:rPr>
          <w:rFonts w:ascii="Arial" w:cs="Arial" w:eastAsia="Arial" w:hAnsi="Arial"/>
          <w:sz w:val="16"/>
          <w:szCs w:val="16"/>
          <w:color w:val="auto"/>
        </w:rPr>
      </w:pPr>
    </w:p>
    <w:p>
      <w:pPr>
        <w:ind w:left="660" w:right="160"/>
        <w:spacing w:after="0" w:line="257" w:lineRule="auto"/>
        <w:rPr>
          <w:rFonts w:ascii="Arial" w:cs="Arial" w:eastAsia="Arial" w:hAnsi="Arial"/>
          <w:sz w:val="16"/>
          <w:szCs w:val="16"/>
          <w:color w:val="auto"/>
        </w:rPr>
      </w:pPr>
      <w:r>
        <w:rPr>
          <w:rFonts w:ascii="Arial" w:cs="Arial" w:eastAsia="Arial" w:hAnsi="Arial"/>
          <w:sz w:val="18"/>
          <w:szCs w:val="18"/>
          <w:color w:val="auto"/>
        </w:rPr>
        <w:t>All of Contran's outstanding voting stock is held by the Family Trust or is held directly by Lisa K. Simmons and Serena Simmons Connelly or entities related to them. As co-trustees of the Family Trust, each of Ms. Simmons and Ms. Connelly has the shared power to vote and direct the disposition of the shares of Contran stock held by the Family Trust, and Ms. Simmons and Ms. Connelly each has the power to vote and direct the disposition of the shares held directly by them and the entities related to them. Ms. Simmons and Ms. Connelly are sisters and also serve as the co-chairs of the board of directors of Contran.</w:t>
      </w:r>
    </w:p>
    <w:p>
      <w:pPr>
        <w:spacing w:after="0" w:line="80" w:lineRule="exact"/>
        <w:rPr>
          <w:rFonts w:ascii="Arial" w:cs="Arial" w:eastAsia="Arial" w:hAnsi="Arial"/>
          <w:sz w:val="16"/>
          <w:szCs w:val="16"/>
          <w:color w:val="auto"/>
        </w:rPr>
      </w:pPr>
    </w:p>
    <w:p>
      <w:pPr>
        <w:ind w:left="660" w:right="180"/>
        <w:spacing w:after="0" w:line="264" w:lineRule="auto"/>
        <w:rPr>
          <w:rFonts w:ascii="Arial" w:cs="Arial" w:eastAsia="Arial" w:hAnsi="Arial"/>
          <w:sz w:val="16"/>
          <w:szCs w:val="16"/>
          <w:color w:val="auto"/>
        </w:rPr>
      </w:pPr>
      <w:r>
        <w:rPr>
          <w:rFonts w:ascii="Arial" w:cs="Arial" w:eastAsia="Arial" w:hAnsi="Arial"/>
          <w:sz w:val="18"/>
          <w:szCs w:val="18"/>
          <w:color w:val="auto"/>
        </w:rPr>
        <w:t>Contran is the sole owner of Valhi's outstanding shares of non-voting preferred stock. Contran is also the holder of the sole membership interest of Dixie Rice and may be deemed to control Dixie Rice. Dixie Rice is the direct holder of all of the outstanding common stock of VHC and may be deemed to control VHC.</w:t>
      </w:r>
    </w:p>
    <w:p>
      <w:pPr>
        <w:spacing w:after="0" w:line="181"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Ms. Simmons and Ms. Connelly directly hold, or are related to the following person or entities that directly hold, the following percentages of the outstanding shares of NL common stock:</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Valhi</w:t>
            </w:r>
          </w:p>
        </w:tc>
        <w:tc>
          <w:tcPr>
            <w:tcW w:w="472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Kronos Worldwide</w:t>
            </w:r>
          </w:p>
        </w:tc>
        <w:tc>
          <w:tcPr>
            <w:tcW w:w="4720" w:type="dxa"/>
            <w:vAlign w:val="bottom"/>
          </w:tcPr>
          <w:p>
            <w:pPr>
              <w:ind w:left="2740"/>
              <w:spacing w:after="0"/>
              <w:rPr>
                <w:sz w:val="20"/>
                <w:szCs w:val="20"/>
                <w:color w:val="auto"/>
              </w:rPr>
            </w:pPr>
            <w:r>
              <w:rPr>
                <w:rFonts w:ascii="Arial" w:cs="Arial" w:eastAsia="Arial" w:hAnsi="Arial"/>
                <w:sz w:val="18"/>
                <w:szCs w:val="18"/>
                <w:color w:val="auto"/>
              </w:rPr>
              <w:t>Less than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Serena Simmons Connelly</w:t>
            </w:r>
          </w:p>
        </w:tc>
        <w:tc>
          <w:tcPr>
            <w:tcW w:w="472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Less than 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0" w:type="dxa"/>
            <w:vAlign w:val="bottom"/>
            <w:gridSpan w:val="3"/>
          </w:tcPr>
          <w:p>
            <w:pPr>
              <w:ind w:left="640"/>
              <w:spacing w:after="0" w:line="201" w:lineRule="exact"/>
              <w:rPr>
                <w:sz w:val="20"/>
                <w:szCs w:val="20"/>
                <w:color w:val="auto"/>
              </w:rPr>
            </w:pPr>
            <w:r>
              <w:rPr>
                <w:rFonts w:ascii="Arial" w:cs="Arial" w:eastAsia="Arial" w:hAnsi="Arial"/>
                <w:sz w:val="18"/>
                <w:szCs w:val="18"/>
                <w:color w:val="auto"/>
                <w:w w:val="92"/>
              </w:rPr>
              <w:t>Ms. Simmons and Ms. Connelly directly hold, or are related to the following entities that directly hold, the following percentages of the outstanding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gridSpan w:val="2"/>
          </w:tcPr>
          <w:p>
            <w:pPr>
              <w:ind w:left="640"/>
              <w:spacing w:after="0"/>
              <w:rPr>
                <w:sz w:val="20"/>
                <w:szCs w:val="20"/>
                <w:color w:val="auto"/>
              </w:rPr>
            </w:pPr>
            <w:r>
              <w:rPr>
                <w:rFonts w:ascii="Arial" w:cs="Arial" w:eastAsia="Arial" w:hAnsi="Arial"/>
                <w:sz w:val="18"/>
                <w:szCs w:val="18"/>
                <w:color w:val="auto"/>
              </w:rPr>
              <w:t>shares of Kronos Worldwide common stock:</w:t>
            </w:r>
          </w:p>
        </w:tc>
        <w:tc>
          <w:tcPr>
            <w:tcW w:w="4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9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4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Valhi</w:t>
            </w:r>
          </w:p>
        </w:tc>
        <w:tc>
          <w:tcPr>
            <w:tcW w:w="472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NLKW</w:t>
            </w:r>
          </w:p>
        </w:tc>
        <w:tc>
          <w:tcPr>
            <w:tcW w:w="4720" w:type="dxa"/>
            <w:vAlign w:val="bottom"/>
          </w:tcPr>
          <w:p>
            <w:pPr>
              <w:ind w:left="27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Contran</w:t>
            </w:r>
          </w:p>
        </w:tc>
        <w:tc>
          <w:tcPr>
            <w:tcW w:w="472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Less than 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gridSpan w:val="2"/>
          </w:tcPr>
          <w:p>
            <w:pPr>
              <w:spacing w:after="0" w:line="201" w:lineRule="exact"/>
              <w:rPr>
                <w:sz w:val="20"/>
                <w:szCs w:val="20"/>
                <w:color w:val="auto"/>
              </w:rPr>
            </w:pPr>
            <w:r>
              <w:rPr>
                <w:rFonts w:ascii="Arial" w:cs="Arial" w:eastAsia="Arial" w:hAnsi="Arial"/>
                <w:sz w:val="18"/>
                <w:szCs w:val="18"/>
                <w:color w:val="auto"/>
              </w:rPr>
              <w:t>Serena Simmons Connelly</w:t>
            </w:r>
          </w:p>
        </w:tc>
        <w:tc>
          <w:tcPr>
            <w:tcW w:w="4720" w:type="dxa"/>
            <w:vAlign w:val="bottom"/>
          </w:tcPr>
          <w:p>
            <w:pPr>
              <w:ind w:left="2700"/>
              <w:spacing w:after="0" w:line="201" w:lineRule="exact"/>
              <w:rPr>
                <w:sz w:val="20"/>
                <w:szCs w:val="20"/>
                <w:color w:val="auto"/>
              </w:rPr>
            </w:pPr>
            <w:r>
              <w:rPr>
                <w:rFonts w:ascii="Arial" w:cs="Arial" w:eastAsia="Arial" w:hAnsi="Arial"/>
                <w:sz w:val="18"/>
                <w:szCs w:val="18"/>
                <w:color w:val="auto"/>
              </w:rPr>
              <w:t>Less than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0" w:type="dxa"/>
            <w:vAlign w:val="bottom"/>
            <w:gridSpan w:val="3"/>
          </w:tcPr>
          <w:p>
            <w:pPr>
              <w:ind w:left="640"/>
              <w:spacing w:after="0"/>
              <w:rPr>
                <w:sz w:val="20"/>
                <w:szCs w:val="20"/>
                <w:color w:val="auto"/>
              </w:rPr>
            </w:pPr>
            <w:r>
              <w:rPr>
                <w:rFonts w:ascii="Arial" w:cs="Arial" w:eastAsia="Arial" w:hAnsi="Arial"/>
                <w:sz w:val="18"/>
                <w:szCs w:val="18"/>
                <w:color w:val="auto"/>
                <w:w w:val="94"/>
              </w:rPr>
              <w:t>Ms. Simmons and Ms. Connelly directly hold, or are related to the following person or entity that directly holds, the following percentages of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gridSpan w:val="2"/>
          </w:tcPr>
          <w:p>
            <w:pPr>
              <w:ind w:left="640"/>
              <w:spacing w:after="0"/>
              <w:rPr>
                <w:sz w:val="20"/>
                <w:szCs w:val="20"/>
                <w:color w:val="auto"/>
              </w:rPr>
            </w:pPr>
            <w:r>
              <w:rPr>
                <w:rFonts w:ascii="Arial" w:cs="Arial" w:eastAsia="Arial" w:hAnsi="Arial"/>
                <w:sz w:val="18"/>
                <w:szCs w:val="18"/>
                <w:color w:val="auto"/>
              </w:rPr>
              <w:t>outstanding shares of Valhi common stock (a):</w:t>
            </w:r>
          </w:p>
        </w:tc>
        <w:tc>
          <w:tcPr>
            <w:tcW w:w="4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700" w:type="dxa"/>
            <w:vAlign w:val="bottom"/>
            <w:gridSpan w:val="3"/>
          </w:tcPr>
          <w:p>
            <w:pPr>
              <w:spacing w:after="0"/>
              <w:rPr>
                <w:sz w:val="20"/>
                <w:szCs w:val="20"/>
                <w:color w:val="auto"/>
              </w:rPr>
            </w:pPr>
            <w:r>
              <w:rPr>
                <w:rFonts w:ascii="Arial" w:cs="Arial" w:eastAsia="Arial" w:hAnsi="Arial"/>
                <w:sz w:val="18"/>
                <w:szCs w:val="18"/>
                <w:color w:val="auto"/>
              </w:rPr>
              <w:t>VHC</w:t>
            </w:r>
          </w:p>
        </w:tc>
        <w:tc>
          <w:tcPr>
            <w:tcW w:w="4720" w:type="dxa"/>
            <w:vAlign w:val="bottom"/>
          </w:tcPr>
          <w:p>
            <w:pPr>
              <w:ind w:left="274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Serena Simmons Connelly</w:t>
            </w:r>
          </w:p>
        </w:tc>
        <w:tc>
          <w:tcPr>
            <w:tcW w:w="4720" w:type="dxa"/>
            <w:vAlign w:val="bottom"/>
            <w:shd w:val="clear" w:color="auto" w:fill="CCEEFF"/>
          </w:tcPr>
          <w:p>
            <w:pPr>
              <w:ind w:left="2740"/>
              <w:spacing w:after="0"/>
              <w:rPr>
                <w:sz w:val="20"/>
                <w:szCs w:val="20"/>
                <w:color w:val="auto"/>
              </w:rPr>
            </w:pPr>
            <w:r>
              <w:rPr>
                <w:rFonts w:ascii="Arial" w:cs="Arial" w:eastAsia="Arial" w:hAnsi="Arial"/>
                <w:sz w:val="18"/>
                <w:szCs w:val="18"/>
                <w:color w:val="auto"/>
              </w:rPr>
              <w:t>Less than 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476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1300" w:right="40" w:hanging="644"/>
        <w:spacing w:after="0" w:line="276" w:lineRule="auto"/>
        <w:tabs>
          <w:tab w:leader="none" w:pos="13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NL (including a wholly owned subsidiary of NL) and Kronos Worldwide own 14,372,970 shares and 1,724,916 shares, respectively, of Valhi common stock. Since NL and Kronos Worldwide are majority owned subsidiaries of Valhi and pursuant to Delaware law, Valhi treats the shares of Valhi common stock that NL and Kronos Worldwide own as treasury stock for voting purposes. Pursuant to Section 13(d)(4) of the Securities Exchange Act, such shares are not deemed outstanding for the purposes of calculating the percentage ownership of the outstanding shares of Valhi common stock as of the record date in this proxy statement.</w:t>
      </w:r>
    </w:p>
    <w:p>
      <w:pPr>
        <w:spacing w:after="0" w:line="173"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By virtue of the stock ownership in each of VHC, Dixie Rice and Contran, the role of Ms. Simmons and Ms. Connelly as co-trustees of the Family Trust, Ms. Simmons and Ms. Connelly being beneficiaries of the Family Trust, the direct holdings of Contran voting stock by each of Ms. Simmons and Ms. Connelly and entities related to them, and the positions as co-chairs of the Contran board by each of Ms. Simmons and Ms. Connelly, in each case as described above:</w:t>
      </w:r>
    </w:p>
    <w:p>
      <w:pPr>
        <w:spacing w:after="0" w:line="79" w:lineRule="exact"/>
        <w:rPr>
          <w:sz w:val="20"/>
          <w:szCs w:val="20"/>
          <w:color w:val="auto"/>
        </w:rPr>
      </w:pPr>
    </w:p>
    <w:p>
      <w:pPr>
        <w:ind w:left="1300" w:hanging="320"/>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Ms. Simmons and Ms. Connelly may be deemed to control the Family Trust;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Ms. Simmons and Ms. Connelly may be deemed to control each of Contran, Dixie Rice, VHC, Valhi, NL, Kronos Worldwide and us; and</w:t>
      </w:r>
    </w:p>
    <w:p>
      <w:pPr>
        <w:spacing w:after="0" w:line="248" w:lineRule="exact"/>
        <w:rPr>
          <w:rFonts w:ascii="Arial" w:cs="Arial" w:eastAsia="Arial" w:hAnsi="Arial"/>
          <w:sz w:val="16"/>
          <w:szCs w:val="16"/>
          <w:color w:val="auto"/>
        </w:rPr>
      </w:pPr>
    </w:p>
    <w:p>
      <w:pPr>
        <w:ind w:left="1300" w:right="440" w:hanging="320"/>
        <w:spacing w:after="0" w:line="342" w:lineRule="auto"/>
        <w:tabs>
          <w:tab w:leader="none" w:pos="13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Ms. Simmons and Ms. Connelly, Contran, Dixie Rice, VHC, Valhi, NL, Kronos Worldwide and we may be deemed to possess indirect beneficial ownership of shares of common stock directly held by such entities, including any shares of our common stock.</w:t>
      </w:r>
    </w:p>
    <w:p>
      <w:pPr>
        <w:spacing w:after="0" w:line="187" w:lineRule="exact"/>
        <w:rPr>
          <w:rFonts w:ascii="Arial" w:cs="Arial" w:eastAsia="Arial" w:hAnsi="Arial"/>
          <w:sz w:val="16"/>
          <w:szCs w:val="16"/>
          <w:color w:val="auto"/>
        </w:rPr>
      </w:pPr>
    </w:p>
    <w:p>
      <w:pPr>
        <w:ind w:left="5680" w:hanging="86"/>
        <w:spacing w:after="0"/>
        <w:tabs>
          <w:tab w:leader="none" w:pos="5680" w:val="left"/>
        </w:tabs>
        <w:numPr>
          <w:ilvl w:val="1"/>
          <w:numId w:val="48"/>
        </w:numPr>
        <w:rPr>
          <w:rFonts w:ascii="Arial" w:cs="Arial" w:eastAsia="Arial" w:hAnsi="Arial"/>
          <w:sz w:val="14"/>
          <w:szCs w:val="14"/>
          <w:color w:val="auto"/>
        </w:rPr>
      </w:pPr>
      <w:r>
        <w:rPr>
          <w:rFonts w:ascii="Arial" w:cs="Arial" w:eastAsia="Arial" w:hAnsi="Arial"/>
          <w:sz w:val="14"/>
          <w:szCs w:val="14"/>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jc w:val="both"/>
        <w:ind w:left="660" w:right="40"/>
        <w:spacing w:after="0" w:line="286" w:lineRule="auto"/>
        <w:rPr>
          <w:sz w:val="20"/>
          <w:szCs w:val="20"/>
          <w:color w:val="auto"/>
        </w:rPr>
      </w:pPr>
      <w:r>
        <w:rPr>
          <w:rFonts w:ascii="Arial" w:cs="Arial" w:eastAsia="Arial" w:hAnsi="Arial"/>
          <w:sz w:val="17"/>
          <w:szCs w:val="17"/>
          <w:color w:val="auto"/>
        </w:rPr>
        <w:t>Except for the 2,000 shares of our class A common stock she holds directly, Ms. Connelly disclaims beneficial ownership of all shares of our class A and B common stock except to the extent of her pecuniary interest in such shares, if any. Ms. Simmons disclaims beneficial ownership of all shares of our class A and B common stock, except to the extent of her pecuniary interest in such shares, if any.</w:t>
      </w:r>
    </w:p>
    <w:p>
      <w:pPr>
        <w:spacing w:after="0" w:line="57" w:lineRule="exact"/>
        <w:rPr>
          <w:sz w:val="20"/>
          <w:szCs w:val="20"/>
          <w:color w:val="auto"/>
        </w:rPr>
      </w:pPr>
    </w:p>
    <w:p>
      <w:pPr>
        <w:ind w:left="660" w:right="520" w:hanging="652"/>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shares attributable to the Family Trust and their co-trustees consist of shares held directly by the following entities. For more information concerning the relationships among these persons or entities, please see footnote 3 above.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2"/>
              </w:rPr>
              <w:t>CompX Class A and 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4"/>
              </w:rPr>
              <w:t>CompX Class A Common Stock</w:t>
            </w:r>
          </w:p>
        </w:tc>
        <w:tc>
          <w:tcPr>
            <w:tcW w:w="28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7"/>
              </w:rPr>
              <w:t>CompX Class B Common Stock</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gridSpan w:val="2"/>
          </w:tcPr>
          <w:p>
            <w:pPr>
              <w:ind w:left="1300"/>
              <w:spacing w:after="0"/>
              <w:rPr>
                <w:sz w:val="20"/>
                <w:szCs w:val="20"/>
                <w:color w:val="auto"/>
              </w:rPr>
            </w:pPr>
            <w:r>
              <w:rPr>
                <w:rFonts w:ascii="Arial" w:cs="Arial" w:eastAsia="Arial" w:hAnsi="Arial"/>
                <w:sz w:val="18"/>
                <w:szCs w:val="18"/>
                <w:b w:val="1"/>
                <w:bCs w:val="1"/>
                <w:color w:val="auto"/>
              </w:rPr>
              <w:t>Beneficial Owner</w:t>
            </w:r>
          </w:p>
        </w:tc>
        <w:tc>
          <w:tcPr>
            <w:tcW w:w="1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Percent of Class</w:t>
            </w:r>
          </w:p>
        </w:tc>
        <w:tc>
          <w:tcPr>
            <w:tcW w:w="15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Percent of Class</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Percent of Class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NL</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755,104</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31.1%</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10,000,000</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100.0%</w:t>
            </w:r>
          </w:p>
        </w:tc>
        <w:tc>
          <w:tcPr>
            <w:tcW w:w="18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Contran</w:t>
            </w:r>
          </w:p>
        </w:tc>
        <w:tc>
          <w:tcPr>
            <w:tcW w:w="1400" w:type="dxa"/>
            <w:vAlign w:val="bottom"/>
          </w:tcPr>
          <w:p>
            <w:pPr>
              <w:jc w:val="right"/>
              <w:spacing w:after="0"/>
              <w:rPr>
                <w:sz w:val="20"/>
                <w:szCs w:val="20"/>
                <w:color w:val="auto"/>
              </w:rPr>
            </w:pPr>
            <w:r>
              <w:rPr>
                <w:rFonts w:ascii="Arial" w:cs="Arial" w:eastAsia="Arial" w:hAnsi="Arial"/>
                <w:sz w:val="18"/>
                <w:szCs w:val="18"/>
                <w:color w:val="auto"/>
              </w:rPr>
              <w:t>5,900</w:t>
            </w: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18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Kronos Worldwide.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1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764,004</w:t>
            </w:r>
          </w:p>
        </w:tc>
        <w:tc>
          <w:tcPr>
            <w:tcW w:w="1280" w:type="dxa"/>
            <w:vAlign w:val="bottom"/>
          </w:tcPr>
          <w:p>
            <w:pPr>
              <w:jc w:val="center"/>
              <w:spacing w:after="0" w:line="196" w:lineRule="exact"/>
              <w:rPr>
                <w:sz w:val="20"/>
                <w:szCs w:val="20"/>
                <w:color w:val="auto"/>
              </w:rPr>
            </w:pPr>
            <w:r>
              <w:rPr>
                <w:rFonts w:ascii="Arial" w:cs="Arial" w:eastAsia="Arial" w:hAnsi="Arial"/>
                <w:sz w:val="18"/>
                <w:szCs w:val="18"/>
                <w:color w:val="auto"/>
                <w:w w:val="90"/>
              </w:rPr>
              <w:t>31.6%</w:t>
            </w:r>
          </w:p>
        </w:tc>
        <w:tc>
          <w:tcPr>
            <w:tcW w:w="15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10,000,000</w:t>
            </w:r>
          </w:p>
        </w:tc>
        <w:tc>
          <w:tcPr>
            <w:tcW w:w="134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100.0%</w:t>
            </w:r>
          </w:p>
        </w:tc>
        <w:tc>
          <w:tcPr>
            <w:tcW w:w="1880" w:type="dxa"/>
            <w:vAlign w:val="bottom"/>
          </w:tcPr>
          <w:p>
            <w:pPr>
              <w:jc w:val="right"/>
              <w:ind w:right="790"/>
              <w:spacing w:after="0" w:line="196" w:lineRule="exact"/>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2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left="660" w:right="60" w:hanging="652"/>
        <w:spacing w:after="0" w:line="273"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a Schedule 13G executed on August 29, 2014, that Sessa Capital (Master), L.P., Sessa Capital GP, LLC, Sessa Capital IM, L.P., Sessa Capital IM GP, LLC and John Petry filed with the SEC. Sessa Capital GP, LLC is the general partner of Sessa Capital (Master), L.P. Sessa Capital IM, L.P. is the investment manager of Sessa Capital (Master), L.P. Sessa Capital IM GP, LLC is the general partner of Sessa Capital IM, L.P. Mr. Petry is the manager of Sessa Capital GP, LLC and Sessa Capital IM GP, LLC. Mr. Petry and these entities may each be deemed to beneficially own these 431,732 shares and each has sole power to vote or direct the vote of these shares and to dispose or direct the disposition of these shares. The address for Mr. Petry and these entities is 444 Madison Ave. 3rd Floor, New York, New York 10022.</w:t>
      </w:r>
    </w:p>
    <w:p>
      <w:pPr>
        <w:spacing w:after="0" w:line="286" w:lineRule="exact"/>
        <w:rPr>
          <w:rFonts w:ascii="Arial" w:cs="Arial" w:eastAsia="Arial" w:hAnsi="Arial"/>
          <w:sz w:val="17"/>
          <w:szCs w:val="17"/>
          <w:color w:val="auto"/>
        </w:rPr>
      </w:pPr>
    </w:p>
    <w:p>
      <w:pPr>
        <w:ind w:left="660" w:right="60" w:hanging="652"/>
        <w:spacing w:after="0" w:line="291"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Amendment No. 16 to Schedule 13G executed on January 22, 2018 that Royce &amp; Associates, LP filed with the SEC. Royce &amp; Associates, LP is an investment adviser that manages various accounts. One of these accounts, the Royce Value Trust, Inc., holds 211,100 of these shares. The</w:t>
      </w:r>
    </w:p>
    <w:p>
      <w:pPr>
        <w:ind w:left="660"/>
        <w:spacing w:after="0"/>
        <w:rPr>
          <w:sz w:val="20"/>
          <w:szCs w:val="20"/>
          <w:color w:val="auto"/>
        </w:rPr>
      </w:pPr>
      <w:r>
        <w:rPr>
          <w:rFonts w:ascii="Arial" w:cs="Arial" w:eastAsia="Arial" w:hAnsi="Arial"/>
          <w:sz w:val="18"/>
          <w:szCs w:val="18"/>
          <w:color w:val="auto"/>
        </w:rPr>
        <w:t>address of Royce &amp; Associates, LP is 745 Fifth Avenue, New York, New York  10151.</w:t>
      </w:r>
    </w:p>
    <w:p>
      <w:pPr>
        <w:spacing w:after="0" w:line="211" w:lineRule="exact"/>
        <w:rPr>
          <w:sz w:val="20"/>
          <w:szCs w:val="20"/>
          <w:color w:val="auto"/>
        </w:rPr>
      </w:pPr>
    </w:p>
    <w:p>
      <w:pPr>
        <w:ind w:left="660" w:right="80" w:hanging="652"/>
        <w:spacing w:after="0" w:line="273"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Amendment No. 8 to Schedule 13G executed on February 9, 2018 that Dimensional Fund Advisors LP filed with the SEC. Dimensional Fund Advisors LP is an investment adviser that furnishes investment advice to four investment companies and serves as investment manager or sub-advisor to certain other commingled funds, group trusts and separate accounts. In certain cases, subsidiaries of Dimensional Fund Advisors LP may act as an adviser or sub-adviser to certain of these funds. Dimensional Fund Advisors LP has sole voting power over 175,485 of these shares and sole dispositive power over all of these shares. Dimensional Fund Advisors LP disclaims beneficial ownership of all of these shares. Its address is Building One, 6300 Bee Cave Road, Austin, Texas 78746.</w:t>
      </w:r>
    </w:p>
    <w:p>
      <w:pPr>
        <w:spacing w:after="0" w:line="178" w:lineRule="exact"/>
        <w:rPr>
          <w:rFonts w:ascii="Arial" w:cs="Arial" w:eastAsia="Arial" w:hAnsi="Arial"/>
          <w:sz w:val="17"/>
          <w:szCs w:val="17"/>
          <w:color w:val="auto"/>
        </w:rPr>
      </w:pPr>
    </w:p>
    <w:p>
      <w:pPr>
        <w:ind w:left="660" w:right="40" w:hanging="652"/>
        <w:spacing w:after="0" w:line="259"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Amendment No. 9 to Schedule 13G executed on February 13, 2018 that Renaissance Technologies LLC and Renaissance Technologies Holdings Corporation filed with the SEC. Both Renaissance Technologies LLC and Renaissance Technologies Holdings Corporation are investment advisers that beneficially own all of these shares. Renaissance Technologies Holdings Corporation is a majority owner of Renaissance Technologies LLC. Their address is 800 Third Avenue, New York, New York 10022.</w:t>
      </w:r>
    </w:p>
    <w:p>
      <w:pPr>
        <w:spacing w:after="0" w:line="186"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our directors or executive officers disclaims beneficial ownership of any shares of our common stock, except to the extent he or she has a pecuniary interest in such shares, if any.</w:t>
      </w:r>
    </w:p>
    <w:p>
      <w:pPr>
        <w:spacing w:after="0" w:line="3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understand that Contran and related entities or persons may consider acquiring or disposing of shares of our common stock through open market or privately negotiated transactions, depending upon future developments, including, but not limited to, the availability and alternative uses of funds, the performance of our common stock in the market, an assessment of our business and prospects, financial and stock market conditions and other factors deemed relevant by such entities. We may similarly consider acquisitions of shares of our common stock and acquisitions or dispositions of securities issued by related entities.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7"/>
          <w:szCs w:val="17"/>
          <w:b w:val="1"/>
          <w:bCs w:val="1"/>
          <w:i w:val="1"/>
          <w:iCs w:val="1"/>
          <w:color w:val="auto"/>
        </w:rPr>
        <w:t>Ownership of Related Companies</w:t>
      </w:r>
      <w:r>
        <w:rPr>
          <w:rFonts w:ascii="Arial" w:cs="Arial" w:eastAsia="Arial" w:hAnsi="Arial"/>
          <w:sz w:val="17"/>
          <w:szCs w:val="17"/>
          <w:color w:val="auto"/>
        </w:rPr>
        <w:t>. Some of our directors and executive officers own equity securities of certain companies related to us.</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Ownership of NL and Valhi. </w:t>
      </w:r>
      <w:r>
        <w:rPr>
          <w:rFonts w:ascii="Arial" w:cs="Arial" w:eastAsia="Arial" w:hAnsi="Arial"/>
          <w:sz w:val="17"/>
          <w:szCs w:val="17"/>
          <w:color w:val="auto"/>
        </w:rPr>
        <w:t>The following table and footnotes set forth the beneficial ownership, as of the record date, of the shares of NL and Valhi</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held by each director, each named executive officer and all of our current directors and executive officers as a group. All information is taken from or based upon ownership filings made by such persons with the SEC or upon information provided by such persons.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NL Common Stock</w:t>
            </w:r>
          </w:p>
        </w:tc>
        <w:tc>
          <w:tcPr>
            <w:tcW w:w="13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Valhi Common Stock</w:t>
            </w:r>
          </w:p>
        </w:tc>
        <w:tc>
          <w:tcPr>
            <w:tcW w:w="11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760" w:type="dxa"/>
            <w:vAlign w:val="bottom"/>
          </w:tcPr>
          <w:p>
            <w:pPr>
              <w:jc w:val="center"/>
              <w:ind w:right="150"/>
              <w:spacing w:after="0" w:line="198" w:lineRule="exact"/>
              <w:rPr>
                <w:sz w:val="20"/>
                <w:szCs w:val="20"/>
                <w:color w:val="auto"/>
              </w:rPr>
            </w:pPr>
            <w:r>
              <w:rPr>
                <w:rFonts w:ascii="Arial" w:cs="Arial" w:eastAsia="Arial" w:hAnsi="Arial"/>
                <w:sz w:val="18"/>
                <w:szCs w:val="18"/>
                <w:b w:val="1"/>
                <w:bCs w:val="1"/>
                <w:color w:val="auto"/>
                <w:w w:val="93"/>
              </w:rPr>
              <w:t>Amount and Nature</w:t>
            </w:r>
          </w:p>
        </w:tc>
        <w:tc>
          <w:tcPr>
            <w:tcW w:w="1320" w:type="dxa"/>
            <w:vAlign w:val="bottom"/>
          </w:tcPr>
          <w:p>
            <w:pPr>
              <w:jc w:val="center"/>
              <w:ind w:right="330"/>
              <w:spacing w:after="0" w:line="198" w:lineRule="exact"/>
              <w:rPr>
                <w:sz w:val="20"/>
                <w:szCs w:val="20"/>
                <w:color w:val="auto"/>
              </w:rPr>
            </w:pPr>
            <w:r>
              <w:rPr>
                <w:rFonts w:ascii="Arial" w:cs="Arial" w:eastAsia="Arial" w:hAnsi="Arial"/>
                <w:sz w:val="18"/>
                <w:szCs w:val="18"/>
                <w:b w:val="1"/>
                <w:bCs w:val="1"/>
                <w:color w:val="auto"/>
                <w:w w:val="88"/>
              </w:rPr>
              <w:t>Percent of</w:t>
            </w:r>
          </w:p>
        </w:tc>
        <w:tc>
          <w:tcPr>
            <w:tcW w:w="2900" w:type="dxa"/>
            <w:vAlign w:val="bottom"/>
          </w:tcPr>
          <w:p>
            <w:pPr>
              <w:jc w:val="center"/>
              <w:ind w:right="270"/>
              <w:spacing w:after="0" w:line="198" w:lineRule="exact"/>
              <w:rPr>
                <w:sz w:val="20"/>
                <w:szCs w:val="20"/>
                <w:color w:val="auto"/>
              </w:rPr>
            </w:pPr>
            <w:r>
              <w:rPr>
                <w:rFonts w:ascii="Arial" w:cs="Arial" w:eastAsia="Arial" w:hAnsi="Arial"/>
                <w:sz w:val="18"/>
                <w:szCs w:val="18"/>
                <w:b w:val="1"/>
                <w:bCs w:val="1"/>
                <w:color w:val="auto"/>
                <w:w w:val="92"/>
              </w:rPr>
              <w:t>Amount and Nature</w:t>
            </w:r>
          </w:p>
        </w:tc>
        <w:tc>
          <w:tcPr>
            <w:tcW w:w="118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Percent of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7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of Beneficial</w:t>
            </w:r>
          </w:p>
        </w:tc>
        <w:tc>
          <w:tcPr>
            <w:tcW w:w="1320" w:type="dxa"/>
            <w:vAlign w:val="bottom"/>
          </w:tcPr>
          <w:p>
            <w:pPr>
              <w:jc w:val="center"/>
              <w:ind w:right="310"/>
              <w:spacing w:after="0"/>
              <w:rPr>
                <w:sz w:val="20"/>
                <w:szCs w:val="20"/>
                <w:color w:val="auto"/>
              </w:rPr>
            </w:pPr>
            <w:r>
              <w:rPr>
                <w:rFonts w:ascii="Arial" w:cs="Arial" w:eastAsia="Arial" w:hAnsi="Arial"/>
                <w:sz w:val="18"/>
                <w:szCs w:val="18"/>
                <w:b w:val="1"/>
                <w:bCs w:val="1"/>
                <w:color w:val="auto"/>
                <w:w w:val="83"/>
              </w:rPr>
              <w:t>Class</w:t>
            </w:r>
          </w:p>
        </w:tc>
        <w:tc>
          <w:tcPr>
            <w:tcW w:w="290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of Beneficial</w:t>
            </w: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Class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rPr>
              <w:t>Name of Beneficial Owner</w:t>
            </w:r>
          </w:p>
        </w:tc>
        <w:tc>
          <w:tcPr>
            <w:tcW w:w="27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Ownership (1)</w:t>
            </w:r>
          </w:p>
        </w:tc>
        <w:tc>
          <w:tcPr>
            <w:tcW w:w="132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5"/>
              </w:rPr>
              <w:t>(1)(2)</w:t>
            </w:r>
          </w:p>
        </w:tc>
        <w:tc>
          <w:tcPr>
            <w:tcW w:w="29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1"/>
              </w:rPr>
              <w:t>Ownership (1</w:t>
            </w:r>
            <w:r>
              <w:rPr>
                <w:rFonts w:ascii="Arial" w:cs="Arial" w:eastAsia="Arial" w:hAnsi="Arial"/>
                <w:sz w:val="18"/>
                <w:szCs w:val="18"/>
                <w:color w:val="auto"/>
                <w:w w:val="91"/>
              </w:rPr>
              <w:t>)</w:t>
            </w:r>
          </w:p>
        </w:tc>
        <w:tc>
          <w:tcPr>
            <w:tcW w:w="11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5"/>
              </w:rPr>
              <w:t>(1)(3</w:t>
            </w:r>
            <w:r>
              <w:rPr>
                <w:rFonts w:ascii="Arial" w:cs="Arial" w:eastAsia="Arial" w:hAnsi="Arial"/>
                <w:sz w:val="18"/>
                <w:szCs w:val="18"/>
                <w:color w:val="auto"/>
                <w:w w:val="95"/>
              </w:rPr>
              <w:t>)</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E. Barry</w:t>
            </w:r>
          </w:p>
        </w:tc>
        <w:tc>
          <w:tcPr>
            <w:tcW w:w="27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-0-(4)</w:t>
            </w:r>
          </w:p>
        </w:tc>
        <w:tc>
          <w:tcPr>
            <w:tcW w:w="132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90"/>
              </w:rPr>
              <w:t>-0-</w:t>
            </w:r>
          </w:p>
        </w:tc>
        <w:tc>
          <w:tcPr>
            <w:tcW w:w="29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55,500(4)</w:t>
            </w:r>
          </w:p>
        </w:tc>
        <w:tc>
          <w:tcPr>
            <w:tcW w:w="11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David A. Bowers</w:t>
            </w:r>
          </w:p>
        </w:tc>
        <w:tc>
          <w:tcPr>
            <w:tcW w:w="2760" w:type="dxa"/>
            <w:vAlign w:val="bottom"/>
          </w:tcPr>
          <w:p>
            <w:pPr>
              <w:jc w:val="right"/>
              <w:ind w:right="810"/>
              <w:spacing w:after="0"/>
              <w:rPr>
                <w:sz w:val="20"/>
                <w:szCs w:val="20"/>
                <w:color w:val="auto"/>
              </w:rPr>
            </w:pPr>
            <w:r>
              <w:rPr>
                <w:rFonts w:ascii="Arial" w:cs="Arial" w:eastAsia="Arial" w:hAnsi="Arial"/>
                <w:sz w:val="18"/>
                <w:szCs w:val="18"/>
                <w:color w:val="auto"/>
              </w:rPr>
              <w:t>-0-(4)</w:t>
            </w:r>
          </w:p>
        </w:tc>
        <w:tc>
          <w:tcPr>
            <w:tcW w:w="1320" w:type="dxa"/>
            <w:vAlign w:val="bottom"/>
          </w:tcPr>
          <w:p>
            <w:pPr>
              <w:jc w:val="center"/>
              <w:ind w:right="310"/>
              <w:spacing w:after="0"/>
              <w:rPr>
                <w:sz w:val="20"/>
                <w:szCs w:val="20"/>
                <w:color w:val="auto"/>
              </w:rPr>
            </w:pPr>
            <w:r>
              <w:rPr>
                <w:rFonts w:ascii="Arial" w:cs="Arial" w:eastAsia="Arial" w:hAnsi="Arial"/>
                <w:sz w:val="18"/>
                <w:szCs w:val="18"/>
                <w:color w:val="auto"/>
                <w:w w:val="90"/>
              </w:rPr>
              <w:t>-0-</w:t>
            </w:r>
          </w:p>
        </w:tc>
        <w:tc>
          <w:tcPr>
            <w:tcW w:w="2900" w:type="dxa"/>
            <w:vAlign w:val="bottom"/>
          </w:tcPr>
          <w:p>
            <w:pPr>
              <w:jc w:val="right"/>
              <w:ind w:right="1230"/>
              <w:spacing w:after="0"/>
              <w:rPr>
                <w:sz w:val="20"/>
                <w:szCs w:val="20"/>
                <w:color w:val="auto"/>
              </w:rPr>
            </w:pPr>
            <w:r>
              <w:rPr>
                <w:rFonts w:ascii="Arial" w:cs="Arial" w:eastAsia="Arial" w:hAnsi="Arial"/>
                <w:sz w:val="18"/>
                <w:szCs w:val="18"/>
                <w:color w:val="auto"/>
              </w:rPr>
              <w:t>-0-(4)</w:t>
            </w: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99"/>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Loretta J. Feehan</w:t>
            </w:r>
          </w:p>
        </w:tc>
        <w:tc>
          <w:tcPr>
            <w:tcW w:w="27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6,500(4)</w:t>
            </w:r>
          </w:p>
        </w:tc>
        <w:tc>
          <w:tcPr>
            <w:tcW w:w="132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rPr>
              <w:t>*</w:t>
            </w:r>
          </w:p>
        </w:tc>
        <w:tc>
          <w:tcPr>
            <w:tcW w:w="29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7,000(4)</w:t>
            </w:r>
          </w:p>
        </w:tc>
        <w:tc>
          <w:tcPr>
            <w:tcW w:w="11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Elisabeth C. Fisher</w:t>
            </w:r>
          </w:p>
        </w:tc>
        <w:tc>
          <w:tcPr>
            <w:tcW w:w="2760" w:type="dxa"/>
            <w:vAlign w:val="bottom"/>
          </w:tcPr>
          <w:p>
            <w:pPr>
              <w:jc w:val="right"/>
              <w:ind w:right="810"/>
              <w:spacing w:after="0"/>
              <w:rPr>
                <w:sz w:val="20"/>
                <w:szCs w:val="20"/>
                <w:color w:val="auto"/>
              </w:rPr>
            </w:pPr>
            <w:r>
              <w:rPr>
                <w:rFonts w:ascii="Arial" w:cs="Arial" w:eastAsia="Arial" w:hAnsi="Arial"/>
                <w:sz w:val="18"/>
                <w:szCs w:val="18"/>
                <w:color w:val="auto"/>
              </w:rPr>
              <w:t>-0-(4)</w:t>
            </w:r>
          </w:p>
        </w:tc>
        <w:tc>
          <w:tcPr>
            <w:tcW w:w="1320" w:type="dxa"/>
            <w:vAlign w:val="bottom"/>
          </w:tcPr>
          <w:p>
            <w:pPr>
              <w:jc w:val="center"/>
              <w:ind w:right="310"/>
              <w:spacing w:after="0"/>
              <w:rPr>
                <w:sz w:val="20"/>
                <w:szCs w:val="20"/>
                <w:color w:val="auto"/>
              </w:rPr>
            </w:pPr>
            <w:r>
              <w:rPr>
                <w:rFonts w:ascii="Arial" w:cs="Arial" w:eastAsia="Arial" w:hAnsi="Arial"/>
                <w:sz w:val="18"/>
                <w:szCs w:val="18"/>
                <w:color w:val="auto"/>
                <w:w w:val="90"/>
              </w:rPr>
              <w:t>-0-</w:t>
            </w:r>
          </w:p>
        </w:tc>
        <w:tc>
          <w:tcPr>
            <w:tcW w:w="2900" w:type="dxa"/>
            <w:vAlign w:val="bottom"/>
          </w:tcPr>
          <w:p>
            <w:pPr>
              <w:jc w:val="right"/>
              <w:ind w:right="1230"/>
              <w:spacing w:after="0"/>
              <w:rPr>
                <w:sz w:val="20"/>
                <w:szCs w:val="20"/>
                <w:color w:val="auto"/>
              </w:rPr>
            </w:pPr>
            <w:r>
              <w:rPr>
                <w:rFonts w:ascii="Arial" w:cs="Arial" w:eastAsia="Arial" w:hAnsi="Arial"/>
                <w:sz w:val="18"/>
                <w:szCs w:val="18"/>
                <w:color w:val="auto"/>
              </w:rPr>
              <w:t>4,000(4)</w:t>
            </w:r>
          </w:p>
        </w:tc>
        <w:tc>
          <w:tcPr>
            <w:tcW w:w="1180" w:type="dxa"/>
            <w:vAlign w:val="bottom"/>
          </w:tcPr>
          <w:p>
            <w:pPr>
              <w:jc w:val="center"/>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D. Graham</w:t>
            </w:r>
          </w:p>
        </w:tc>
        <w:tc>
          <w:tcPr>
            <w:tcW w:w="27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6,500(4)</w:t>
            </w:r>
          </w:p>
        </w:tc>
        <w:tc>
          <w:tcPr>
            <w:tcW w:w="132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rPr>
              <w:t>*</w:t>
            </w:r>
          </w:p>
        </w:tc>
        <w:tc>
          <w:tcPr>
            <w:tcW w:w="29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4,000(4)</w:t>
            </w:r>
          </w:p>
        </w:tc>
        <w:tc>
          <w:tcPr>
            <w:tcW w:w="11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Terri L. Herrington</w:t>
            </w:r>
          </w:p>
        </w:tc>
        <w:tc>
          <w:tcPr>
            <w:tcW w:w="2760" w:type="dxa"/>
            <w:vAlign w:val="bottom"/>
          </w:tcPr>
          <w:p>
            <w:pPr>
              <w:jc w:val="right"/>
              <w:ind w:right="810"/>
              <w:spacing w:after="0"/>
              <w:rPr>
                <w:sz w:val="20"/>
                <w:szCs w:val="20"/>
                <w:color w:val="auto"/>
              </w:rPr>
            </w:pPr>
            <w:r>
              <w:rPr>
                <w:rFonts w:ascii="Arial" w:cs="Arial" w:eastAsia="Arial" w:hAnsi="Arial"/>
                <w:sz w:val="18"/>
                <w:szCs w:val="18"/>
                <w:color w:val="auto"/>
              </w:rPr>
              <w:t>-0-(4)</w:t>
            </w:r>
          </w:p>
        </w:tc>
        <w:tc>
          <w:tcPr>
            <w:tcW w:w="1320" w:type="dxa"/>
            <w:vAlign w:val="bottom"/>
          </w:tcPr>
          <w:p>
            <w:pPr>
              <w:jc w:val="center"/>
              <w:ind w:right="310"/>
              <w:spacing w:after="0"/>
              <w:rPr>
                <w:sz w:val="20"/>
                <w:szCs w:val="20"/>
                <w:color w:val="auto"/>
              </w:rPr>
            </w:pPr>
            <w:r>
              <w:rPr>
                <w:rFonts w:ascii="Arial" w:cs="Arial" w:eastAsia="Arial" w:hAnsi="Arial"/>
                <w:sz w:val="18"/>
                <w:szCs w:val="18"/>
                <w:color w:val="auto"/>
                <w:w w:val="90"/>
              </w:rPr>
              <w:t>-0-</w:t>
            </w:r>
          </w:p>
        </w:tc>
        <w:tc>
          <w:tcPr>
            <w:tcW w:w="2900" w:type="dxa"/>
            <w:vAlign w:val="bottom"/>
          </w:tcPr>
          <w:p>
            <w:pPr>
              <w:jc w:val="right"/>
              <w:ind w:right="1230"/>
              <w:spacing w:after="0"/>
              <w:rPr>
                <w:sz w:val="20"/>
                <w:szCs w:val="20"/>
                <w:color w:val="auto"/>
              </w:rPr>
            </w:pPr>
            <w:r>
              <w:rPr>
                <w:rFonts w:ascii="Arial" w:cs="Arial" w:eastAsia="Arial" w:hAnsi="Arial"/>
                <w:sz w:val="18"/>
                <w:szCs w:val="18"/>
                <w:color w:val="auto"/>
              </w:rPr>
              <w:t>-0-(4)</w:t>
            </w: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99"/>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 Manix</w:t>
            </w:r>
          </w:p>
        </w:tc>
        <w:tc>
          <w:tcPr>
            <w:tcW w:w="27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2,000(4)</w:t>
            </w:r>
          </w:p>
        </w:tc>
        <w:tc>
          <w:tcPr>
            <w:tcW w:w="132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rPr>
              <w:t>*</w:t>
            </w:r>
          </w:p>
        </w:tc>
        <w:tc>
          <w:tcPr>
            <w:tcW w:w="29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-0-(4)</w:t>
            </w:r>
          </w:p>
        </w:tc>
        <w:tc>
          <w:tcPr>
            <w:tcW w:w="11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Cecil H. Moore, Jr.</w:t>
            </w:r>
          </w:p>
        </w:tc>
        <w:tc>
          <w:tcPr>
            <w:tcW w:w="2760" w:type="dxa"/>
            <w:vAlign w:val="bottom"/>
          </w:tcPr>
          <w:p>
            <w:pPr>
              <w:jc w:val="right"/>
              <w:ind w:right="810"/>
              <w:spacing w:after="0"/>
              <w:rPr>
                <w:sz w:val="20"/>
                <w:szCs w:val="20"/>
                <w:color w:val="auto"/>
              </w:rPr>
            </w:pPr>
            <w:r>
              <w:rPr>
                <w:rFonts w:ascii="Arial" w:cs="Arial" w:eastAsia="Arial" w:hAnsi="Arial"/>
                <w:sz w:val="18"/>
                <w:szCs w:val="18"/>
                <w:color w:val="auto"/>
              </w:rPr>
              <w:t>15,000(4)</w:t>
            </w:r>
          </w:p>
        </w:tc>
        <w:tc>
          <w:tcPr>
            <w:tcW w:w="1320" w:type="dxa"/>
            <w:vAlign w:val="bottom"/>
          </w:tcPr>
          <w:p>
            <w:pPr>
              <w:jc w:val="center"/>
              <w:ind w:right="310"/>
              <w:spacing w:after="0"/>
              <w:rPr>
                <w:sz w:val="20"/>
                <w:szCs w:val="20"/>
                <w:color w:val="auto"/>
              </w:rPr>
            </w:pPr>
            <w:r>
              <w:rPr>
                <w:rFonts w:ascii="Arial" w:cs="Arial" w:eastAsia="Arial" w:hAnsi="Arial"/>
                <w:sz w:val="18"/>
                <w:szCs w:val="18"/>
                <w:color w:val="auto"/>
              </w:rPr>
              <w:t>*</w:t>
            </w:r>
          </w:p>
        </w:tc>
        <w:tc>
          <w:tcPr>
            <w:tcW w:w="2900" w:type="dxa"/>
            <w:vAlign w:val="bottom"/>
          </w:tcPr>
          <w:p>
            <w:pPr>
              <w:jc w:val="right"/>
              <w:ind w:right="1230"/>
              <w:spacing w:after="0"/>
              <w:rPr>
                <w:sz w:val="20"/>
                <w:szCs w:val="20"/>
                <w:color w:val="auto"/>
              </w:rPr>
            </w:pPr>
            <w:r>
              <w:rPr>
                <w:rFonts w:ascii="Arial" w:cs="Arial" w:eastAsia="Arial" w:hAnsi="Arial"/>
                <w:sz w:val="18"/>
                <w:szCs w:val="18"/>
                <w:color w:val="auto"/>
              </w:rPr>
              <w:t>-0-(4)</w:t>
            </w: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99"/>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A. Tidlund</w:t>
            </w:r>
          </w:p>
        </w:tc>
        <w:tc>
          <w:tcPr>
            <w:tcW w:w="27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-0-(4)</w:t>
            </w:r>
          </w:p>
        </w:tc>
        <w:tc>
          <w:tcPr>
            <w:tcW w:w="132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90"/>
              </w:rPr>
              <w:t>-0-</w:t>
            </w:r>
          </w:p>
        </w:tc>
        <w:tc>
          <w:tcPr>
            <w:tcW w:w="29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4,000(4)</w:t>
            </w:r>
          </w:p>
        </w:tc>
        <w:tc>
          <w:tcPr>
            <w:tcW w:w="11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W. Brown</w:t>
            </w:r>
          </w:p>
        </w:tc>
        <w:tc>
          <w:tcPr>
            <w:tcW w:w="27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-0-(4)</w:t>
            </w:r>
          </w:p>
        </w:tc>
        <w:tc>
          <w:tcPr>
            <w:tcW w:w="132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90"/>
              </w:rPr>
              <w:t>-0-</w:t>
            </w:r>
          </w:p>
        </w:tc>
        <w:tc>
          <w:tcPr>
            <w:tcW w:w="29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-0-(4)</w:t>
            </w:r>
          </w:p>
        </w:tc>
        <w:tc>
          <w:tcPr>
            <w:tcW w:w="11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Scott C. James</w:t>
            </w:r>
          </w:p>
        </w:tc>
        <w:tc>
          <w:tcPr>
            <w:tcW w:w="2760" w:type="dxa"/>
            <w:vAlign w:val="bottom"/>
          </w:tcPr>
          <w:p>
            <w:pPr>
              <w:jc w:val="right"/>
              <w:ind w:right="810"/>
              <w:spacing w:after="0"/>
              <w:rPr>
                <w:sz w:val="20"/>
                <w:szCs w:val="20"/>
                <w:color w:val="auto"/>
              </w:rPr>
            </w:pPr>
            <w:r>
              <w:rPr>
                <w:rFonts w:ascii="Arial" w:cs="Arial" w:eastAsia="Arial" w:hAnsi="Arial"/>
                <w:sz w:val="18"/>
                <w:szCs w:val="18"/>
                <w:color w:val="auto"/>
              </w:rPr>
              <w:t>-0-(4)</w:t>
            </w:r>
          </w:p>
        </w:tc>
        <w:tc>
          <w:tcPr>
            <w:tcW w:w="1320" w:type="dxa"/>
            <w:vAlign w:val="bottom"/>
          </w:tcPr>
          <w:p>
            <w:pPr>
              <w:jc w:val="center"/>
              <w:ind w:right="310"/>
              <w:spacing w:after="0"/>
              <w:rPr>
                <w:sz w:val="20"/>
                <w:szCs w:val="20"/>
                <w:color w:val="auto"/>
              </w:rPr>
            </w:pPr>
            <w:r>
              <w:rPr>
                <w:rFonts w:ascii="Arial" w:cs="Arial" w:eastAsia="Arial" w:hAnsi="Arial"/>
                <w:sz w:val="18"/>
                <w:szCs w:val="18"/>
                <w:color w:val="auto"/>
                <w:w w:val="90"/>
              </w:rPr>
              <w:t>-0-</w:t>
            </w:r>
          </w:p>
        </w:tc>
        <w:tc>
          <w:tcPr>
            <w:tcW w:w="2900" w:type="dxa"/>
            <w:vAlign w:val="bottom"/>
          </w:tcPr>
          <w:p>
            <w:pPr>
              <w:jc w:val="right"/>
              <w:ind w:right="1230"/>
              <w:spacing w:after="0"/>
              <w:rPr>
                <w:sz w:val="20"/>
                <w:szCs w:val="20"/>
                <w:color w:val="auto"/>
              </w:rPr>
            </w:pPr>
            <w:r>
              <w:rPr>
                <w:rFonts w:ascii="Arial" w:cs="Arial" w:eastAsia="Arial" w:hAnsi="Arial"/>
                <w:sz w:val="18"/>
                <w:szCs w:val="18"/>
                <w:color w:val="auto"/>
              </w:rPr>
              <w:t>-0-(4)</w:t>
            </w: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99"/>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B. Nace</w:t>
            </w:r>
          </w:p>
        </w:tc>
        <w:tc>
          <w:tcPr>
            <w:tcW w:w="27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-0-(4)</w:t>
            </w:r>
          </w:p>
        </w:tc>
        <w:tc>
          <w:tcPr>
            <w:tcW w:w="1320" w:type="dxa"/>
            <w:vAlign w:val="bottom"/>
            <w:shd w:val="clear" w:color="auto" w:fill="CCEEFF"/>
          </w:tcPr>
          <w:p>
            <w:pPr>
              <w:jc w:val="center"/>
              <w:ind w:right="310"/>
              <w:spacing w:after="0"/>
              <w:rPr>
                <w:sz w:val="20"/>
                <w:szCs w:val="20"/>
                <w:color w:val="auto"/>
              </w:rPr>
            </w:pPr>
            <w:r>
              <w:rPr>
                <w:rFonts w:ascii="Arial" w:cs="Arial" w:eastAsia="Arial" w:hAnsi="Arial"/>
                <w:sz w:val="18"/>
                <w:szCs w:val="18"/>
                <w:color w:val="auto"/>
                <w:w w:val="90"/>
              </w:rPr>
              <w:t>-0-</w:t>
            </w:r>
          </w:p>
        </w:tc>
        <w:tc>
          <w:tcPr>
            <w:tcW w:w="29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-0-(4)</w:t>
            </w:r>
          </w:p>
        </w:tc>
        <w:tc>
          <w:tcPr>
            <w:tcW w:w="11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Gregory M. Swalwell</w:t>
            </w:r>
          </w:p>
        </w:tc>
        <w:tc>
          <w:tcPr>
            <w:tcW w:w="2760" w:type="dxa"/>
            <w:vAlign w:val="bottom"/>
          </w:tcPr>
          <w:p>
            <w:pPr>
              <w:jc w:val="right"/>
              <w:ind w:right="810"/>
              <w:spacing w:after="0"/>
              <w:rPr>
                <w:sz w:val="20"/>
                <w:szCs w:val="20"/>
                <w:color w:val="auto"/>
              </w:rPr>
            </w:pPr>
            <w:r>
              <w:rPr>
                <w:rFonts w:ascii="Arial" w:cs="Arial" w:eastAsia="Arial" w:hAnsi="Arial"/>
                <w:sz w:val="18"/>
                <w:szCs w:val="18"/>
                <w:color w:val="auto"/>
              </w:rPr>
              <w:t>-0-(4)</w:t>
            </w:r>
          </w:p>
        </w:tc>
        <w:tc>
          <w:tcPr>
            <w:tcW w:w="1320" w:type="dxa"/>
            <w:vAlign w:val="bottom"/>
          </w:tcPr>
          <w:p>
            <w:pPr>
              <w:jc w:val="center"/>
              <w:ind w:right="310"/>
              <w:spacing w:after="0"/>
              <w:rPr>
                <w:sz w:val="20"/>
                <w:szCs w:val="20"/>
                <w:color w:val="auto"/>
              </w:rPr>
            </w:pPr>
            <w:r>
              <w:rPr>
                <w:rFonts w:ascii="Arial" w:cs="Arial" w:eastAsia="Arial" w:hAnsi="Arial"/>
                <w:sz w:val="18"/>
                <w:szCs w:val="18"/>
                <w:color w:val="auto"/>
                <w:w w:val="90"/>
              </w:rPr>
              <w:t>-0-</w:t>
            </w:r>
          </w:p>
        </w:tc>
        <w:tc>
          <w:tcPr>
            <w:tcW w:w="2900" w:type="dxa"/>
            <w:vAlign w:val="bottom"/>
          </w:tcPr>
          <w:p>
            <w:pPr>
              <w:jc w:val="right"/>
              <w:ind w:right="1230"/>
              <w:spacing w:after="0"/>
              <w:rPr>
                <w:sz w:val="20"/>
                <w:szCs w:val="20"/>
                <w:color w:val="auto"/>
              </w:rPr>
            </w:pPr>
            <w:r>
              <w:rPr>
                <w:rFonts w:ascii="Arial" w:cs="Arial" w:eastAsia="Arial" w:hAnsi="Arial"/>
                <w:sz w:val="18"/>
                <w:szCs w:val="18"/>
                <w:color w:val="auto"/>
              </w:rPr>
              <w:t>3,498(4)</w:t>
            </w:r>
          </w:p>
        </w:tc>
        <w:tc>
          <w:tcPr>
            <w:tcW w:w="1180" w:type="dxa"/>
            <w:vAlign w:val="bottom"/>
          </w:tcPr>
          <w:p>
            <w:pPr>
              <w:jc w:val="center"/>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w w:val="93"/>
              </w:rPr>
              <w:t>Current directors and executive officers as</w:t>
            </w:r>
          </w:p>
        </w:tc>
        <w:tc>
          <w:tcPr>
            <w:tcW w:w="2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2"/>
          </w:tcPr>
          <w:p>
            <w:pPr>
              <w:ind w:left="60"/>
              <w:spacing w:after="0"/>
              <w:rPr>
                <w:sz w:val="20"/>
                <w:szCs w:val="20"/>
                <w:color w:val="auto"/>
              </w:rPr>
            </w:pPr>
            <w:r>
              <w:rPr>
                <w:rFonts w:ascii="Arial" w:cs="Arial" w:eastAsia="Arial" w:hAnsi="Arial"/>
                <w:sz w:val="18"/>
                <w:szCs w:val="18"/>
                <w:color w:val="auto"/>
              </w:rPr>
              <w:t>a group (17 persons)</w:t>
            </w:r>
          </w:p>
        </w:tc>
        <w:tc>
          <w:tcPr>
            <w:tcW w:w="2760" w:type="dxa"/>
            <w:vAlign w:val="bottom"/>
          </w:tcPr>
          <w:p>
            <w:pPr>
              <w:jc w:val="right"/>
              <w:ind w:right="810"/>
              <w:spacing w:after="0"/>
              <w:rPr>
                <w:sz w:val="20"/>
                <w:szCs w:val="20"/>
                <w:color w:val="auto"/>
              </w:rPr>
            </w:pPr>
            <w:r>
              <w:rPr>
                <w:rFonts w:ascii="Arial" w:cs="Arial" w:eastAsia="Arial" w:hAnsi="Arial"/>
                <w:sz w:val="18"/>
                <w:szCs w:val="18"/>
                <w:color w:val="auto"/>
              </w:rPr>
              <w:t>30,000(4)</w:t>
            </w:r>
          </w:p>
        </w:tc>
        <w:tc>
          <w:tcPr>
            <w:tcW w:w="1320" w:type="dxa"/>
            <w:vAlign w:val="bottom"/>
          </w:tcPr>
          <w:p>
            <w:pPr>
              <w:jc w:val="center"/>
              <w:ind w:right="310"/>
              <w:spacing w:after="0"/>
              <w:rPr>
                <w:sz w:val="20"/>
                <w:szCs w:val="20"/>
                <w:color w:val="auto"/>
              </w:rPr>
            </w:pPr>
            <w:r>
              <w:rPr>
                <w:rFonts w:ascii="Arial" w:cs="Arial" w:eastAsia="Arial" w:hAnsi="Arial"/>
                <w:sz w:val="18"/>
                <w:szCs w:val="18"/>
                <w:color w:val="auto"/>
              </w:rPr>
              <w:t>*</w:t>
            </w:r>
          </w:p>
        </w:tc>
        <w:tc>
          <w:tcPr>
            <w:tcW w:w="2900" w:type="dxa"/>
            <w:vAlign w:val="bottom"/>
          </w:tcPr>
          <w:p>
            <w:pPr>
              <w:jc w:val="right"/>
              <w:ind w:right="1230"/>
              <w:spacing w:after="0"/>
              <w:rPr>
                <w:sz w:val="20"/>
                <w:szCs w:val="20"/>
                <w:color w:val="auto"/>
              </w:rPr>
            </w:pPr>
            <w:r>
              <w:rPr>
                <w:rFonts w:ascii="Arial" w:cs="Arial" w:eastAsia="Arial" w:hAnsi="Arial"/>
                <w:sz w:val="18"/>
                <w:szCs w:val="18"/>
                <w:color w:val="auto"/>
              </w:rPr>
              <w:t>77,998(4)</w:t>
            </w:r>
          </w:p>
        </w:tc>
        <w:tc>
          <w:tcPr>
            <w:tcW w:w="1180" w:type="dxa"/>
            <w:vAlign w:val="bottom"/>
          </w:tcPr>
          <w:p>
            <w:pPr>
              <w:jc w:val="center"/>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740" w:hanging="732"/>
        <w:spacing w:after="0"/>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17" w:lineRule="exact"/>
        <w:rPr>
          <w:sz w:val="20"/>
          <w:szCs w:val="20"/>
          <w:color w:val="auto"/>
        </w:rPr>
      </w:pPr>
    </w:p>
    <w:p>
      <w:pPr>
        <w:jc w:val="both"/>
        <w:ind w:left="660" w:right="220" w:hanging="652"/>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Beneficial ownership as reported in the above table has been determined in accordance with Rule 13d-3 under the Securities Exchange Act, and is not necessarily indicative of beneficial ownership for any other purpose. Except as otherwise noted, the individuals or group have sole investment power and sole voting power as to all shares set forth opposite their names.</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percentages are based on 48,714,884 shares of NL common stock outstanding as of the record date.</w:t>
      </w:r>
    </w:p>
    <w:p>
      <w:pPr>
        <w:spacing w:after="0" w:line="225" w:lineRule="exact"/>
        <w:rPr>
          <w:rFonts w:ascii="Arial" w:cs="Arial" w:eastAsia="Arial" w:hAnsi="Arial"/>
          <w:sz w:val="18"/>
          <w:szCs w:val="18"/>
          <w:color w:val="auto"/>
        </w:rPr>
      </w:pPr>
    </w:p>
    <w:p>
      <w:pPr>
        <w:ind w:left="660" w:right="120" w:hanging="652"/>
        <w:spacing w:after="0" w:line="255"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percentages are based on 339,170,949 shares of Valhi common stock outstanding as of the record date. NL (including a wholly owned subsidiary of NL) and Kronos Worldwide own 14,372,970 shares and 1,724,916 shares, respectively, of Valhi common stock. Since NL and Kronos Worldwide are majority owned subsidiaries of Valhi and pursuant to Delaware law, Valhi treats the shares of Valhi common stock that NL and Kronos Worldwide own as treasury stock for voting purposes. Pursuant to Section 13(d)(4) of the Securities Exchange Act, such shares are not deemed outstanding for the purposes of calculating the percentage ownership of the outstanding shares of Valhi common stock as of the record date in this proxy statement.</w:t>
      </w:r>
    </w:p>
    <w:p>
      <w:pPr>
        <w:spacing w:after="0" w:line="193" w:lineRule="exact"/>
        <w:rPr>
          <w:rFonts w:ascii="Arial" w:cs="Arial" w:eastAsia="Arial" w:hAnsi="Arial"/>
          <w:sz w:val="18"/>
          <w:szCs w:val="18"/>
          <w:color w:val="auto"/>
        </w:rPr>
      </w:pPr>
    </w:p>
    <w:p>
      <w:pPr>
        <w:ind w:left="660" w:right="80" w:hanging="652"/>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our directors or executive officers disclaims beneficial ownership of any shares of NL or Valhi common stock, except to the extent he or she has a pecuniary interest in such shares, if any.</w:t>
      </w:r>
    </w:p>
    <w:p>
      <w:pPr>
        <w:spacing w:after="0" w:line="233" w:lineRule="exact"/>
        <w:rPr>
          <w:rFonts w:ascii="Arial" w:cs="Arial" w:eastAsia="Arial" w:hAnsi="Arial"/>
          <w:sz w:val="18"/>
          <w:szCs w:val="18"/>
          <w:color w:val="auto"/>
        </w:rPr>
      </w:pPr>
    </w:p>
    <w:p>
      <w:pPr>
        <w:ind w:left="5680" w:hanging="86"/>
        <w:spacing w:after="0"/>
        <w:tabs>
          <w:tab w:leader="none" w:pos="5680" w:val="left"/>
        </w:tabs>
        <w:numPr>
          <w:ilvl w:val="1"/>
          <w:numId w:val="53"/>
        </w:numPr>
        <w:rPr>
          <w:rFonts w:ascii="Arial" w:cs="Arial" w:eastAsia="Arial" w:hAnsi="Arial"/>
          <w:sz w:val="14"/>
          <w:szCs w:val="14"/>
          <w:color w:val="auto"/>
        </w:rPr>
      </w:pPr>
      <w:r>
        <w:rPr>
          <w:rFonts w:ascii="Arial" w:cs="Arial" w:eastAsia="Arial" w:hAnsi="Arial"/>
          <w:sz w:val="14"/>
          <w:szCs w:val="14"/>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Our bylaws provide that the board of directors shall consist of one or more members as determined by our board of directors or stockholders. Our board of directors has currently set the number of directors at nine. The board of directors recommends the eight director nominees named in this proxy statement for election at our 2018 annual stockholder meeting. If all the nominees are elected, the number of directors will be set at eight effective at the adjournment of the meeting. The directors elected at the meeting will hold office until our 2019 annual stockholder meeting and until their successors are duly elected and qualified or their earlier removal or resignation.</w:t>
      </w:r>
    </w:p>
    <w:p>
      <w:pPr>
        <w:spacing w:after="0" w:line="188"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All of the director nominees are currently members of our board of directors whose terms will expire at the 2018 annual meeting. Ms. Elisabeth C. Fisher, currently a member of the board of directors, is not standing for reelection as a director. All of the nominees have agreed to serve if elected. If any nominee is not available for election at the meeting, your shares will be voted FOR an alternate nominee to be selected by the board of directors, unless you withhold authority to vote for such unavailable nominee. The board of directors believes that all of its nominees will be available for election at the meeting and will serve if elected.</w:t>
      </w:r>
    </w:p>
    <w:p>
      <w:pPr>
        <w:spacing w:after="0" w:line="184"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color w:val="auto"/>
        </w:rPr>
        <w:t xml:space="preserve">OUR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EACH OF THE FOLLOWING NOMINEES FOR DIRECTOR.</w:t>
      </w:r>
    </w:p>
    <w:p>
      <w:pPr>
        <w:spacing w:after="0" w:line="16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b w:val="1"/>
          <w:bCs w:val="1"/>
          <w:i w:val="1"/>
          <w:iCs w:val="1"/>
          <w:color w:val="auto"/>
        </w:rPr>
        <w:t>Nominees for Director</w:t>
      </w:r>
      <w:r>
        <w:rPr>
          <w:rFonts w:ascii="Arial" w:cs="Arial" w:eastAsia="Arial" w:hAnsi="Arial"/>
          <w:sz w:val="18"/>
          <w:szCs w:val="18"/>
          <w:color w:val="auto"/>
        </w:rPr>
        <w:t>. All of our nominees have extensive senior management and policy-making experience or significant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We believe all of our nominees are knowledgeable about our business. Each of our independent directors is financially literate. The board of directors considered each nominee's specific business experiences described in the biographical information provided below in determining whether to nominate him or her for election as a director.</w:t>
      </w:r>
    </w:p>
    <w:p>
      <w:pPr>
        <w:spacing w:after="0" w:line="183"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b w:val="1"/>
          <w:bCs w:val="1"/>
          <w:color w:val="auto"/>
        </w:rPr>
        <w:t>Thomas E. Barry</w:t>
      </w:r>
      <w:r>
        <w:rPr>
          <w:rFonts w:ascii="Arial" w:cs="Arial" w:eastAsia="Arial" w:hAnsi="Arial"/>
          <w:sz w:val="16"/>
          <w:szCs w:val="16"/>
          <w:color w:val="auto"/>
        </w:rPr>
        <w:t>, age 74, has served on our board of directors since March 2016. Dr. Barry has held the position of professor of marketing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Edwin L. Cox School of Business at Southern Methodist University since 1970, with emeritus status beginning in 2017. He also served the university as vice president for executive affairs from 1995 to 2015. Since prior to 2013, he has served as a director of Valhi and a member of its audit and management development and compensation committees (including serving as chairman of Valhi's audit and management development and compensation committees since March 2016 and May 2016, respectively). He is a member of our audit and management development and compensation committees.</w:t>
      </w:r>
    </w:p>
    <w:p>
      <w:pPr>
        <w:spacing w:after="0" w:line="15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Dr. Barry has two years of experience on our board of directors and over 17 years of experience on Valhi's board of directors, audit committee and management development and compensation committee. He also has senior executive, operating, corporate governance, finance and financial accounting oversight experience from a large, non-profit, private educational institution and from a former publicly held corporation affiliated with us, which was publicly held at the time he served as one of its directors.</w:t>
      </w:r>
    </w:p>
    <w:p>
      <w:pPr>
        <w:spacing w:after="0" w:line="183"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David A. Bowers</w:t>
      </w:r>
      <w:r>
        <w:rPr>
          <w:rFonts w:ascii="Arial" w:cs="Arial" w:eastAsia="Arial" w:hAnsi="Arial"/>
          <w:sz w:val="18"/>
          <w:szCs w:val="18"/>
          <w:color w:val="auto"/>
        </w:rPr>
        <w:t>, age 80, has served as our vice chairman of the board since 2000 and on our board of directors since 1993. He also served as our</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from 2002 to 2017 and as our president from 2002 to 2014. Mr. Bowers has been employed by us or our predecessors since 1960 in various sales, marketing and executive positions, having been named president of our security products and related businesses in 1979. Mr. Bowers is trustee emeritus and former chairman of the board of Monmouth College, Monmouth, Illinois.</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Mr. Bowers has over 57 years of experience serving CompX, in which he developed general management, senior executive, corporate governance, finance and financial accounting oversight experience.</w:t>
      </w:r>
    </w:p>
    <w:p>
      <w:pPr>
        <w:spacing w:after="0" w:line="16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7"/>
          <w:szCs w:val="17"/>
          <w:b w:val="1"/>
          <w:bCs w:val="1"/>
          <w:color w:val="auto"/>
        </w:rPr>
        <w:t xml:space="preserve">Loretta J. Feehan, </w:t>
      </w:r>
      <w:r>
        <w:rPr>
          <w:rFonts w:ascii="Arial" w:cs="Arial" w:eastAsia="Arial" w:hAnsi="Arial"/>
          <w:sz w:val="17"/>
          <w:szCs w:val="17"/>
          <w:color w:val="auto"/>
        </w:rPr>
        <w:t>age 62, has served as chair of the board (non-executive) of us, Kronos Worldwide, NL and Valhi since May 2017, and as a</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of each such company since 2014. She is a certified public accountant who consults on financial and tax matters. She served as a tax partner with Deloitte and Touche LLP in the Denver office until 1992 primarily serving corporate clients. She now has her own consulting practice serving a variety of businesses and individual clients. Ms. Feehan also taught continuing education courses to tax practitioners around the country for many years. Ms. Feehan has been a financial advisor to Serena Simmons Connelly and Lisa K. Simmons since prior to 2013.</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14" w:name="page15"/>
    <w:bookmarkEnd w:id="14"/>
    <w:p>
      <w:pPr>
        <w:ind w:right="500" w:firstLine="648"/>
        <w:spacing w:after="0" w:line="308" w:lineRule="auto"/>
        <w:rPr>
          <w:sz w:val="20"/>
          <w:szCs w:val="20"/>
          <w:color w:val="auto"/>
        </w:rPr>
      </w:pPr>
      <w:r>
        <w:rPr>
          <w:rFonts w:ascii="Arial" w:cs="Arial" w:eastAsia="Arial" w:hAnsi="Arial"/>
          <w:sz w:val="17"/>
          <w:szCs w:val="17"/>
          <w:color w:val="auto"/>
        </w:rPr>
        <w:t>Ms. Feehan has four years of experience as a director of us, Kronos Worldwide, NL and Valhi. She also has over 40 years of financial and tax accounting and auditing experience, certain years of which were as a partner of one the largest international accounting firms.</w:t>
      </w:r>
    </w:p>
    <w:p>
      <w:pPr>
        <w:spacing w:after="0" w:line="143"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Robert D. Graham</w:t>
      </w:r>
      <w:r>
        <w:rPr>
          <w:rFonts w:ascii="Arial" w:cs="Arial" w:eastAsia="Arial" w:hAnsi="Arial"/>
          <w:sz w:val="18"/>
          <w:szCs w:val="18"/>
          <w:color w:val="auto"/>
        </w:rPr>
        <w:t>, age 62, has served as our executive vice president since May 2017 and on our board of directors since May 2016. He</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served as our chairman of the board from January 2017 to May 2017. He currently serves as vice chairman of the board, president and chief executive officer of Kronos Worldwide and Valhi, as vice chairman of the board and chief executive officer of NL, and as president and chief executive officer of Contran. He has served as a director of Contran, Valhi and Kronos Worldwide since May 2016 and as a director of NL since 2014. Mr. Graham has served with various companies related to us and Contran since 2002.</w:t>
      </w:r>
    </w:p>
    <w:p>
      <w:pPr>
        <w:spacing w:after="0" w:line="215"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Mr. Graham has extensive experience with our businesses. He also has senior executive, operating, corporate governance, finance and financial accounting oversight experience from other publicly and privately held entities related to us for which he currently serves or formerly served.</w:t>
      </w:r>
    </w:p>
    <w:p>
      <w:pPr>
        <w:spacing w:after="0" w:line="12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b w:val="1"/>
          <w:bCs w:val="1"/>
          <w:color w:val="auto"/>
        </w:rPr>
        <w:t>Terri L. Herrington</w:t>
      </w:r>
      <w:r>
        <w:rPr>
          <w:rFonts w:ascii="Arial" w:cs="Arial" w:eastAsia="Arial" w:hAnsi="Arial"/>
          <w:sz w:val="18"/>
          <w:szCs w:val="18"/>
          <w:color w:val="auto"/>
        </w:rPr>
        <w:t>, age 62, has served on our board of directors since March 2018. Ms. Herrington is currently a private investor and retired from</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Paper Company, a worldwide producer of fiber-based packaging, pulp and paper, at the end of 2016. Ms. Herrington worked for International Paper for nine years, most recently as their vice president finance beginning in 2011, and before that as their consumer packaging vice president finance and strategy and as their vice president internal audit. Prior to joining International Paper, Ms. Herrington spent over 25 years with BP p.l.c. (and the former Amoco Corporation), a global producer of oil and gas, where she held a variety of finance and commercial positions, lastly as their global Director of Audit for Finance and Financial Control. Since March 2018, Ms. Herrington has served as a director and on the audit committee of Valhi. She is a member of our audit committee.</w:t>
      </w:r>
    </w:p>
    <w:p>
      <w:pPr>
        <w:spacing w:after="0" w:line="19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Ms. Herrington has senior executive, operating, corporate governance, finance, and financial accounting oversight experience from two publicly-traded companies for which she formerly served.</w:t>
      </w:r>
    </w:p>
    <w:p>
      <w:pPr>
        <w:spacing w:after="0" w:line="166"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Ann Manix</w:t>
      </w:r>
      <w:r>
        <w:rPr>
          <w:rFonts w:ascii="Arial" w:cs="Arial" w:eastAsia="Arial" w:hAnsi="Arial"/>
          <w:sz w:val="18"/>
          <w:szCs w:val="18"/>
          <w:color w:val="auto"/>
        </w:rPr>
        <w:t>, age 65, has served on our board of directors since 1998. Since 2014, Ms. Manix has served as a director of Blue Canyon Partners, Inc.,</w:t>
      </w:r>
      <w:r>
        <w:rPr>
          <w:rFonts w:ascii="Arial" w:cs="Arial" w:eastAsia="Arial" w:hAnsi="Arial"/>
          <w:sz w:val="18"/>
          <w:szCs w:val="18"/>
          <w:b w:val="1"/>
          <w:bCs w:val="1"/>
          <w:color w:val="auto"/>
        </w:rPr>
        <w:t xml:space="preserve"> </w:t>
      </w:r>
      <w:r>
        <w:rPr>
          <w:rFonts w:ascii="Arial" w:cs="Arial" w:eastAsia="Arial" w:hAnsi="Arial"/>
          <w:sz w:val="18"/>
          <w:szCs w:val="18"/>
          <w:color w:val="auto"/>
        </w:rPr>
        <w:t>a global management consulting firm. She served on the global market intelligence, consulting and financial advisory team for Ducker Worldwide, LLC, a privately held industrial research firm, since prior to 2013, and as a managing partner for the firm from 1994 until 2006. Additionally, she has served as a principal of Summus, Ltd., a strategic consulting firm, since 2008. She is chairwoman of our management development and compensation committee and a member of our audit committee.</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Ms. Manix has over 19 years of experience on our board of directors and audit committee and 17 years of experience on our management development and compensation committee. She has senior executive, operating, corporate governance, finance and financial accounting oversight experience from other publicly and privately held entities for which she formerly served.</w:t>
      </w:r>
    </w:p>
    <w:p>
      <w:pPr>
        <w:spacing w:after="0" w:line="17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color w:val="auto"/>
        </w:rPr>
        <w:t>Cecil H. Moore, Jr.</w:t>
      </w:r>
      <w:r>
        <w:rPr>
          <w:rFonts w:ascii="Arial" w:cs="Arial" w:eastAsia="Arial" w:hAnsi="Arial"/>
          <w:sz w:val="18"/>
          <w:szCs w:val="18"/>
          <w:color w:val="auto"/>
        </w:rPr>
        <w:t>, age 78, has served on our board of directors since March 2016. Mr. Moore is currently a private investor and retired from</w:t>
      </w:r>
      <w:r>
        <w:rPr>
          <w:rFonts w:ascii="Arial" w:cs="Arial" w:eastAsia="Arial" w:hAnsi="Arial"/>
          <w:sz w:val="18"/>
          <w:szCs w:val="18"/>
          <w:b w:val="1"/>
          <w:bCs w:val="1"/>
          <w:color w:val="auto"/>
        </w:rPr>
        <w:t xml:space="preserve"> </w:t>
      </w:r>
      <w:r>
        <w:rPr>
          <w:rFonts w:ascii="Arial" w:cs="Arial" w:eastAsia="Arial" w:hAnsi="Arial"/>
          <w:sz w:val="18"/>
          <w:szCs w:val="18"/>
          <w:color w:val="auto"/>
        </w:rPr>
        <w:t>KPMG LLP in 2000 after 37 years in which he served in various capacities with the public accounting firm. Among other positions, he served as managing partner of the firm's Dallas, Texas office from 1990 to 1999. Prior to 1990, Mr. Moore was partner-in-charge of the audit and accounting practice of the firm's Dallas, Texas office for 12 years. From 2014 to 2016, Mr. Moore served as a director and chairman of the audit committee of Sizmek Inc., a former publicly held on-line advertising business that was spun-off in 2014 by Digital Generation, Inc. From prior to 2013 to 2014, he served as a director and chairman of the audit committee of Digital Generation, Inc., a former publicly held provider of digital technology services to media outlets. From 2003 until 2009, Mr. Moore served as a director and chairman of the audit committee of Perot Systems. Mr. Moore is a licensed certified public accountant. Since prior to 2013, he has served as a director and on the audit committee of NL, and as a director and chairman of the audit committee of Kronos Worldwide. He is the chairman of our audit committee.</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Mr. Moore has two years of experience on our board of directors and over 14 years of experience on the boards of directors and audit committees of Kronos Worldwide and NL. He also has senior executive, operating, corporate governance, finance, financial accounting and auditing experience from one of the largest independent international public accounting firms and from other publicly held entities for which he currently serves or formerly served.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 w:name="page16"/>
    <w:bookmarkEnd w:id="15"/>
    <w:p>
      <w:pPr>
        <w:ind w:right="20" w:firstLine="648"/>
        <w:spacing w:after="0" w:line="258" w:lineRule="auto"/>
        <w:rPr>
          <w:sz w:val="20"/>
          <w:szCs w:val="20"/>
          <w:color w:val="auto"/>
        </w:rPr>
      </w:pPr>
      <w:r>
        <w:rPr>
          <w:rFonts w:ascii="Arial" w:cs="Arial" w:eastAsia="Arial" w:hAnsi="Arial"/>
          <w:sz w:val="18"/>
          <w:szCs w:val="18"/>
          <w:b w:val="1"/>
          <w:bCs w:val="1"/>
          <w:color w:val="auto"/>
        </w:rPr>
        <w:t>Mary A. Tidlund</w:t>
      </w:r>
      <w:r>
        <w:rPr>
          <w:rFonts w:ascii="Arial" w:cs="Arial" w:eastAsia="Arial" w:hAnsi="Arial"/>
          <w:sz w:val="18"/>
          <w:szCs w:val="18"/>
          <w:color w:val="auto"/>
        </w:rPr>
        <w:t>, age 61, has served on our board of directors since March 2016. Ms. Tidlund is a private investor. From 1998 to June 2017, she</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the president of The Mary A. Tidlund Charitable Foundation, a charitable organization that designed and funded sustainable development projects around the world. From 1989 to 1995, she served as president and chief executive officer of Williston Wildcatters Oil Corporation, a former publicly traded oil exploration and service company. Ms. Tidlund has served as a director and on the audit committee of Valhi since March 2016, and also served as a director of Valhi from 2014 to 2015. She is a member of our audit committee.</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Ms. Tidlund has two years of experience as a director of us, and three years of experience as a director of Valhi. Ms. Tidlund also has senior executive, operating, corporate governance, finance and financial accounting oversight experience from a publicly traded oil exploration and service company for which she formerly served.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Set forth below is certain information relating to our executive officers. Each executive officer serves at the pleasure of the board of directors.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Biographical information with respect to David A. Bowers and Robert D. Graham is set forth under the Nominees for Director subsection above.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52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Name</w:t>
            </w:r>
          </w:p>
        </w:tc>
        <w:tc>
          <w:tcPr>
            <w:tcW w:w="120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88"/>
              </w:rPr>
              <w:t>Age</w:t>
            </w:r>
          </w:p>
        </w:tc>
        <w:tc>
          <w:tcPr>
            <w:tcW w:w="7680" w:type="dxa"/>
            <w:vAlign w:val="bottom"/>
            <w:tcBorders>
              <w:bottom w:val="single" w:sz="8" w:color="auto"/>
            </w:tcBorders>
          </w:tcPr>
          <w:p>
            <w:pPr>
              <w:ind w:left="3500"/>
              <w:spacing w:after="0"/>
              <w:rPr>
                <w:sz w:val="20"/>
                <w:szCs w:val="20"/>
                <w:color w:val="auto"/>
              </w:rPr>
            </w:pPr>
            <w:r>
              <w:rPr>
                <w:rFonts w:ascii="Arial" w:cs="Arial" w:eastAsia="Arial" w:hAnsi="Arial"/>
                <w:sz w:val="18"/>
                <w:szCs w:val="18"/>
                <w:b w:val="1"/>
                <w:bCs w:val="1"/>
                <w:color w:val="auto"/>
              </w:rPr>
              <w:t>Position(s)</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David A. Bowers</w:t>
            </w:r>
          </w:p>
        </w:tc>
        <w:tc>
          <w:tcPr>
            <w:tcW w:w="12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80</w:t>
            </w:r>
          </w:p>
        </w:tc>
        <w:tc>
          <w:tcPr>
            <w:tcW w:w="7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Vice Chairman of the Board</w:t>
            </w:r>
          </w:p>
        </w:tc>
      </w:tr>
      <w:tr>
        <w:trPr>
          <w:trHeight w:val="230"/>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Scott C. James</w:t>
            </w:r>
          </w:p>
        </w:tc>
        <w:tc>
          <w:tcPr>
            <w:tcW w:w="1200" w:type="dxa"/>
            <w:vAlign w:val="bottom"/>
          </w:tcPr>
          <w:p>
            <w:pPr>
              <w:jc w:val="center"/>
              <w:ind w:left="570"/>
              <w:spacing w:after="0"/>
              <w:rPr>
                <w:sz w:val="20"/>
                <w:szCs w:val="20"/>
                <w:color w:val="auto"/>
              </w:rPr>
            </w:pPr>
            <w:r>
              <w:rPr>
                <w:rFonts w:ascii="Arial" w:cs="Arial" w:eastAsia="Arial" w:hAnsi="Arial"/>
                <w:sz w:val="18"/>
                <w:szCs w:val="18"/>
                <w:color w:val="auto"/>
                <w:w w:val="89"/>
              </w:rPr>
              <w:t>52</w:t>
            </w:r>
          </w:p>
        </w:tc>
        <w:tc>
          <w:tcPr>
            <w:tcW w:w="768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Robert D. Graham</w:t>
            </w:r>
          </w:p>
        </w:tc>
        <w:tc>
          <w:tcPr>
            <w:tcW w:w="12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62</w:t>
            </w:r>
          </w:p>
        </w:tc>
        <w:tc>
          <w:tcPr>
            <w:tcW w:w="7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Executive Vice President</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Kelly D. Luttmer</w:t>
            </w:r>
          </w:p>
        </w:tc>
        <w:tc>
          <w:tcPr>
            <w:tcW w:w="1200" w:type="dxa"/>
            <w:vAlign w:val="bottom"/>
          </w:tcPr>
          <w:p>
            <w:pPr>
              <w:jc w:val="center"/>
              <w:ind w:left="570"/>
              <w:spacing w:after="0"/>
              <w:rPr>
                <w:sz w:val="20"/>
                <w:szCs w:val="20"/>
                <w:color w:val="auto"/>
              </w:rPr>
            </w:pPr>
            <w:r>
              <w:rPr>
                <w:rFonts w:ascii="Arial" w:cs="Arial" w:eastAsia="Arial" w:hAnsi="Arial"/>
                <w:sz w:val="18"/>
                <w:szCs w:val="18"/>
                <w:color w:val="auto"/>
                <w:w w:val="89"/>
              </w:rPr>
              <w:t>54</w:t>
            </w:r>
          </w:p>
        </w:tc>
        <w:tc>
          <w:tcPr>
            <w:tcW w:w="7680" w:type="dxa"/>
            <w:vAlign w:val="bottom"/>
          </w:tcPr>
          <w:p>
            <w:pPr>
              <w:ind w:left="100"/>
              <w:spacing w:after="0"/>
              <w:rPr>
                <w:sz w:val="20"/>
                <w:szCs w:val="20"/>
                <w:color w:val="auto"/>
              </w:rPr>
            </w:pPr>
            <w:r>
              <w:rPr>
                <w:rFonts w:ascii="Arial" w:cs="Arial" w:eastAsia="Arial" w:hAnsi="Arial"/>
                <w:sz w:val="18"/>
                <w:szCs w:val="18"/>
                <w:color w:val="auto"/>
              </w:rPr>
              <w:t>Executive Vice President and Chief Tax Officer</w:t>
            </w:r>
          </w:p>
        </w:tc>
      </w:tr>
      <w:tr>
        <w:trPr>
          <w:trHeight w:val="230"/>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Andrew B. Nace</w:t>
            </w:r>
          </w:p>
        </w:tc>
        <w:tc>
          <w:tcPr>
            <w:tcW w:w="12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53</w:t>
            </w:r>
          </w:p>
        </w:tc>
        <w:tc>
          <w:tcPr>
            <w:tcW w:w="7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Executive Vice President</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Gregory M. Swalwell</w:t>
            </w:r>
          </w:p>
        </w:tc>
        <w:tc>
          <w:tcPr>
            <w:tcW w:w="1200" w:type="dxa"/>
            <w:vAlign w:val="bottom"/>
          </w:tcPr>
          <w:p>
            <w:pPr>
              <w:jc w:val="center"/>
              <w:ind w:left="570"/>
              <w:spacing w:after="0"/>
              <w:rPr>
                <w:sz w:val="20"/>
                <w:szCs w:val="20"/>
                <w:color w:val="auto"/>
              </w:rPr>
            </w:pPr>
            <w:r>
              <w:rPr>
                <w:rFonts w:ascii="Arial" w:cs="Arial" w:eastAsia="Arial" w:hAnsi="Arial"/>
                <w:sz w:val="18"/>
                <w:szCs w:val="18"/>
                <w:color w:val="auto"/>
                <w:w w:val="89"/>
              </w:rPr>
              <w:t>61</w:t>
            </w:r>
          </w:p>
        </w:tc>
        <w:tc>
          <w:tcPr>
            <w:tcW w:w="768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James W. Brown</w:t>
            </w:r>
          </w:p>
        </w:tc>
        <w:tc>
          <w:tcPr>
            <w:tcW w:w="12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61</w:t>
            </w:r>
          </w:p>
        </w:tc>
        <w:tc>
          <w:tcPr>
            <w:tcW w:w="7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Vice President, Chief Financial Officer and Controller</w:t>
            </w:r>
          </w:p>
        </w:tc>
      </w:tr>
      <w:tr>
        <w:trPr>
          <w:trHeight w:val="230"/>
        </w:trPr>
        <w:tc>
          <w:tcPr>
            <w:tcW w:w="2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Steven S. Eaton</w:t>
            </w:r>
          </w:p>
        </w:tc>
        <w:tc>
          <w:tcPr>
            <w:tcW w:w="1200" w:type="dxa"/>
            <w:vAlign w:val="bottom"/>
          </w:tcPr>
          <w:p>
            <w:pPr>
              <w:jc w:val="center"/>
              <w:ind w:left="570"/>
              <w:spacing w:after="0"/>
              <w:rPr>
                <w:sz w:val="20"/>
                <w:szCs w:val="20"/>
                <w:color w:val="auto"/>
              </w:rPr>
            </w:pPr>
            <w:r>
              <w:rPr>
                <w:rFonts w:ascii="Arial" w:cs="Arial" w:eastAsia="Arial" w:hAnsi="Arial"/>
                <w:sz w:val="18"/>
                <w:szCs w:val="18"/>
                <w:color w:val="auto"/>
                <w:w w:val="89"/>
              </w:rPr>
              <w:t>59</w:t>
            </w:r>
          </w:p>
        </w:tc>
        <w:tc>
          <w:tcPr>
            <w:tcW w:w="7680" w:type="dxa"/>
            <w:vAlign w:val="bottom"/>
          </w:tcPr>
          <w:p>
            <w:pPr>
              <w:ind w:left="100"/>
              <w:spacing w:after="0"/>
              <w:rPr>
                <w:sz w:val="20"/>
                <w:szCs w:val="20"/>
                <w:color w:val="auto"/>
              </w:rPr>
            </w:pPr>
            <w:r>
              <w:rPr>
                <w:rFonts w:ascii="Arial" w:cs="Arial" w:eastAsia="Arial" w:hAnsi="Arial"/>
                <w:sz w:val="18"/>
                <w:szCs w:val="18"/>
                <w:color w:val="auto"/>
              </w:rPr>
              <w:t>Vice President and Director of Internal Control over Financial Reporting</w:t>
            </w:r>
          </w:p>
        </w:tc>
      </w:tr>
      <w:tr>
        <w:trPr>
          <w:trHeight w:val="230"/>
        </w:trPr>
        <w:tc>
          <w:tcPr>
            <w:tcW w:w="20" w:type="dxa"/>
            <w:vAlign w:val="bottom"/>
          </w:tcPr>
          <w:p>
            <w:pPr>
              <w:spacing w:after="0"/>
              <w:rPr>
                <w:sz w:val="19"/>
                <w:szCs w:val="19"/>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Jane R. Grimm</w:t>
            </w:r>
          </w:p>
        </w:tc>
        <w:tc>
          <w:tcPr>
            <w:tcW w:w="12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9"/>
              </w:rPr>
              <w:t>47</w:t>
            </w:r>
          </w:p>
        </w:tc>
        <w:tc>
          <w:tcPr>
            <w:tcW w:w="7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Vice President and Secretary</w:t>
            </w: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Bryan A. Hanley</w:t>
            </w:r>
          </w:p>
        </w:tc>
        <w:tc>
          <w:tcPr>
            <w:tcW w:w="1200" w:type="dxa"/>
            <w:vAlign w:val="bottom"/>
          </w:tcPr>
          <w:p>
            <w:pPr>
              <w:jc w:val="center"/>
              <w:ind w:left="570"/>
              <w:spacing w:after="0"/>
              <w:rPr>
                <w:sz w:val="20"/>
                <w:szCs w:val="20"/>
                <w:color w:val="auto"/>
              </w:rPr>
            </w:pPr>
            <w:r>
              <w:rPr>
                <w:rFonts w:ascii="Arial" w:cs="Arial" w:eastAsia="Arial" w:hAnsi="Arial"/>
                <w:sz w:val="18"/>
                <w:szCs w:val="18"/>
                <w:color w:val="auto"/>
                <w:w w:val="89"/>
              </w:rPr>
              <w:t>37</w:t>
            </w:r>
          </w:p>
        </w:tc>
        <w:tc>
          <w:tcPr>
            <w:tcW w:w="7680" w:type="dxa"/>
            <w:vAlign w:val="bottom"/>
          </w:tcPr>
          <w:p>
            <w:pPr>
              <w:ind w:left="100"/>
              <w:spacing w:after="0"/>
              <w:rPr>
                <w:sz w:val="20"/>
                <w:szCs w:val="20"/>
                <w:color w:val="auto"/>
              </w:rPr>
            </w:pPr>
            <w:r>
              <w:rPr>
                <w:rFonts w:ascii="Arial" w:cs="Arial" w:eastAsia="Arial" w:hAnsi="Arial"/>
                <w:sz w:val="18"/>
                <w:szCs w:val="18"/>
                <w:color w:val="auto"/>
              </w:rPr>
              <w:t>Vice President and Treasurer</w:t>
            </w:r>
          </w:p>
        </w:tc>
      </w:tr>
    </w:tbl>
    <w:p>
      <w:pPr>
        <w:spacing w:after="0" w:line="197"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b w:val="1"/>
          <w:bCs w:val="1"/>
          <w:color w:val="auto"/>
        </w:rPr>
        <w:t xml:space="preserve">Scott C. James </w:t>
      </w:r>
      <w:r>
        <w:rPr>
          <w:rFonts w:ascii="Arial" w:cs="Arial" w:eastAsia="Arial" w:hAnsi="Arial"/>
          <w:sz w:val="16"/>
          <w:szCs w:val="16"/>
          <w:color w:val="auto"/>
        </w:rPr>
        <w:t>has served as our chief executive officer since May 2017, as our president since 2014, and as president of both of our divisions,</w:t>
      </w:r>
      <w:r>
        <w:rPr>
          <w:rFonts w:ascii="Arial" w:cs="Arial" w:eastAsia="Arial" w:hAnsi="Arial"/>
          <w:sz w:val="16"/>
          <w:szCs w:val="16"/>
          <w:b w:val="1"/>
          <w:bCs w:val="1"/>
          <w:color w:val="auto"/>
        </w:rPr>
        <w:t xml:space="preserve"> </w:t>
      </w:r>
      <w:r>
        <w:rPr>
          <w:rFonts w:ascii="Arial" w:cs="Arial" w:eastAsia="Arial" w:hAnsi="Arial"/>
          <w:sz w:val="16"/>
          <w:szCs w:val="16"/>
          <w:color w:val="auto"/>
        </w:rPr>
        <w:t>CompX Security Products and CompX Marine, since 2002 and 2005, respectively. He served as our chief operating officer from 2014 to 2017 and as our vice president from 2002 to 2014. Since 1992, Mr. James has served in various sales, marketing and executive positions with our security products operations.</w:t>
      </w:r>
    </w:p>
    <w:p>
      <w:pPr>
        <w:spacing w:after="0" w:line="142"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Kelly D. Luttmer </w:t>
      </w:r>
      <w:r>
        <w:rPr>
          <w:rFonts w:ascii="Arial" w:cs="Arial" w:eastAsia="Arial" w:hAnsi="Arial"/>
          <w:sz w:val="18"/>
          <w:szCs w:val="18"/>
          <w:color w:val="auto"/>
        </w:rPr>
        <w:t>has served as our chief tax officer since 2016 and as our executive vice president since 2015. She previously served as our global</w:t>
      </w:r>
      <w:r>
        <w:rPr>
          <w:rFonts w:ascii="Arial" w:cs="Arial" w:eastAsia="Arial" w:hAnsi="Arial"/>
          <w:sz w:val="18"/>
          <w:szCs w:val="18"/>
          <w:b w:val="1"/>
          <w:bCs w:val="1"/>
          <w:color w:val="auto"/>
        </w:rPr>
        <w:t xml:space="preserve"> </w:t>
      </w:r>
      <w:r>
        <w:rPr>
          <w:rFonts w:ascii="Arial" w:cs="Arial" w:eastAsia="Arial" w:hAnsi="Arial"/>
          <w:sz w:val="18"/>
          <w:szCs w:val="18"/>
          <w:color w:val="auto"/>
        </w:rPr>
        <w:t>tax director from 2012 to 2015, as our vice president from 2004 to 2015, and as our tax director from 2004 to 2012. She currently serves as executive vice president and chief tax officer of Kronos Worldwide, NL, Valhi and Contran. Ms. Luttmer has served in tax accounting positions (including officer positions) with various companies related to us and Contran since 1989.</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Andrew B. Nace </w:t>
      </w:r>
      <w:r>
        <w:rPr>
          <w:rFonts w:ascii="Arial" w:cs="Arial" w:eastAsia="Arial" w:hAnsi="Arial"/>
          <w:sz w:val="17"/>
          <w:szCs w:val="17"/>
          <w:color w:val="auto"/>
        </w:rPr>
        <w:t>has served as our executive vice president since May 2017, and previously served as our vice president from 2013 to May 2017.</w:t>
      </w:r>
      <w:r>
        <w:rPr>
          <w:rFonts w:ascii="Arial" w:cs="Arial" w:eastAsia="Arial" w:hAnsi="Arial"/>
          <w:sz w:val="17"/>
          <w:szCs w:val="17"/>
          <w:b w:val="1"/>
          <w:bCs w:val="1"/>
          <w:color w:val="auto"/>
        </w:rPr>
        <w:t xml:space="preserve"> </w:t>
      </w:r>
      <w:r>
        <w:rPr>
          <w:rFonts w:ascii="Arial" w:cs="Arial" w:eastAsia="Arial" w:hAnsi="Arial"/>
          <w:sz w:val="17"/>
          <w:szCs w:val="17"/>
          <w:color w:val="auto"/>
        </w:rPr>
        <w:t>He currently serves as executive vice president of Kronos Worldwide and NL and as executive vice president, general counsel and secretary of Valhi and Contran. Mr. Nace has served as legal counsel (including officer positions) to companies related to us and Contran since 2003.</w:t>
      </w:r>
    </w:p>
    <w:p>
      <w:pPr>
        <w:spacing w:after="0" w:line="185"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b w:val="1"/>
          <w:bCs w:val="1"/>
          <w:color w:val="auto"/>
        </w:rPr>
        <w:t xml:space="preserve">Gregory M. Swalwell </w:t>
      </w:r>
      <w:r>
        <w:rPr>
          <w:rFonts w:ascii="Arial" w:cs="Arial" w:eastAsia="Arial" w:hAnsi="Arial"/>
          <w:sz w:val="17"/>
          <w:szCs w:val="17"/>
          <w:color w:val="auto"/>
        </w:rPr>
        <w:t>has served as our executive vice president since 2013. He currently serves as executive vice president and chief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of Kronos Worldwide and NL, and as executive vice president, chief financial officer and chief accounting officer of Valhi and Contran. Mr. Swalwell has served in accounting and financial positions (including officer positions) with various companies related to us and Contran since 1988.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both"/>
        <w:ind w:right="160" w:firstLine="648"/>
        <w:spacing w:after="0" w:line="266" w:lineRule="auto"/>
        <w:rPr>
          <w:sz w:val="20"/>
          <w:szCs w:val="20"/>
          <w:color w:val="auto"/>
        </w:rPr>
      </w:pPr>
      <w:r>
        <w:rPr>
          <w:rFonts w:ascii="Arial" w:cs="Arial" w:eastAsia="Arial" w:hAnsi="Arial"/>
          <w:sz w:val="18"/>
          <w:szCs w:val="18"/>
          <w:b w:val="1"/>
          <w:bCs w:val="1"/>
          <w:color w:val="auto"/>
        </w:rPr>
        <w:t xml:space="preserve">James W. Brown </w:t>
      </w:r>
      <w:r>
        <w:rPr>
          <w:rFonts w:ascii="Arial" w:cs="Arial" w:eastAsia="Arial" w:hAnsi="Arial"/>
          <w:sz w:val="18"/>
          <w:szCs w:val="18"/>
          <w:color w:val="auto"/>
        </w:rPr>
        <w:t>has served as our vice president, chief financial officer and controller since 2014. He currently serves as vice president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planning and strategic initiatives of Valhi. Mr. Brown has served in accounting and financial positions (including officer positions) with various companies related to us and Contran since 2003.</w:t>
      </w:r>
    </w:p>
    <w:p>
      <w:pPr>
        <w:spacing w:after="0" w:line="176"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b w:val="1"/>
          <w:bCs w:val="1"/>
          <w:color w:val="auto"/>
        </w:rPr>
        <w:t xml:space="preserve">Steven S. Eaton </w:t>
      </w:r>
      <w:r>
        <w:rPr>
          <w:rFonts w:ascii="Arial" w:cs="Arial" w:eastAsia="Arial" w:hAnsi="Arial"/>
          <w:sz w:val="18"/>
          <w:szCs w:val="18"/>
          <w:color w:val="auto"/>
        </w:rPr>
        <w:t>has served as our vice president and director of internal control over financial reporting since 2015. He currently serves as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director of internal control over financial reporting for Kronos Worldwide, NL and Valhi. Mr. Eaton has served in internal audit positions (including officer positions) with various companies related to us and Contran since 2006.</w:t>
      </w:r>
    </w:p>
    <w:p>
      <w:pPr>
        <w:spacing w:after="0" w:line="176"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Jane R. Grimm </w:t>
      </w:r>
      <w:r>
        <w:rPr>
          <w:rFonts w:ascii="Arial" w:cs="Arial" w:eastAsia="Arial" w:hAnsi="Arial"/>
          <w:sz w:val="18"/>
          <w:szCs w:val="18"/>
          <w:color w:val="auto"/>
        </w:rPr>
        <w:t>has served as our vice president, secretary and associate general counsel since May 2017. Ms. Grimm has served in legal positions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officer positions) with various companies related to us and Contran since 2010.</w:t>
      </w:r>
    </w:p>
    <w:p>
      <w:pPr>
        <w:spacing w:after="0" w:line="162"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b w:val="1"/>
          <w:bCs w:val="1"/>
          <w:color w:val="auto"/>
        </w:rPr>
        <w:t xml:space="preserve">Bryan A. Hanley </w:t>
      </w:r>
      <w:r>
        <w:rPr>
          <w:rFonts w:ascii="Arial" w:cs="Arial" w:eastAsia="Arial" w:hAnsi="Arial"/>
          <w:sz w:val="17"/>
          <w:szCs w:val="17"/>
          <w:color w:val="auto"/>
        </w:rPr>
        <w:t>has served as our vice president and treasurer since August 2017. He currently serves as vice president and treasurer of Contran,</w:t>
      </w:r>
      <w:r>
        <w:rPr>
          <w:rFonts w:ascii="Arial" w:cs="Arial" w:eastAsia="Arial" w:hAnsi="Arial"/>
          <w:sz w:val="17"/>
          <w:szCs w:val="17"/>
          <w:b w:val="1"/>
          <w:bCs w:val="1"/>
          <w:color w:val="auto"/>
        </w:rPr>
        <w:t xml:space="preserve"> </w:t>
      </w:r>
      <w:r>
        <w:rPr>
          <w:rFonts w:ascii="Arial" w:cs="Arial" w:eastAsia="Arial" w:hAnsi="Arial"/>
          <w:sz w:val="17"/>
          <w:szCs w:val="17"/>
          <w:color w:val="auto"/>
        </w:rPr>
        <w:t>Valhi, Kronos Worldwide and NL. From 2013 to August 2017, Mr. Hanley served as assistant treasurer and director, investor relations of Pier 1 Imports, Inc., a publicly traded retailer specializing in home furnishings and decor, and also served as its assistant treasurer from 2010 to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b w:val="1"/>
          <w:bCs w:val="1"/>
          <w:i w:val="1"/>
          <w:iCs w:val="1"/>
          <w:color w:val="auto"/>
        </w:rPr>
        <w:t>Controlled Company Status, Director Independence and Committees</w:t>
      </w:r>
      <w:r>
        <w:rPr>
          <w:rFonts w:ascii="Arial" w:cs="Arial" w:eastAsia="Arial" w:hAnsi="Arial"/>
          <w:sz w:val="17"/>
          <w:szCs w:val="17"/>
          <w:color w:val="auto"/>
        </w:rPr>
        <w:t>. Because of NL's ownership of 86.6% of the outstanding shares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combined class A and B common stock, which represents 98.4% of the voting power for the election of directors and 86.6% of the voting power for other matters, we are considered a controlled company under the corporate governance standards of the NYSE American. Pursuant to the corporate governance standards, a controlled company may choose not to have a majority of independent directors, independent compensation or nominations committees or charters for these committees. We have decided not to have an independent nominations or corporate governance committee or charters for these committees. Our board of directors believes that the full board of directors best represents the interests of all of our stockholders and that it is appropriate for all matters that would otherwise be considered by a nominations or risk oversight committee to be considered and acted upon by the full board of directors. Applying the NYSE American director independence standards without any additional categorical standards, the board of directors has determined that Thomas E. Barry, Elisabeth C. Fisher, Terri L. Herrington, Ann Manix, Cecil H. Moore, Jr. and Mary A. Tidlund are independent and have no material relationship with us that would interfere with the exercise of independent judgment in carrying out the responsibilities of a director. While the members of our management development and compensation committee currently satisfy the independence requirements of the NYSE American, we have chosen not to satisfy all of the NYSE American corporate governance standards for a compensation committee and not to have a charter for our management development and compensation committee.</w:t>
      </w:r>
    </w:p>
    <w:p>
      <w:pPr>
        <w:spacing w:after="0" w:line="188"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b w:val="1"/>
          <w:bCs w:val="1"/>
          <w:i w:val="1"/>
          <w:iCs w:val="1"/>
          <w:color w:val="auto"/>
        </w:rPr>
        <w:t>2017 Meetings and Standing Committees of the Board of Directors</w:t>
      </w:r>
      <w:r>
        <w:rPr>
          <w:rFonts w:ascii="Arial" w:cs="Arial" w:eastAsia="Arial" w:hAnsi="Arial"/>
          <w:sz w:val="16"/>
          <w:szCs w:val="16"/>
          <w:color w:val="auto"/>
        </w:rPr>
        <w:t>. The board of directors held five meetings in 2017. Each of our incumbent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attended at least 80% of the board meetings and meetings of the committees on which he or she served that were held while he or she was in office during 2017. It is expected that each director nominee will attend our annual meeting of stockholders, which is held immediately before the annual meeting of the board of directors. Seven of our directors who were elected at our 2017 annual stockholder meeting attended such meeting.</w:t>
      </w:r>
    </w:p>
    <w:p>
      <w:pPr>
        <w:spacing w:after="0" w:line="154"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color w:val="auto"/>
        </w:rPr>
        <w:t>The board of directors has established and delegated authority to two standing committees, which are described below. The board of directors is expected to elect the members of the standing committees at the board of directors annual meeting immediately following the annual stockholder meeting. The board of directors from time to time may establish other committees to assist it in the discharge of its responsibilities.</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Our audit committee assists with the board of directors' oversight responsibilities relating to our financial accounting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reporting processes and auditing processes. The purpose, authority, resources and responsibilities of our audit committee are more specifically set forth in its charter. Applying the requirements of the NYSE American corporate governance standards (without additional categorical standards) and SEC regulations, as applicable, the board of directors has previously determined that:</w:t>
      </w:r>
    </w:p>
    <w:p>
      <w:pPr>
        <w:spacing w:after="0" w:line="187" w:lineRule="exact"/>
        <w:rPr>
          <w:sz w:val="20"/>
          <w:szCs w:val="20"/>
          <w:color w:val="auto"/>
        </w:rPr>
      </w:pPr>
    </w:p>
    <w:p>
      <w:pPr>
        <w:ind w:left="1300" w:right="220" w:hanging="644"/>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member of our audit committee is independent, financially literate and has no material relationship with us other than serving as our director; and</w:t>
      </w:r>
    </w:p>
    <w:p>
      <w:pPr>
        <w:spacing w:after="0" w:line="386"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Ms. Elisabeth C. Fisher, Ms. Terri L. Herrington and Mr. Cecil H. Moore, Jr. is an "audit committee financial expert."</w:t>
      </w:r>
    </w:p>
    <w:p>
      <w:pPr>
        <w:spacing w:after="0" w:line="200" w:lineRule="exact"/>
        <w:rPr>
          <w:sz w:val="20"/>
          <w:szCs w:val="20"/>
          <w:color w:val="auto"/>
        </w:rPr>
      </w:pPr>
    </w:p>
    <w:p>
      <w:pPr>
        <w:spacing w:after="0" w:line="241"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No member of our audit committee serves on more than three public company audit committees. For further information on the role of our audit committee, see the Audit Committee Report in this proxy statement. The current members of our audit committee are Cecil H. Moore, Jr. (chairman), Thomas E. Barry, Terri L. Herrington, Ann Manix and Mary A. Tidlund. Ms. Fisher, who is not standing for reelection as a director, was previously a member of our audit committee until March 2018. Our audit committee held five meetings in 2017.</w:t>
      </w:r>
    </w:p>
    <w:p>
      <w:pPr>
        <w:spacing w:after="0" w:line="18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b w:val="1"/>
          <w:bCs w:val="1"/>
          <w:i w:val="1"/>
          <w:iCs w:val="1"/>
          <w:color w:val="auto"/>
        </w:rPr>
        <w:t>Management Development and Compensation Committee</w:t>
      </w:r>
      <w:r>
        <w:rPr>
          <w:rFonts w:ascii="Arial" w:cs="Arial" w:eastAsia="Arial" w:hAnsi="Arial"/>
          <w:sz w:val="18"/>
          <w:szCs w:val="18"/>
          <w:color w:val="auto"/>
        </w:rPr>
        <w:t>. The principal responsibilities of our management development and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are:</w:t>
      </w:r>
    </w:p>
    <w:p>
      <w:pPr>
        <w:spacing w:after="0" w:line="170" w:lineRule="exact"/>
        <w:rPr>
          <w:sz w:val="20"/>
          <w:szCs w:val="20"/>
          <w:color w:val="auto"/>
        </w:rPr>
      </w:pPr>
    </w:p>
    <w:p>
      <w:pPr>
        <w:ind w:left="1300" w:right="560" w:hanging="644"/>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recommend to the board of directors whether or not to approve any proposed charge to us or any of our privately held subsidiaries pursuant to our ISA with Contran;</w:t>
      </w:r>
    </w:p>
    <w:p>
      <w:pPr>
        <w:spacing w:after="0" w:line="382" w:lineRule="exact"/>
        <w:rPr>
          <w:rFonts w:ascii="Arial" w:cs="Arial" w:eastAsia="Arial" w:hAnsi="Arial"/>
          <w:sz w:val="18"/>
          <w:szCs w:val="18"/>
          <w:color w:val="auto"/>
        </w:rPr>
      </w:pPr>
    </w:p>
    <w:p>
      <w:pPr>
        <w:ind w:left="5640" w:hanging="82"/>
        <w:spacing w:after="0"/>
        <w:tabs>
          <w:tab w:leader="none" w:pos="5640" w:val="left"/>
        </w:tabs>
        <w:numPr>
          <w:ilvl w:val="1"/>
          <w:numId w:val="55"/>
        </w:numPr>
        <w:rPr>
          <w:rFonts w:ascii="Arial" w:cs="Arial" w:eastAsia="Arial" w:hAnsi="Arial"/>
          <w:sz w:val="14"/>
          <w:szCs w:val="14"/>
          <w:color w:val="auto"/>
        </w:rPr>
      </w:pPr>
      <w:r>
        <w:rPr>
          <w:rFonts w:ascii="Arial" w:cs="Arial" w:eastAsia="Arial" w:hAnsi="Arial"/>
          <w:sz w:val="14"/>
          <w:szCs w:val="14"/>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left="1300" w:right="880" w:hanging="644"/>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review, approve and administer certain matters regarding our employee benefit plans or programs, including annual incentive compensation awards;</w:t>
      </w:r>
    </w:p>
    <w:p>
      <w:pPr>
        <w:spacing w:after="0" w:line="386"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review, approve, administer and grant awards under our equity compensation plan;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review and administer such other compensation matters as the board of directors may direct from time to time.</w:t>
      </w:r>
    </w:p>
    <w:p>
      <w:pPr>
        <w:spacing w:after="0" w:line="200" w:lineRule="exact"/>
        <w:rPr>
          <w:sz w:val="20"/>
          <w:szCs w:val="20"/>
          <w:color w:val="auto"/>
        </w:rPr>
      </w:pPr>
    </w:p>
    <w:p>
      <w:pPr>
        <w:spacing w:after="0" w:line="24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As discussed above, the board of directors has determined that each member of our management development and compensation committee is independent by applying the NYSE American director independence standards (without additional categorical standards). The management development and compensation committee may delegate to its members or our officers any or all of its authority as it may choose subject to certain limitations of Delaware law on what duties directors may delegate. The committee has not exercised this right of delegation. With respect to the role of our executive officers in determining or recommending the amount or form of executive compensation, see the Compensation Discussion and Analysis section of this proxy statement. With respect to director cash compensation, our executive officers make recommendations on such compensation directly to our board of directors for its consideration without involving the management development and compensation committee. The current members of our management development and compensation committee are Ann Manix (chairwoman) and Thomas E. Barry. Our management development and compensation committee held one meeting in 2017.</w:t>
      </w:r>
    </w:p>
    <w:p>
      <w:pPr>
        <w:spacing w:after="0" w:line="19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b w:val="1"/>
          <w:bCs w:val="1"/>
          <w:i w:val="1"/>
          <w:iCs w:val="1"/>
          <w:color w:val="auto"/>
        </w:rPr>
        <w:t>Risk Oversight</w:t>
      </w:r>
      <w:r>
        <w:rPr>
          <w:rFonts w:ascii="Arial" w:cs="Arial" w:eastAsia="Arial" w:hAnsi="Arial"/>
          <w:sz w:val="16"/>
          <w:szCs w:val="16"/>
          <w:color w:val="auto"/>
        </w:rPr>
        <w:t>. Our board of directors oversees the actions we take in managing our material risks. Our management is responsible for our day-to-day management of risk. The board's oversight of our material risks is undertaken through, among other things, various reports and assessments that management presents to the board and the related board discussions. The board has delegated some of its primary risk oversight to our audit committee and management development and compensation committee. Our audit committee annually receives management's reports and assessments on, among other things, the risk of fraud, certain material business risks and a ranking of such material business risks and our insurance program. The audit committee also receives reports from our independent registered public accounting firm regarding, among other things, financial risks and the risk of fraud. Our management development and compensation committee receives management's assessments on the likelihood that our compensation policies and practices could have a material adverse effect on us, as more fully described in the Compensation Policies and Practices as They Relate to Risk Management section of this proxy statement. The audit committee and management development and compensation committee report to the board of directors about their meetings. We believe the leadership structure of the board of directors is appropriate for our risk oversight.</w:t>
      </w:r>
    </w:p>
    <w:p>
      <w:pPr>
        <w:spacing w:after="0" w:line="16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b w:val="1"/>
          <w:bCs w:val="1"/>
          <w:i w:val="1"/>
          <w:iCs w:val="1"/>
          <w:color w:val="auto"/>
        </w:rPr>
        <w:t>Identifying and Evaluating Director Nominees</w:t>
      </w:r>
      <w:r>
        <w:rPr>
          <w:rFonts w:ascii="Arial" w:cs="Arial" w:eastAsia="Arial" w:hAnsi="Arial"/>
          <w:sz w:val="18"/>
          <w:szCs w:val="18"/>
          <w:color w:val="auto"/>
        </w:rPr>
        <w:t>. Historically, our management has recommended director nominees to the board of directors.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stated in our corporate governance guidelines:</w:t>
      </w:r>
    </w:p>
    <w:p>
      <w:pPr>
        <w:spacing w:after="0" w:line="170"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221E1F"/>
        </w:rPr>
        <w:t xml:space="preserve">our </w:t>
      </w:r>
      <w:r>
        <w:rPr>
          <w:rFonts w:ascii="Arial" w:cs="Arial" w:eastAsia="Arial" w:hAnsi="Arial"/>
          <w:sz w:val="18"/>
          <w:szCs w:val="18"/>
          <w:color w:val="000000"/>
        </w:rPr>
        <w:t>board of directors has no specific minimum qualifications for director nominees;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nominee should possess the necessary business background, skills and expertise at the policy-making level and a willingness to devote the required time to the duties and responsibilities of membership on the board of directors; and</w:t>
      </w:r>
    </w:p>
    <w:p>
      <w:pPr>
        <w:spacing w:after="0" w:line="386"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board of directors believes that experience as our director is a valuable asset and that directors who have served on the board for an extended period of time are able to provide important insight into our current and future operations.</w:t>
      </w:r>
    </w:p>
    <w:p>
      <w:pPr>
        <w:spacing w:after="0" w:line="3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identifying, evaluating and determining our director nominees, the board of directors follows such corporate governance guidelines. The board also considers the nominee's ability to satisfy the need, if any, for required expertise on the board of directors or one of its committees. While we do not have any policy regarding the diversity of our nominees, the board does consider diversity in the background, skills and expertise at the policy making level of our director nominees, and as a result our board believes our director nominees do possess a diverse range of senior management experience that aids the board in fulfilling its responsibilities. The board of directors believes its procedures for identifying and evaluating director nominees are appropriate for a controlled company under the NYSE American corporate governance standards.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9" w:name="page20"/>
    <w:bookmarkEnd w:id="19"/>
    <w:p>
      <w:pPr>
        <w:ind w:right="100" w:firstLine="648"/>
        <w:spacing w:after="0" w:line="288" w:lineRule="auto"/>
        <w:rPr>
          <w:sz w:val="20"/>
          <w:szCs w:val="20"/>
          <w:color w:val="auto"/>
        </w:rPr>
      </w:pPr>
      <w:r>
        <w:rPr>
          <w:rFonts w:ascii="Arial" w:cs="Arial" w:eastAsia="Arial" w:hAnsi="Arial"/>
          <w:sz w:val="16"/>
          <w:szCs w:val="16"/>
          <w:b w:val="1"/>
          <w:bCs w:val="1"/>
          <w:i w:val="1"/>
          <w:iCs w:val="1"/>
          <w:color w:val="221E1F"/>
        </w:rPr>
        <w:t>Leadership Structure of the Board of Directors and Independent Director Meetings</w:t>
      </w:r>
      <w:r>
        <w:rPr>
          <w:rFonts w:ascii="Arial" w:cs="Arial" w:eastAsia="Arial" w:hAnsi="Arial"/>
          <w:sz w:val="16"/>
          <w:szCs w:val="16"/>
          <w:color w:val="221E1F"/>
        </w:rPr>
        <w:t xml:space="preserve">. Loretta J. Feehan serves as our chair of the board (non-executive), and our chief executive officer does not serve on our board. </w:t>
      </w:r>
      <w:r>
        <w:rPr>
          <w:rFonts w:ascii="Arial" w:cs="Arial" w:eastAsia="Arial" w:hAnsi="Arial"/>
          <w:sz w:val="16"/>
          <w:szCs w:val="16"/>
          <w:color w:val="000000"/>
        </w:rPr>
        <w:t>The board of directors believes our current leadership structure is appropriate for a</w:t>
      </w:r>
      <w:r>
        <w:rPr>
          <w:rFonts w:ascii="Arial" w:cs="Arial" w:eastAsia="Arial" w:hAnsi="Arial"/>
          <w:sz w:val="16"/>
          <w:szCs w:val="16"/>
          <w:color w:val="221E1F"/>
        </w:rPr>
        <w:t xml:space="preserve"> </w:t>
      </w:r>
      <w:r>
        <w:rPr>
          <w:rFonts w:ascii="Arial" w:cs="Arial" w:eastAsia="Arial" w:hAnsi="Arial"/>
          <w:sz w:val="16"/>
          <w:szCs w:val="16"/>
          <w:color w:val="000000"/>
        </w:rPr>
        <w:t>controlled company under the NYSE American corporate governance standards. While there is no single organizational structure that is ideal in all circumstances, the board of directors believes that having different individuals serve as our chair of the board (non-executive) and as our chief executive officer reflects the established working relationship for these positions regarding our business and provides an appropriate breadth of experience and perspective that effectively facilitates the formulation of our long-term strategic direction and business plans. In addition, the board of directors believes that since Ms. Feehan is a representative of Contran, her service as our chair of the board (non-executive) is beneficial in providing strategic leadership for us since there is a commonality of interest that is closely aligned in building long-term stockholder value for all of our stockholders. We have in the past, and may in the future, have a leadership structure in which the same individual serves as our chairman of the board and as our chief executive officer. In those instances, the individual has been, or would be expected to be, an employee or representative of Contran (or one of Contran's subsidiaries, including us).</w:t>
      </w:r>
    </w:p>
    <w:p>
      <w:pPr>
        <w:spacing w:after="0" w:line="16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Pursuant to our corporate governance guidelines, our independent directors are entitled to meet on a regular basis throughout the year, and will meet at least once annually, without the participation of our other directors who are not independent. While we do not have a lead independent director, the chairman of our audit committee presides at all of the meetings of our independent directors. In 2017, we complied with the NYSE American requirements for meetings of our independent directors.</w:t>
      </w:r>
    </w:p>
    <w:p>
      <w:pPr>
        <w:spacing w:after="0" w:line="187"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b w:val="1"/>
          <w:bCs w:val="1"/>
          <w:i w:val="1"/>
          <w:iCs w:val="1"/>
          <w:color w:val="auto"/>
        </w:rPr>
        <w:t>Stockholder Proposals and Director Nominations for the 2019 Annual Meeting of Stockholders</w:t>
      </w:r>
      <w:r>
        <w:rPr>
          <w:rFonts w:ascii="Arial" w:cs="Arial" w:eastAsia="Arial" w:hAnsi="Arial"/>
          <w:sz w:val="16"/>
          <w:szCs w:val="16"/>
          <w:color w:val="auto"/>
        </w:rPr>
        <w:t>. Stockholders may submit proposals on matters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appropriate for stockholder action at our annual stockholder meetings, consistent with rules adopted by the SEC. We must receive such proposals not later than December 20, 2018 to be considered for inclusion in the proxy statement and form of proxy card relating to our annual meeting of stockholders in 2019. Our bylaws require that the proposal must set forth a brief description of the proposal, the name and address of the proposing stockholder as they appear in our records, the number of shares of our common stock the stockholder holds and any material interest the stockholder has in the proposal.</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board of directors will consider the director nominee recommendations of our stockholders in accordance with the process discussed above. Our bylaws require that a nomination set forth the name and address of the nominating stockholder, a representation that the stockholder will be a stockholder of record entitled to vote at the annual stockholder meeting and intends to appear in person or by proxy at the meeting to nominate the nominee, a description of all arrangements or understandings between the stockholder and the nominee (or other persons pursuant to which the nomination is to be made), such other information regarding the nominee as would be required to be included in a proxy statement filed pursuant to the proxy rules of the SEC and the consent of the nominee to serve as a director if elected.</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 proposals or director nominations to be brought at the 2019 annual meeting of stockholders but not included in the proxy statement for such meeting, our bylaws require that the proposal or nomination must be delivered or mailed to our principal executive offices in most cases no later than March 6, 2019. Proposals and nominations should be addressed to our corporate secretary at CompX International Inc., Three Lincoln Centre, 5430 LBJ Freeway, Suite 1700, Dallas, Texas 75240-2697.</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b w:val="1"/>
          <w:bCs w:val="1"/>
          <w:i w:val="1"/>
          <w:iCs w:val="1"/>
          <w:color w:val="auto"/>
        </w:rPr>
        <w:t>Communications with Directors</w:t>
      </w:r>
      <w:r>
        <w:rPr>
          <w:rFonts w:ascii="Arial" w:cs="Arial" w:eastAsia="Arial" w:hAnsi="Arial"/>
          <w:sz w:val="16"/>
          <w:szCs w:val="16"/>
          <w:color w:val="auto"/>
        </w:rPr>
        <w:t>. Stockholders and other interested parties who wish to communicate with the board of directors or its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may do so through the following procedures. Such communications not involving complaints or concerns regarding accounting, internal accounting controls and auditing matters related to us may be sent to the attention of our corporate secretary at CompX International Inc., Three Lincoln Centre, 5430 LBJ Freeway, Suite 1700, Dallas, Texas 75240-2697. Provided that any such communication relates to our business or affairs and is within the function of our board of directors or its committees, and does not relate to insignificant or inappropriate matters, such communication, or a summary of such communication, will be forwarded to the chairman of our audit committee, who also serves as the presiding director of our independent director meetings.</w:t>
      </w:r>
    </w:p>
    <w:p>
      <w:pPr>
        <w:spacing w:after="0" w:line="16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Complaints or concerns regarding accounting, internal accounting controls and auditing matters, which may be made anonymously, should be sent to the attention of our General Counsel with a copy to our chief financial officer at the same address as our corporate secretary. These complaints or concerns will be forwarded to the chairman of our audit committee. We will investigate and keep these complaints or concerns confidential and anonymous, to the extent feasible, subject to applicable law. Information contained in such a complaint or concern may be summarized, abstracted and aggregated for purposes of analysis and investigation.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ind w:right="580" w:firstLine="648"/>
        <w:spacing w:after="0" w:line="277" w:lineRule="auto"/>
        <w:rPr>
          <w:sz w:val="20"/>
          <w:szCs w:val="20"/>
          <w:color w:val="auto"/>
        </w:rPr>
      </w:pPr>
      <w:r>
        <w:rPr>
          <w:rFonts w:ascii="Arial" w:cs="Arial" w:eastAsia="Arial" w:hAnsi="Arial"/>
          <w:sz w:val="18"/>
          <w:szCs w:val="18"/>
          <w:b w:val="1"/>
          <w:bCs w:val="1"/>
          <w:i w:val="1"/>
          <w:iCs w:val="1"/>
          <w:color w:val="auto"/>
        </w:rPr>
        <w:t>Compensation Committee Interlocks and Insider Participation</w:t>
      </w:r>
      <w:r>
        <w:rPr>
          <w:rFonts w:ascii="Arial" w:cs="Arial" w:eastAsia="Arial" w:hAnsi="Arial"/>
          <w:sz w:val="18"/>
          <w:szCs w:val="18"/>
          <w:color w:val="auto"/>
        </w:rPr>
        <w:t>. During 2017, Ann Manix and Thomas E. Barry served on the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compensation committee. No member of the committee:</w:t>
      </w:r>
    </w:p>
    <w:p>
      <w:pPr>
        <w:spacing w:after="0" w:line="170"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was an officer or employee of ours during 2017 or any prior year;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had any related party relationships with us that requires disclosure under applicable SEC rules; or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had any interlock relationships under applicable SEC rules.</w:t>
      </w:r>
    </w:p>
    <w:p>
      <w:pPr>
        <w:spacing w:after="0" w:line="200" w:lineRule="exact"/>
        <w:rPr>
          <w:sz w:val="20"/>
          <w:szCs w:val="20"/>
          <w:color w:val="auto"/>
        </w:rPr>
      </w:pPr>
    </w:p>
    <w:p>
      <w:pPr>
        <w:spacing w:after="0" w:line="24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2017, no executive officer of ours had any interlock relationships within the scope of the intent of applicable SEC rules. However, at certain times in 2017, each of Bobby D. O'Brien (a former executive officer of ours) and Robert D. Graham was an executive officer of ours and on the board of directors of Contran when concurrently also serving as one of our directors.</w:t>
      </w:r>
    </w:p>
    <w:p>
      <w:pPr>
        <w:spacing w:after="0" w:line="181"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b w:val="1"/>
          <w:bCs w:val="1"/>
          <w:i w:val="1"/>
          <w:iCs w:val="1"/>
          <w:color w:val="auto"/>
        </w:rPr>
        <w:t>Code of Business Conduct and Ethics</w:t>
      </w:r>
      <w:r>
        <w:rPr>
          <w:rFonts w:ascii="Arial" w:cs="Arial" w:eastAsia="Arial" w:hAnsi="Arial"/>
          <w:sz w:val="17"/>
          <w:szCs w:val="17"/>
          <w:color w:val="auto"/>
        </w:rPr>
        <w:t>. We have adopted a code of business conduct and ethics. The code applies to all of our directors, officers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employees, including our principal executive officer, principal financial officer, principal accounting officer and controller. Only the board of directors may amend the code. Only our audit committee or other committee of the board of directors with specifically delegated authority may grant a waiver of this code. We will disclose amendments to or waivers of the code as required by law and the applicable rules of the NYSE American.</w:t>
      </w:r>
    </w:p>
    <w:p>
      <w:pPr>
        <w:spacing w:after="0" w:line="17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b w:val="1"/>
          <w:bCs w:val="1"/>
          <w:i w:val="1"/>
          <w:iCs w:val="1"/>
          <w:color w:val="auto"/>
        </w:rPr>
        <w:t>Corporate Governance Guidelines</w:t>
      </w:r>
      <w:r>
        <w:rPr>
          <w:rFonts w:ascii="Arial" w:cs="Arial" w:eastAsia="Arial" w:hAnsi="Arial"/>
          <w:sz w:val="17"/>
          <w:szCs w:val="17"/>
          <w:color w:val="auto"/>
        </w:rPr>
        <w:t>. We have adopted corporate governance guidelines to assist the board of directors in exercising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responsibilities. Among other things, the corporate governance guidelines provide for director qualifications, for independence standards and responsibilities, for approval procedures for ISAs and that our audit committee chairman preside at all meetings of the independent directors.</w:t>
      </w:r>
    </w:p>
    <w:p>
      <w:pPr>
        <w:spacing w:after="0" w:line="166"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b w:val="1"/>
          <w:bCs w:val="1"/>
          <w:i w:val="1"/>
          <w:iCs w:val="1"/>
          <w:color w:val="auto"/>
        </w:rPr>
        <w:t>Availability of Corporate Governance Documents</w:t>
      </w:r>
      <w:r>
        <w:rPr>
          <w:rFonts w:ascii="Arial" w:cs="Arial" w:eastAsia="Arial" w:hAnsi="Arial"/>
          <w:sz w:val="18"/>
          <w:szCs w:val="18"/>
          <w:color w:val="auto"/>
        </w:rPr>
        <w:t>. A copy of each of our audit committee charter, code of business conduct and ethics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corporate governance guidelines is available on our website at </w:t>
      </w:r>
      <w:r>
        <w:rPr>
          <w:rFonts w:ascii="Arial" w:cs="Arial" w:eastAsia="Arial" w:hAnsi="Arial"/>
          <w:sz w:val="18"/>
          <w:szCs w:val="18"/>
          <w:i w:val="1"/>
          <w:iCs w:val="1"/>
          <w:color w:val="auto"/>
        </w:rPr>
        <w:t>www.compx.com</w:t>
      </w:r>
      <w:r>
        <w:rPr>
          <w:rFonts w:ascii="Arial" w:cs="Arial" w:eastAsia="Arial" w:hAnsi="Arial"/>
          <w:sz w:val="18"/>
          <w:szCs w:val="18"/>
          <w:color w:val="auto"/>
        </w:rPr>
        <w:t xml:space="preserve"> under the corporate section.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OTHER INFORMATION</w:t>
      </w:r>
    </w:p>
    <w:p>
      <w:pPr>
        <w:spacing w:after="0" w:line="211" w:lineRule="exact"/>
        <w:rPr>
          <w:sz w:val="20"/>
          <w:szCs w:val="20"/>
          <w:color w:val="auto"/>
        </w:rPr>
      </w:pPr>
    </w:p>
    <w:p>
      <w:pPr>
        <w:ind w:right="520" w:firstLine="648"/>
        <w:spacing w:after="0" w:line="312" w:lineRule="auto"/>
        <w:rPr>
          <w:sz w:val="20"/>
          <w:szCs w:val="20"/>
          <w:color w:val="auto"/>
        </w:rPr>
      </w:pPr>
      <w:r>
        <w:rPr>
          <w:rFonts w:ascii="Arial" w:cs="Arial" w:eastAsia="Arial" w:hAnsi="Arial"/>
          <w:sz w:val="16"/>
          <w:szCs w:val="16"/>
          <w:b w:val="1"/>
          <w:bCs w:val="1"/>
          <w:i w:val="1"/>
          <w:iCs w:val="1"/>
          <w:color w:val="auto"/>
        </w:rPr>
        <w:t>Compensation Discussion and Analysis</w:t>
      </w:r>
      <w:r>
        <w:rPr>
          <w:rFonts w:ascii="Arial" w:cs="Arial" w:eastAsia="Arial" w:hAnsi="Arial"/>
          <w:sz w:val="16"/>
          <w:szCs w:val="16"/>
          <w:color w:val="auto"/>
        </w:rPr>
        <w:t>. This compensation discussion and analysis describes the key principles and factors underlying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compensation policies for our named executive officers. In 2017, we employed two of our named executive officers. Contran employed and directly compensated our four other named executive officers who provided their services to us in 2017 under our ISA with Contran.</w:t>
      </w:r>
    </w:p>
    <w:p>
      <w:pPr>
        <w:spacing w:after="0" w:line="147"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As defined in the Glossary of Terms at the beginning of this proxy statement, the phrase "named executive officers" refers to the six persons whose compensation is summarized in the 2017 Summary Compensation Table in this proxy statement. Such phrase is not intended to refer, and does not refer, to all of our executive officers.</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Nonbinding Advisory Stockholder Vote on Executive Officer Compensation</w:t>
      </w:r>
      <w:r>
        <w:rPr>
          <w:rFonts w:ascii="Arial" w:cs="Arial" w:eastAsia="Arial" w:hAnsi="Arial"/>
          <w:sz w:val="18"/>
          <w:szCs w:val="18"/>
          <w:color w:val="auto"/>
        </w:rPr>
        <w:t>. For the 2017 annual meeting of stockholders, we submitted a</w:t>
      </w:r>
      <w:r>
        <w:rPr>
          <w:rFonts w:ascii="Arial" w:cs="Arial" w:eastAsia="Arial" w:hAnsi="Arial"/>
          <w:sz w:val="18"/>
          <w:szCs w:val="18"/>
          <w:i w:val="1"/>
          <w:iCs w:val="1"/>
          <w:color w:val="auto"/>
        </w:rPr>
        <w:t xml:space="preserve"> </w:t>
      </w:r>
      <w:r>
        <w:rPr>
          <w:rFonts w:ascii="Arial" w:cs="Arial" w:eastAsia="Arial" w:hAnsi="Arial"/>
          <w:sz w:val="18"/>
          <w:szCs w:val="18"/>
          <w:color w:val="auto"/>
        </w:rPr>
        <w:t>nonbinding advisory proposal recommending the stockholders adopt a resolution approving the compensation of our named executive officers as disclosed in the 2017 proxy statement. At the annual meeting, the resolution received the affirmative vote of 94.2% of the eligible votes. We considered the favorable result and determined not to make any material changes to our compensation practices.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Compensation of our Named Executive Officers Employed by Us</w:t>
      </w:r>
      <w:r>
        <w:rPr>
          <w:rFonts w:ascii="Arial" w:cs="Arial" w:eastAsia="Arial" w:hAnsi="Arial"/>
          <w:sz w:val="17"/>
          <w:szCs w:val="17"/>
          <w:color w:val="auto"/>
        </w:rPr>
        <w:t>. In each of the last three years, we employed the following named executive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Name</w:t>
            </w:r>
          </w:p>
        </w:tc>
        <w:tc>
          <w:tcPr>
            <w:tcW w:w="9160" w:type="dxa"/>
            <w:vAlign w:val="bottom"/>
            <w:tcBorders>
              <w:bottom w:val="single" w:sz="8" w:color="auto"/>
            </w:tcBorders>
          </w:tcPr>
          <w:p>
            <w:pPr>
              <w:ind w:left="4480"/>
              <w:spacing w:after="0"/>
              <w:rPr>
                <w:sz w:val="20"/>
                <w:szCs w:val="20"/>
                <w:color w:val="auto"/>
              </w:rPr>
            </w:pPr>
            <w:r>
              <w:rPr>
                <w:rFonts w:ascii="Arial" w:cs="Arial" w:eastAsia="Arial" w:hAnsi="Arial"/>
                <w:sz w:val="18"/>
                <w:szCs w:val="18"/>
                <w:b w:val="1"/>
                <w:bCs w:val="1"/>
                <w:color w:val="auto"/>
              </w:rPr>
              <w:t>Position(s)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David A. Bowers</w:t>
            </w:r>
          </w:p>
        </w:tc>
        <w:tc>
          <w:tcPr>
            <w:tcW w:w="9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Vice Chairman of the Board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Scott C. James</w:t>
            </w:r>
          </w:p>
        </w:tc>
        <w:tc>
          <w:tcPr>
            <w:tcW w:w="9160" w:type="dxa"/>
            <w:vAlign w:val="bottom"/>
          </w:tcPr>
          <w:p>
            <w:pPr>
              <w:ind w:left="60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Messrs. Bowers and James were executive officers for all of the last three years.</w:t>
      </w:r>
    </w:p>
    <w:p>
      <w:pPr>
        <w:spacing w:after="0" w:line="221"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Overview</w:t>
      </w:r>
      <w:r>
        <w:rPr>
          <w:rFonts w:ascii="Arial" w:cs="Arial" w:eastAsia="Arial" w:hAnsi="Arial"/>
          <w:sz w:val="18"/>
          <w:szCs w:val="18"/>
          <w:color w:val="auto"/>
        </w:rPr>
        <w:t>. Prior to 2015, we decided to forgo long-term compensation (other than defined contribution plans that are generally available on a non-discriminatory basis to all employees) and implemented a compensation program that is primarily cash-based, with minimal perquisites, if any. Our objectives for the primarily cash-based compensation program as it relates to our senior officers, including all of our named executive officers employed by us, are to:</w:t>
      </w:r>
    </w:p>
    <w:p>
      <w:pPr>
        <w:spacing w:after="0" w:line="184"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have a total individual compensation package that is easy to understand;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encourage them to maximize long-term stockholder value;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achieve a balanced compensation package that would attract and retain highly qualified senior officers and appropriately reflect each such officer's individual performance, contributions and general market value.</w:t>
      </w:r>
    </w:p>
    <w:p>
      <w:pPr>
        <w:spacing w:after="0" w:line="3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furtherance of our objectives and in an effort to separate annual operating planning from annual incentive compensation, we implemented discretionary incentive bonuses for our senior officers. As a result, annual compensation for our named executive officers employed by us primarily consists of base salaries and discretionary incentive bonuses.</w:t>
      </w:r>
    </w:p>
    <w:p>
      <w:pPr>
        <w:spacing w:after="0" w:line="181"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We do not base our employed named executive officer compensation on any specific measure of, or formula based upon, our financial performance, although we do consider our financial performance as one factor in determining the compensation of our employed named executive officers. We determine the amount of each component of such compensation solely in our collective business judgment and experience, without performing any independent market research. We do not enter into any written employment agreements with our employed named executive officers.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ind w:right="20" w:firstLine="648"/>
        <w:spacing w:after="0" w:line="269" w:lineRule="auto"/>
        <w:rPr>
          <w:sz w:val="20"/>
          <w:szCs w:val="20"/>
          <w:color w:val="auto"/>
        </w:rPr>
      </w:pPr>
      <w:r>
        <w:rPr>
          <w:rFonts w:ascii="Arial" w:cs="Arial" w:eastAsia="Arial" w:hAnsi="Arial"/>
          <w:sz w:val="17"/>
          <w:szCs w:val="17"/>
          <w:b w:val="1"/>
          <w:bCs w:val="1"/>
          <w:color w:val="auto"/>
        </w:rPr>
        <w:t>Base Salaries</w:t>
      </w:r>
      <w:r>
        <w:rPr>
          <w:rFonts w:ascii="Arial" w:cs="Arial" w:eastAsia="Arial" w:hAnsi="Arial"/>
          <w:sz w:val="17"/>
          <w:szCs w:val="17"/>
          <w:color w:val="auto"/>
        </w:rPr>
        <w:t>. We have established the annual base salaries for our employed named executive officers on a position-by-position basis based on</w:t>
      </w:r>
      <w:r>
        <w:rPr>
          <w:rFonts w:ascii="Arial" w:cs="Arial" w:eastAsia="Arial" w:hAnsi="Arial"/>
          <w:sz w:val="17"/>
          <w:szCs w:val="17"/>
          <w:b w:val="1"/>
          <w:bCs w:val="1"/>
          <w:color w:val="auto"/>
        </w:rPr>
        <w:t xml:space="preserve"> </w:t>
      </w:r>
      <w:r>
        <w:rPr>
          <w:rFonts w:ascii="Arial" w:cs="Arial" w:eastAsia="Arial" w:hAnsi="Arial"/>
          <w:sz w:val="17"/>
          <w:szCs w:val="17"/>
          <w:color w:val="auto"/>
        </w:rPr>
        <w:t>responsibility and experience. We pay this portion of each of our employed named executive officer's compensation to provide him with a reliable amount of compensation for the year, subject to his continued at-will employment and satisfactory performance for his services at the level of his responsibilities. Our chief executive officer has the responsibility to conduct annual internal reviews of our employed named executive officer salary levels in order to rank salary, individual performance and job value to each position. He then makes recommendations on salaries, other than his own, to Robert D. Graham, who is our executive vice president and a member of our board of directors, and then to our management development and compensation committee. Mr. Graham makes the recommendation on our chief executive officer's salary to the committee. The committee reviews the recommendations regarding changes in salaries for executive officers and may take such action, including modifications to the recommendations, as it deems appropriate. The recommendations of our chief executive officer and Mr. Graham and the determinations of our management development and compensation committee are based on our evaluations of the past year annual base-salary amounts with adjustments made as a result of our past and expected future financial performance, inflation, past and potential future individual performance and contributions or alternative career opportunities that might be available to our named executive officers employed by us, without performing any independent market research.</w:t>
      </w:r>
    </w:p>
    <w:p>
      <w:pPr>
        <w:spacing w:after="0" w:line="184"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 all cases, no specific measure of, or formula based upon, our financial performance was utilized in determining the increase in an executive officer's base salary for a year, although we did consider our financial performance as one factor in determining such increase. There is no specific weighting of factors in determining such increases. The salaries for our named executive officers employed by us are disclosed in their salary column in the 2017 Summary Compensation Table in this proxy statement for each of the last three years in which such officer served as one of our executive officers.</w:t>
      </w:r>
    </w:p>
    <w:p>
      <w:pPr>
        <w:spacing w:after="0" w:line="15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b w:val="1"/>
          <w:bCs w:val="1"/>
          <w:color w:val="auto"/>
        </w:rPr>
        <w:t>Annual Incentive Bonuses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We pay discretionary incentive bonuses annually in cash to each of our eligible, employed named executive officers to</w:t>
      </w:r>
      <w:r>
        <w:rPr>
          <w:rFonts w:ascii="Arial" w:cs="Arial" w:eastAsia="Arial" w:hAnsi="Arial"/>
          <w:sz w:val="17"/>
          <w:szCs w:val="17"/>
          <w:b w:val="1"/>
          <w:bCs w:val="1"/>
          <w:color w:val="auto"/>
        </w:rPr>
        <w:t xml:space="preserve"> </w:t>
      </w:r>
      <w:r>
        <w:rPr>
          <w:rFonts w:ascii="Arial" w:cs="Arial" w:eastAsia="Arial" w:hAnsi="Arial"/>
          <w:sz w:val="17"/>
          <w:szCs w:val="17"/>
          <w:color w:val="auto"/>
        </w:rPr>
        <w:t>motivate him to achieve higher levels of performance in attaining our corporate goals and reward him for such performance. We determine the amount of any such incentive bonuses we pay our eligible named executive officers employed by us on a year-end discretionary evaluation of each such officer's responsibility, performance, attitude and potential. David A. Bowers, who was elected as our vice chairman concurrent with the election of Mr. James as our chief executive officer in 2017, was not eligible for a discretionary incentive bonus in 2017. The amount of the incentive bonus is also influenced by the amount of the named executive officer's base salary and prior year incentive bonus, as well as our financial performance. We based our award of incentive bonuses for each year primarily upon the recommendation of our chairman of the board (for 2015 and 2016) or Mr. Graham (for 2017) regarding the chief executive officer, the recommendations of the chief executive officer regarding the other named executive officers employed by us, and the determinations of our management development and compensation committee, which may take such action, including modifications to the recommendations, as it deems appropriate. No specific overall performance measures were utilized and there is no specific measure of, or formula based upon, our financial performance that was utilized in determining an employed named executive officer's bonus, although we did consider our financial performance as one factor in determining such bonus. Additionally, there is no specific weighting of factors considered in the determination of incentive bonuses paid to these executive officers.</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approved discretionary incentive bonuses for our employed named executive officers in the last three years as a percentage of the officer's base salary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Arial" w:cs="Arial" w:eastAsia="Arial" w:hAnsi="Arial"/>
                <w:sz w:val="18"/>
                <w:szCs w:val="18"/>
                <w:b w:val="1"/>
                <w:bCs w:val="1"/>
                <w:color w:val="auto"/>
                <w:w w:val="90"/>
              </w:rPr>
              <w:t>Discretionary Incentive Bonuses as a</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Percentage of Base Salary</w:t>
            </w: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auto"/>
            </w:tcBorders>
            <w:gridSpan w:val="2"/>
          </w:tcPr>
          <w:p>
            <w:pPr>
              <w:ind w:left="1640"/>
              <w:spacing w:after="0"/>
              <w:rPr>
                <w:sz w:val="20"/>
                <w:szCs w:val="20"/>
                <w:color w:val="auto"/>
              </w:rPr>
            </w:pPr>
            <w:r>
              <w:rPr>
                <w:rFonts w:ascii="Arial" w:cs="Arial" w:eastAsia="Arial" w:hAnsi="Arial"/>
                <w:sz w:val="18"/>
                <w:szCs w:val="18"/>
                <w:b w:val="1"/>
                <w:bCs w:val="1"/>
                <w:color w:val="auto"/>
              </w:rPr>
              <w:t>Named Executive Officer</w:t>
            </w:r>
          </w:p>
        </w:tc>
        <w:tc>
          <w:tcPr>
            <w:tcW w:w="1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18"/>
                <w:szCs w:val="18"/>
                <w:color w:val="auto"/>
              </w:rPr>
              <w:t>(1)</w:t>
            </w:r>
          </w:p>
        </w:tc>
        <w:tc>
          <w:tcPr>
            <w:tcW w:w="300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 xml:space="preserve">2016 </w:t>
            </w:r>
            <w:r>
              <w:rPr>
                <w:rFonts w:ascii="Arial" w:cs="Arial" w:eastAsia="Arial" w:hAnsi="Arial"/>
                <w:sz w:val="18"/>
                <w:szCs w:val="18"/>
                <w:color w:val="auto"/>
              </w:rPr>
              <w:t>(1)</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1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Bowers</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30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rPr>
              <w:t>110%</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n/a</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Scott C. James</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3000" w:type="dxa"/>
            <w:vAlign w:val="bottom"/>
          </w:tcPr>
          <w:p>
            <w:pPr>
              <w:jc w:val="right"/>
              <w:ind w:right="1290"/>
              <w:spacing w:after="0"/>
              <w:rPr>
                <w:sz w:val="20"/>
                <w:szCs w:val="20"/>
                <w:color w:val="auto"/>
              </w:rPr>
            </w:pPr>
            <w:r>
              <w:rPr>
                <w:rFonts w:ascii="Arial" w:cs="Arial" w:eastAsia="Arial" w:hAnsi="Arial"/>
                <w:sz w:val="18"/>
                <w:szCs w:val="18"/>
                <w:color w:val="auto"/>
              </w:rPr>
              <w:t>113%</w:t>
            </w: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61"/>
        </w:trPr>
        <w:tc>
          <w:tcPr>
            <w:tcW w:w="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2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660" w:right="380" w:hanging="652"/>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These bonuses were approved by our management development and compensation committee in the first quarter of the following year, and such bonuses were paid in such following year for performance in the reported year.</w:t>
      </w:r>
    </w:p>
    <w:p>
      <w:pPr>
        <w:spacing w:after="0" w:line="3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2017 discretionary incentive bonus for Mr. James recognized, among other things, the promotion of Mr. James in 2017 to our chief executive officer, improved revenues in 2017 in both of our segments as compared to 2016, and continued strong operating income. The 2016 discretionary incentive bonuses for Messrs. Bowers and James recognized, among other things, the continuation of our significantly improved operating income in 2016 in both of our segments as compared to 2015. The 2015 discretionary incentive bonuses for Messrs. Bowers and James recognized, among other things, the continuation of our higher sales and operating income in 2015 in both of our segments as compared to 2014. These discretionary incentive bonuses are disclosed in the bonus column in the 2017 Summary Compensation Table in this proxy statement.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right="120" w:firstLine="648"/>
        <w:spacing w:after="0" w:line="258" w:lineRule="auto"/>
        <w:rPr>
          <w:sz w:val="20"/>
          <w:szCs w:val="20"/>
          <w:color w:val="auto"/>
        </w:rPr>
      </w:pPr>
      <w:r>
        <w:rPr>
          <w:rFonts w:ascii="Arial" w:cs="Arial" w:eastAsia="Arial" w:hAnsi="Arial"/>
          <w:sz w:val="18"/>
          <w:szCs w:val="18"/>
          <w:b w:val="1"/>
          <w:bCs w:val="1"/>
          <w:color w:val="auto"/>
        </w:rPr>
        <w:t>Defined Contribution Plans</w:t>
      </w:r>
      <w:r>
        <w:rPr>
          <w:rFonts w:ascii="Arial" w:cs="Arial" w:eastAsia="Arial" w:hAnsi="Arial"/>
          <w:sz w:val="18"/>
          <w:szCs w:val="18"/>
          <w:color w:val="auto"/>
        </w:rPr>
        <w:t>. We pay discretionary annual contributions to the CompX Capital Accumulation Plan, a profit sharing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 plan, and The Employee 401(k) Retirement Plan, a 401(k) defined contribution plan. Participants of these plans are employees of certain of our operations. In March of each year, upon the recommendation of our chief executive officer and the approval of our management development and compensation committee, we contributed for the plan year that ended on December 31 of the prior year, subject to certain limitations under the respective plans and the U.S. Internal Revenue Code of 1986, as amended:</w:t>
      </w:r>
    </w:p>
    <w:p>
      <w:pPr>
        <w:spacing w:after="0" w:line="188" w:lineRule="exact"/>
        <w:rPr>
          <w:sz w:val="20"/>
          <w:szCs w:val="20"/>
          <w:color w:val="auto"/>
        </w:rPr>
      </w:pPr>
    </w:p>
    <w:p>
      <w:pPr>
        <w:ind w:left="1300" w:right="200" w:hanging="644"/>
        <w:spacing w:after="0" w:line="342" w:lineRule="auto"/>
        <w:tabs>
          <w:tab w:leader="none" w:pos="1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the CompX Capital Accumulation Plan for each of the last three plan years, 7.25% of that year's earnings before taxes of our combined CompX security products division and Livorsi marine components unit for each of the last three years (with certain adjustments); and</w:t>
      </w:r>
    </w:p>
    <w:p>
      <w:pPr>
        <w:spacing w:after="0" w:line="339" w:lineRule="exact"/>
        <w:rPr>
          <w:rFonts w:ascii="Arial" w:cs="Arial" w:eastAsia="Arial" w:hAnsi="Arial"/>
          <w:sz w:val="16"/>
          <w:szCs w:val="16"/>
          <w:color w:val="auto"/>
        </w:rPr>
      </w:pPr>
    </w:p>
    <w:p>
      <w:pPr>
        <w:ind w:left="1300" w:right="580" w:hanging="644"/>
        <w:spacing w:after="0" w:line="277"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our 401(k) plan for each of the last three plan years, a matching contribution from a pool of 5% of the earnings before taxes of the business unit up to 100% of the participant's eligible earnings.</w:t>
      </w:r>
    </w:p>
    <w:p>
      <w:pPr>
        <w:spacing w:after="0" w:line="3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Each of Messrs. Bowers and James received such contributions for each of the last three years. These contributions are included in their all other compensation column in the 2017 Summary Compensation Table in this proxy statement.</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Compensation of our Named Executive Officers Employed by Contran</w:t>
      </w:r>
      <w:r>
        <w:rPr>
          <w:rFonts w:ascii="Arial" w:cs="Arial" w:eastAsia="Arial" w:hAnsi="Arial"/>
          <w:sz w:val="18"/>
          <w:szCs w:val="18"/>
          <w:color w:val="auto"/>
        </w:rPr>
        <w:t>. For each of the last three years, certain of our named executive officers were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by Contran and provided their services to us pursuant to our ISA with Contran. Our named executive officers who provided services to us pursuant to our ISA with Contran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36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Name</w:t>
            </w:r>
          </w:p>
        </w:tc>
        <w:tc>
          <w:tcPr>
            <w:tcW w:w="9040" w:type="dxa"/>
            <w:vAlign w:val="bottom"/>
            <w:tcBorders>
              <w:bottom w:val="single" w:sz="8" w:color="auto"/>
            </w:tcBorders>
          </w:tcPr>
          <w:p>
            <w:pPr>
              <w:ind w:left="4020"/>
              <w:spacing w:after="0"/>
              <w:rPr>
                <w:sz w:val="20"/>
                <w:szCs w:val="20"/>
                <w:color w:val="auto"/>
              </w:rPr>
            </w:pPr>
            <w:r>
              <w:rPr>
                <w:rFonts w:ascii="Arial" w:cs="Arial" w:eastAsia="Arial" w:hAnsi="Arial"/>
                <w:sz w:val="18"/>
                <w:szCs w:val="18"/>
                <w:b w:val="1"/>
                <w:bCs w:val="1"/>
                <w:color w:val="auto"/>
              </w:rPr>
              <w:t>Positions with CompX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Robert D. Graham</w:t>
            </w:r>
          </w:p>
        </w:tc>
        <w:tc>
          <w:tcPr>
            <w:tcW w:w="9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Andrew B. Nace</w:t>
            </w:r>
          </w:p>
        </w:tc>
        <w:tc>
          <w:tcPr>
            <w:tcW w:w="9040" w:type="dxa"/>
            <w:vAlign w:val="bottom"/>
          </w:tcPr>
          <w:p>
            <w:pPr>
              <w:ind w:left="66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Gregory M. Swalwell</w:t>
            </w:r>
          </w:p>
        </w:tc>
        <w:tc>
          <w:tcPr>
            <w:tcW w:w="90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James W. Brown</w:t>
            </w:r>
          </w:p>
        </w:tc>
        <w:tc>
          <w:tcPr>
            <w:tcW w:w="9040" w:type="dxa"/>
            <w:vAlign w:val="bottom"/>
          </w:tcPr>
          <w:p>
            <w:pPr>
              <w:ind w:left="660"/>
              <w:spacing w:after="0"/>
              <w:rPr>
                <w:sz w:val="20"/>
                <w:szCs w:val="20"/>
                <w:color w:val="auto"/>
              </w:rPr>
            </w:pPr>
            <w:r>
              <w:rPr>
                <w:rFonts w:ascii="Arial" w:cs="Arial" w:eastAsia="Arial" w:hAnsi="Arial"/>
                <w:sz w:val="18"/>
                <w:szCs w:val="18"/>
                <w:color w:val="auto"/>
              </w:rPr>
              <w:t>Vice President, Chief Financial Officer and Controller</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nature of the duties of each of our named executive officers who are employees of Contran is consistent with the duties normally associated with the officer titles and positions such officer holds with us.</w:t>
      </w:r>
    </w:p>
    <w:p>
      <w:pPr>
        <w:spacing w:after="0" w:line="166"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Intercorporate Services Agreement with Contran</w:t>
      </w:r>
      <w:r>
        <w:rPr>
          <w:rFonts w:ascii="Arial" w:cs="Arial" w:eastAsia="Arial" w:hAnsi="Arial"/>
          <w:sz w:val="18"/>
          <w:szCs w:val="18"/>
          <w:color w:val="auto"/>
        </w:rPr>
        <w:t>. In each of the last three years, we paid Contran a fee for services provided pursuant to our ISA</w:t>
      </w:r>
      <w:r>
        <w:rPr>
          <w:rFonts w:ascii="Arial" w:cs="Arial" w:eastAsia="Arial" w:hAnsi="Arial"/>
          <w:sz w:val="18"/>
          <w:szCs w:val="18"/>
          <w:b w:val="1"/>
          <w:bCs w:val="1"/>
          <w:color w:val="auto"/>
        </w:rPr>
        <w:t xml:space="preserve"> </w:t>
      </w:r>
      <w:r>
        <w:rPr>
          <w:rFonts w:ascii="Arial" w:cs="Arial" w:eastAsia="Arial" w:hAnsi="Arial"/>
          <w:sz w:val="18"/>
          <w:szCs w:val="18"/>
          <w:color w:val="auto"/>
        </w:rPr>
        <w:t>with Contran, which fee was approved by our independent directors after receiving the recommendation of our management development and compensation committee and the concurrence of our chief financial officer. Such services provided under this ISA included the services of our named executive officers employed by Contran, and as a result a portion of the aggregate ISA fee we pay to Contran is paid with respect to services provided to us by such named executive officers.</w:t>
      </w:r>
    </w:p>
    <w:p>
      <w:pPr>
        <w:spacing w:after="0" w:line="188"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The charge under this ISA reimburses Contran for its cost of employing the personnel who provide the services by allocating such cost to us based on the estimated percentage of time such personnel were expected to devote to us over the year. The amount of the fee we paid for each year under this ISA for a person who provided services to us represents, in management's view, the reasonable equivalent of "compensation" for such services. See the Intercorporate Services Agreements part of the Certain Relationships and Transactions section of this proxy statement for the aggregate amount we paid to Contran in 2017 under this ISA. Under the various ISAs among Contran and its subsidiaries and affiliates, we shared the cost of the employment of our executive officers employed by Contran with Contran and certain of its other publicly and privately held subsidiaries.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right="240" w:firstLine="648"/>
        <w:spacing w:after="0" w:line="297" w:lineRule="auto"/>
        <w:rPr>
          <w:sz w:val="20"/>
          <w:szCs w:val="20"/>
          <w:color w:val="auto"/>
        </w:rPr>
      </w:pPr>
      <w:r>
        <w:rPr>
          <w:rFonts w:ascii="Arial" w:cs="Arial" w:eastAsia="Arial" w:hAnsi="Arial"/>
          <w:sz w:val="16"/>
          <w:szCs w:val="16"/>
          <w:color w:val="auto"/>
        </w:rPr>
        <w:t>For our named executive officers employed by Contran, the portion of the annual charge we paid for each of the last three years to Contran under this ISA attributable to each of their services, as applicable, is set forth in the 2017 Summary Compensation Table in this proxy statement. As discussed further below, the amount charged under the ISA is based upon Contran's cost of employing or engaging the personnel who provide the services to us (including the services of our named executive officers employed by Contran) by allocating such cost to us based on the estimated percentage of time such personnel were expected to devote to us over the year. The amount charged under the ISA is not dependent upon our financial performance.</w:t>
      </w:r>
    </w:p>
    <w:p>
      <w:pPr>
        <w:spacing w:after="0" w:line="15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believe the cost of the services received under our ISA with Contran, after considering the quality of the services received, is fair to us and is no less favorable to us than we could otherwise obtain from an unrelated third party for comparable services, based solely in our collective business judgment and experience without performing any independent market research.</w:t>
      </w:r>
    </w:p>
    <w:p>
      <w:pPr>
        <w:spacing w:after="0" w:line="18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the early part of each year, Contran's management, including certain of our executive officers, estimates the percentage of time that each Contran employee, including certain of our named executive officers, is expected to devote in the upcoming year to Contran and its subsidiaries and affiliates, including us. Contran's management then allocates Contran's cost of employing each of its employees among Contran and its various subsidiaries based on such estimated percentages. Contran's aggregate cost of employing each of its employees comprises:</w:t>
      </w:r>
    </w:p>
    <w:p>
      <w:pPr>
        <w:spacing w:after="0" w:line="171"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annualized base salary of such employee at the beginning of the year;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right="180" w:hanging="644"/>
        <w:spacing w:after="0" w:line="342" w:lineRule="auto"/>
        <w:tabs>
          <w:tab w:leader="none" w:pos="13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 estimate of the bonus Contran will pay or accrue for such employee (other than bonuses, if any, for specific matters) for the year, using as a reasonable approximation for such bonus the actual bonus that Contran paid or accrued for such employee in the prior year; and</w:t>
      </w:r>
    </w:p>
    <w:p>
      <w:pPr>
        <w:spacing w:after="0" w:line="339" w:lineRule="exact"/>
        <w:rPr>
          <w:rFonts w:ascii="Arial" w:cs="Arial" w:eastAsia="Arial" w:hAnsi="Arial"/>
          <w:sz w:val="16"/>
          <w:szCs w:val="16"/>
          <w:color w:val="auto"/>
        </w:rPr>
      </w:pPr>
    </w:p>
    <w:p>
      <w:pPr>
        <w:ind w:left="1300" w:hanging="644"/>
        <w:spacing w:after="0" w:line="259"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Contran's portion of the social security and medicare taxes on such base salary and an estimated overhead factor (25% for 2017 and 23% for each of 2016 and 2015) applied to the base salary for the cost of medical and life insurance benefits, unemployment taxes, disability insurance, defined benefit and defined contribution plan benefits, professional education and licensing and costs of providing an office, equipment and supplies related to providing such services.</w:t>
      </w:r>
    </w:p>
    <w:p>
      <w:pPr>
        <w:spacing w:after="0" w:line="200" w:lineRule="exact"/>
        <w:rPr>
          <w:sz w:val="20"/>
          <w:szCs w:val="20"/>
          <w:color w:val="auto"/>
        </w:rPr>
      </w:pPr>
    </w:p>
    <w:p>
      <w:pPr>
        <w:spacing w:after="0" w:line="2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Contran's senior management subsequently made such adjustments to the details of the proposed ISA charge as they deemed necessary for accuracy, overall reasonableness and fairness to us.</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the first quarter of each year, the proposed charge for that year under our ISA with Contran was presented to our management development and compensation committee, and the committee considered whether to recommend that our board of directors approve the ISA charge. Among other things during such presentation, the committee was informed of:</w:t>
      </w:r>
    </w:p>
    <w:p>
      <w:pPr>
        <w:spacing w:after="0" w:line="181"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quality of the services Contran provides to us, including the quality of the services certain of our executive officers provide to us;</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comparison of the ISA charge and number of full-time equivalent employees reflected in the charge by department for the prior year and proposed for the current year;</w:t>
      </w:r>
    </w:p>
    <w:p>
      <w:pPr>
        <w:spacing w:after="0" w:line="386" w:lineRule="exact"/>
        <w:rPr>
          <w:rFonts w:ascii="Arial" w:cs="Arial" w:eastAsia="Arial" w:hAnsi="Arial"/>
          <w:sz w:val="18"/>
          <w:szCs w:val="18"/>
          <w:color w:val="auto"/>
        </w:rPr>
      </w:pPr>
    </w:p>
    <w:p>
      <w:pPr>
        <w:ind w:left="1300" w:right="660" w:hanging="644"/>
        <w:spacing w:after="0" w:line="277"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comparison of the prior year and proposed current year charges by department and in total and such amounts as a percentage of Contran's similarly calculated costs for its departments and in total for those years;</w:t>
      </w:r>
    </w:p>
    <w:p>
      <w:pPr>
        <w:spacing w:after="0" w:line="386"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comparison of the prior year and proposed current year average hourly rate;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concurrence of our chief financial officer as to the reasonableness of the proposed charge.</w:t>
      </w:r>
    </w:p>
    <w:p>
      <w:pPr>
        <w:spacing w:after="0" w:line="200" w:lineRule="exact"/>
        <w:rPr>
          <w:sz w:val="20"/>
          <w:szCs w:val="20"/>
          <w:color w:val="auto"/>
        </w:rPr>
      </w:pPr>
    </w:p>
    <w:p>
      <w:pPr>
        <w:spacing w:after="0" w:line="24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determining whether to recommend that the board of directors approve the proposed ISA fee to be charged to us, the management development and compensation committee considers the three elements of Contran's cost of employing the personnel who provide services to us, including the cost of employing certain of our named executive officers, in the aggregate and not individually. After considering the information contained in such presentations, and following further discussion and review, our management development and compensation committee recommended that our board of directors approve the proposed ISA fee after concluding that: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5" w:name="page26"/>
    <w:bookmarkEnd w:id="25"/>
    <w:p>
      <w:pPr>
        <w:ind w:left="1300" w:right="40" w:hanging="644"/>
        <w:spacing w:after="0" w:line="277"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cost to employ the additional personnel necessary to provide the quality of the services provided by Contran would exceed the proposed aggregate fee to be charged by Contran to us under our ISA with Contran; and</w:t>
      </w:r>
    </w:p>
    <w:p>
      <w:pPr>
        <w:spacing w:after="0" w:line="386"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cost for such services would be no less favorable than could otherwise be obtained from an unrelated third party for comparable services in the committee's collective business judgment and experience, without performing any independent market research.</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In reaching its recommendation, our management development and compensation committee did not review:</w:t>
      </w:r>
    </w:p>
    <w:p>
      <w:pPr>
        <w:spacing w:after="0" w:line="225" w:lineRule="exact"/>
        <w:rPr>
          <w:sz w:val="20"/>
          <w:szCs w:val="20"/>
          <w:color w:val="auto"/>
        </w:rPr>
      </w:pPr>
    </w:p>
    <w:p>
      <w:pPr>
        <w:ind w:left="1300" w:right="340" w:hanging="644"/>
        <w:spacing w:after="0" w:line="27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ISA charge from Contran to any other publicly held parent or sister company, although such charge was separately reviewed by the management development and compensation committee of the applicable company; and</w:t>
      </w:r>
    </w:p>
    <w:p>
      <w:pPr>
        <w:spacing w:after="0" w:line="386"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compensation policies of Contran or the amount of time our named executive officers employed by Contran are expected to devote to us because:</w:t>
      </w:r>
    </w:p>
    <w:p>
      <w:pPr>
        <w:spacing w:after="0" w:line="386" w:lineRule="exact"/>
        <w:rPr>
          <w:rFonts w:ascii="Arial" w:cs="Arial" w:eastAsia="Arial" w:hAnsi="Arial"/>
          <w:sz w:val="18"/>
          <w:szCs w:val="18"/>
          <w:color w:val="auto"/>
        </w:rPr>
      </w:pPr>
    </w:p>
    <w:p>
      <w:pPr>
        <w:ind w:left="1960" w:right="280" w:hanging="648"/>
        <w:spacing w:after="0" w:line="277" w:lineRule="auto"/>
        <w:rPr>
          <w:rFonts w:ascii="Arial" w:cs="Arial" w:eastAsia="Arial" w:hAnsi="Arial"/>
          <w:sz w:val="18"/>
          <w:szCs w:val="18"/>
          <w:color w:val="auto"/>
        </w:rPr>
      </w:pPr>
      <w:r>
        <w:rPr>
          <w:rFonts w:ascii="Arial" w:cs="Arial" w:eastAsia="Arial" w:hAnsi="Arial"/>
          <w:sz w:val="18"/>
          <w:szCs w:val="18"/>
          <w:color w:val="auto"/>
        </w:rPr>
        <w:t>oeach of our named executive officers employed by Contran, provides services to many companies related to Contran, including Contran itself;</w:t>
      </w:r>
    </w:p>
    <w:p>
      <w:pPr>
        <w:spacing w:after="0" w:line="386" w:lineRule="exact"/>
        <w:rPr>
          <w:rFonts w:ascii="Arial" w:cs="Arial" w:eastAsia="Arial" w:hAnsi="Arial"/>
          <w:sz w:val="18"/>
          <w:szCs w:val="18"/>
          <w:color w:val="auto"/>
        </w:rPr>
      </w:pPr>
    </w:p>
    <w:p>
      <w:pPr>
        <w:ind w:left="1960" w:hanging="648"/>
        <w:spacing w:after="0" w:line="277" w:lineRule="auto"/>
        <w:rPr>
          <w:rFonts w:ascii="Arial" w:cs="Arial" w:eastAsia="Arial" w:hAnsi="Arial"/>
          <w:sz w:val="18"/>
          <w:szCs w:val="18"/>
          <w:color w:val="auto"/>
        </w:rPr>
      </w:pPr>
      <w:r>
        <w:rPr>
          <w:rFonts w:ascii="Arial" w:cs="Arial" w:eastAsia="Arial" w:hAnsi="Arial"/>
          <w:sz w:val="18"/>
          <w:szCs w:val="18"/>
          <w:color w:val="auto"/>
        </w:rPr>
        <w:t>othe fee we pay to Contran under our ISA with Contran each year does not represent all of Contran's cost of employing each of such named executive officers;</w:t>
      </w:r>
    </w:p>
    <w:p>
      <w:pPr>
        <w:spacing w:after="0" w:line="386" w:lineRule="exact"/>
        <w:rPr>
          <w:rFonts w:ascii="Arial" w:cs="Arial" w:eastAsia="Arial" w:hAnsi="Arial"/>
          <w:sz w:val="18"/>
          <w:szCs w:val="18"/>
          <w:color w:val="auto"/>
        </w:rPr>
      </w:pPr>
    </w:p>
    <w:p>
      <w:pPr>
        <w:ind w:left="1960" w:right="220" w:hanging="648"/>
        <w:spacing w:after="0" w:line="277" w:lineRule="auto"/>
        <w:rPr>
          <w:rFonts w:ascii="Arial" w:cs="Arial" w:eastAsia="Arial" w:hAnsi="Arial"/>
          <w:sz w:val="18"/>
          <w:szCs w:val="18"/>
          <w:color w:val="auto"/>
        </w:rPr>
      </w:pPr>
      <w:r>
        <w:rPr>
          <w:rFonts w:ascii="Arial" w:cs="Arial" w:eastAsia="Arial" w:hAnsi="Arial"/>
          <w:sz w:val="18"/>
          <w:szCs w:val="18"/>
          <w:color w:val="auto"/>
        </w:rPr>
        <w:t>oContran and these other companies related to Contran absorb the remaining amount of Contran's cost of employing each of such named executive officers; and</w:t>
      </w:r>
    </w:p>
    <w:p>
      <w:pPr>
        <w:spacing w:after="0" w:line="387" w:lineRule="exact"/>
        <w:rPr>
          <w:sz w:val="20"/>
          <w:szCs w:val="20"/>
          <w:color w:val="auto"/>
        </w:rPr>
      </w:pPr>
    </w:p>
    <w:p>
      <w:pPr>
        <w:ind w:left="1960" w:right="680" w:hanging="655"/>
        <w:spacing w:after="0" w:line="342" w:lineRule="auto"/>
        <w:tabs>
          <w:tab w:leader="none" w:pos="19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members of our management development and compensation committee consider the other factors discussed above in determining whether to recommend that the proposed ISA fee for each year be approved by the full board of directors.</w:t>
      </w:r>
    </w:p>
    <w:p>
      <w:pPr>
        <w:spacing w:after="0" w:line="340"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Based on the recommendation of our management development and compensation committee as well as the concurrence of our chief financial officer, our independent directors approved the proposed annual ISA charge effective January 1, 2017, with our other directors abstaining.</w:t>
      </w:r>
    </w:p>
    <w:p>
      <w:pPr>
        <w:spacing w:after="0" w:line="12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For financial reporting and income tax purposes, the ISA fee is expensed as incurred on a quarterly basis. Section 162(m) of the Internal Revenue Code of 1986 generally disallows an income tax deduction to publicly held companies for non-performance based compensation over $1.0 million paid to the company's chief executive officer, chief financial officer and three other most highly compensated executive officers. Prior to 2017, the Contran ISA did not exceed $1.0 million for any individual's charge to a publicly held company under the ISA. Accordingly, the deductibility by the company of the charge for income tax purposes was not limited under Section 162(m), if such section were to be deemed applicable as it relates to the ISA. Beginning in 2017, the ISA may include charges in excess of $1.0 million, but Contran will absorb the impact of any such income tax deduction disallowance. However, the fee we paid to Contran under our ISA with Contran in 2017, and the fee we expect to pay to Contran under our ISA with Contran for 2018, does not include the services for any individual with an ISA charge in excess of $1.0 million.</w:t>
      </w:r>
    </w:p>
    <w:p>
      <w:pPr>
        <w:spacing w:after="0" w:line="17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i w:val="1"/>
          <w:iCs w:val="1"/>
          <w:color w:val="auto"/>
        </w:rPr>
        <w:t xml:space="preserve">Director Fees, including Equity-Based Compensation. </w:t>
      </w:r>
      <w:r>
        <w:rPr>
          <w:rFonts w:ascii="Arial" w:cs="Arial" w:eastAsia="Arial" w:hAnsi="Arial"/>
          <w:sz w:val="16"/>
          <w:szCs w:val="16"/>
          <w:color w:val="auto"/>
        </w:rPr>
        <w:t>Prior to July 2017, we paid director fees in the form of cash and stock compensation to Mr.</w:t>
      </w:r>
      <w:r>
        <w:rPr>
          <w:rFonts w:ascii="Arial" w:cs="Arial" w:eastAsia="Arial" w:hAnsi="Arial"/>
          <w:sz w:val="16"/>
          <w:szCs w:val="16"/>
          <w:i w:val="1"/>
          <w:iCs w:val="1"/>
          <w:color w:val="auto"/>
        </w:rPr>
        <w:t xml:space="preserve"> </w:t>
      </w:r>
      <w:r>
        <w:rPr>
          <w:rFonts w:ascii="Arial" w:cs="Arial" w:eastAsia="Arial" w:hAnsi="Arial"/>
          <w:sz w:val="16"/>
          <w:szCs w:val="16"/>
          <w:color w:val="auto"/>
        </w:rPr>
        <w:t>Graham, who provided services to us pursuant to our ISA with Contran and who also served on our board of directors. Mr. Bowers did not receive these fees because we did not pay these fees to directors who are also employed by us. Other than these director fees, we did not pay any compensation directly to such named executive officers. Effective July 2017, our executive officers, including our named executive officers, are no longer eligible to receive cash compensation for their service on our board of directors. Beginning in 2018, our executive officers, including our named executive officers, are no longer eligible to receive equity-based compensation for their services on our board of directors. See the Director Compensation section of this proxy statement.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ind w:firstLine="648"/>
        <w:spacing w:after="0" w:line="264" w:lineRule="auto"/>
        <w:rPr>
          <w:sz w:val="20"/>
          <w:szCs w:val="20"/>
          <w:color w:val="auto"/>
        </w:rPr>
      </w:pPr>
      <w:r>
        <w:rPr>
          <w:rFonts w:ascii="Arial" w:cs="Arial" w:eastAsia="Arial" w:hAnsi="Arial"/>
          <w:sz w:val="18"/>
          <w:szCs w:val="18"/>
          <w:color w:val="auto"/>
        </w:rPr>
        <w:t>The 2017 Summary Compensation Table sets forth the cash fees that we paid to Mr. Graham for his director services prior to July 2017. The director fees paid to him were annual director retainer fees and fees for attending board meetings. The cash director fees paid were not dependent upon our financial performance.</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2017 Summary Compensation Table sets forth the director stock grants we paid to Mr. Graham for his director services prior to July 2017. See the 2017 Grants of Plan-Based Awards section in this proxy statement for a discussion of these annual grants and the formula by which the stock awards are determined. The stock grant Mr. Graham received was pursuant to the same formula for all directors eligible to receive such grants. The dollar amount of the stock awards appearing in the 2017 Summary Compensation Table represents the value recognized for financial statement reporting purposes of shares of common stock we granted to Mr. Graham for his director services.</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Prior to 2015, we decided to forgo the grant of any equity compensation other than annual awards of stock to our directors, as discussed above. We also do not have any security ownership requirements or guidelines for our management or directors. We do not currently anticipate any equity-based compensation will be granted in 2018, other than the annual grants of stock to our directors who are not employees of Contran or one of its subsidiaries or affiliates.</w:t>
      </w:r>
    </w:p>
    <w:p>
      <w:pPr>
        <w:spacing w:after="0" w:line="187"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b w:val="1"/>
          <w:bCs w:val="1"/>
          <w:i w:val="1"/>
          <w:iCs w:val="1"/>
          <w:color w:val="auto"/>
        </w:rPr>
        <w:t>Compensation Committee Report</w:t>
      </w:r>
      <w:r>
        <w:rPr>
          <w:rFonts w:ascii="Arial" w:cs="Arial" w:eastAsia="Arial" w:hAnsi="Arial"/>
          <w:sz w:val="17"/>
          <w:szCs w:val="17"/>
          <w:color w:val="auto"/>
        </w:rPr>
        <w:t>. The management development and compensation committee has reviewed with management the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Discussion and Analysis section in this proxy statement. Based on the committee's review and a discussion with management, the committee recommended to the board of directors that our compensation discussion and analysis be included in this proxy statement.</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members of our management development and compensation committee submit the foregoing report as of February 28, 2018.</w:t>
      </w:r>
    </w:p>
    <w:p>
      <w:pPr>
        <w:sectPr>
          <w:pgSz w:w="11900" w:h="16838" w:orient="portrait"/>
          <w:cols w:equalWidth="0" w:num="1">
            <w:col w:w="11420"/>
          </w:cols>
          <w:pgMar w:left="240" w:top="125" w:right="23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 Manix</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Chairwoman of our Management Development and Compensation Committee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E. Barry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Member of our Management Development and Compensation Committee</w:t>
      </w:r>
    </w:p>
    <w:p>
      <w:pPr>
        <w:spacing w:after="0" w:line="200" w:lineRule="exact"/>
        <w:rPr>
          <w:sz w:val="20"/>
          <w:szCs w:val="20"/>
          <w:color w:val="auto"/>
        </w:rPr>
      </w:pPr>
    </w:p>
    <w:p>
      <w:pPr>
        <w:sectPr>
          <w:pgSz w:w="11900" w:h="16838" w:orient="portrait"/>
          <w:cols w:equalWidth="0" w:num="2">
            <w:col w:w="5640" w:space="320"/>
            <w:col w:w="546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7" w:name="page28"/>
    <w:bookmarkEnd w:id="27"/>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Summary of Cash and Certain Other Compensation of Executive Officers</w:t>
      </w:r>
      <w:r>
        <w:rPr>
          <w:rFonts w:ascii="Arial" w:cs="Arial" w:eastAsia="Arial" w:hAnsi="Arial"/>
          <w:sz w:val="18"/>
          <w:szCs w:val="18"/>
          <w:color w:val="auto"/>
        </w:rPr>
        <w:t>. The 2017 Summary Compensation Table below provides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concerning compensation we and our subsidiaries paid or accrued for services rendered during the last three years by our chief executive officer, our former chief executive officer (who is currently vice chairman of the board of directors), our chief financial officer, and each of the three other most highly compensated individuals (in certain instances, based on ISA charges to us) who were our executive officers at December 31, 2017. Messrs. Brown, Graham, Nace and Swalwell were employees of Contran for their years reported in this table and provided their services to us and our subsidiaries pursuant to our ISA with Contran. For a discussion of this ISA, see the Intercorporate Services Agreements part of the Certain Relationships and Transactions section of this proxy statement.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4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 xml:space="preserve">2017 SUMMARY COMPENSATION TABLE </w:t>
            </w:r>
            <w:r>
              <w:rPr>
                <w:rFonts w:ascii="Arial" w:cs="Arial" w:eastAsia="Arial" w:hAnsi="Arial"/>
                <w:sz w:val="18"/>
                <w:szCs w:val="18"/>
                <w:color w:val="auto"/>
              </w:rPr>
              <w:t>(1)</w:t>
            </w: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All Other</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00" w:type="dxa"/>
            <w:vAlign w:val="bottom"/>
            <w:gridSpan w:val="2"/>
          </w:tcPr>
          <w:p>
            <w:pPr>
              <w:ind w:left="320"/>
              <w:spacing w:after="0"/>
              <w:rPr>
                <w:sz w:val="20"/>
                <w:szCs w:val="20"/>
                <w:color w:val="auto"/>
              </w:rPr>
            </w:pPr>
            <w:r>
              <w:rPr>
                <w:rFonts w:ascii="Arial" w:cs="Arial" w:eastAsia="Arial" w:hAnsi="Arial"/>
                <w:sz w:val="18"/>
                <w:szCs w:val="18"/>
                <w:b w:val="1"/>
                <w:bCs w:val="1"/>
                <w:color w:val="auto"/>
                <w:w w:val="97"/>
              </w:rPr>
              <w:t>Name and Principal Position</w:t>
            </w:r>
          </w:p>
        </w:tc>
        <w:tc>
          <w:tcPr>
            <w:tcW w:w="940" w:type="dxa"/>
            <w:vAlign w:val="bottom"/>
          </w:tcPr>
          <w:p>
            <w:pPr>
              <w:jc w:val="right"/>
              <w:ind w:right="70"/>
              <w:spacing w:after="0"/>
              <w:rPr>
                <w:sz w:val="20"/>
                <w:szCs w:val="20"/>
                <w:color w:val="auto"/>
              </w:rPr>
            </w:pPr>
            <w:r>
              <w:rPr>
                <w:rFonts w:ascii="Arial" w:cs="Arial" w:eastAsia="Arial" w:hAnsi="Arial"/>
                <w:sz w:val="18"/>
                <w:szCs w:val="18"/>
                <w:b w:val="1"/>
                <w:bCs w:val="1"/>
                <w:color w:val="auto"/>
              </w:rPr>
              <w:t>Year</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Salary</w:t>
            </w:r>
          </w:p>
        </w:tc>
        <w:tc>
          <w:tcPr>
            <w:tcW w:w="640" w:type="dxa"/>
            <w:vAlign w:val="bottom"/>
          </w:tcPr>
          <w:p>
            <w:pPr>
              <w:spacing w:after="0"/>
              <w:rPr>
                <w:sz w:val="20"/>
                <w:szCs w:val="20"/>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b w:val="1"/>
                <w:bCs w:val="1"/>
                <w:color w:val="auto"/>
              </w:rPr>
              <w:t>Bonus</w:t>
            </w:r>
          </w:p>
        </w:tc>
        <w:tc>
          <w:tcPr>
            <w:tcW w:w="14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95"/>
              </w:rPr>
              <w:t>Stock Awards</w:t>
            </w:r>
          </w:p>
        </w:tc>
        <w:tc>
          <w:tcPr>
            <w:tcW w:w="17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Compensation</w:t>
            </w:r>
          </w:p>
        </w:tc>
        <w:tc>
          <w:tcPr>
            <w:tcW w:w="126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C. James (2)</w:t>
            </w:r>
          </w:p>
        </w:tc>
        <w:tc>
          <w:tcPr>
            <w:tcW w:w="9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2017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$389,712</w:t>
            </w: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w:t>
            </w:r>
          </w:p>
        </w:tc>
        <w:tc>
          <w:tcPr>
            <w:tcW w:w="5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$34,435(5)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$924,147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i w:val="1"/>
                <w:iCs w:val="1"/>
                <w:color w:val="auto"/>
              </w:rPr>
              <w:t>President and Chief</w:t>
            </w: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2016</w:t>
            </w:r>
          </w:p>
        </w:tc>
        <w:tc>
          <w:tcPr>
            <w:tcW w:w="1280" w:type="dxa"/>
            <w:vAlign w:val="bottom"/>
          </w:tcPr>
          <w:p>
            <w:pPr>
              <w:jc w:val="right"/>
              <w:spacing w:after="0"/>
              <w:rPr>
                <w:sz w:val="20"/>
                <w:szCs w:val="20"/>
                <w:color w:val="auto"/>
              </w:rPr>
            </w:pPr>
            <w:r>
              <w:rPr>
                <w:rFonts w:ascii="Arial" w:cs="Arial" w:eastAsia="Arial" w:hAnsi="Arial"/>
                <w:sz w:val="18"/>
                <w:szCs w:val="18"/>
                <w:color w:val="auto"/>
              </w:rPr>
              <w:t>374,486</w:t>
            </w:r>
          </w:p>
        </w:tc>
        <w:tc>
          <w:tcPr>
            <w:tcW w:w="6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425,000</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740" w:type="dxa"/>
            <w:vAlign w:val="bottom"/>
            <w:gridSpan w:val="2"/>
          </w:tcPr>
          <w:p>
            <w:pPr>
              <w:jc w:val="right"/>
              <w:ind w:right="590"/>
              <w:spacing w:after="0"/>
              <w:rPr>
                <w:sz w:val="20"/>
                <w:szCs w:val="20"/>
                <w:color w:val="auto"/>
              </w:rPr>
            </w:pPr>
            <w:r>
              <w:rPr>
                <w:rFonts w:ascii="Arial" w:cs="Arial" w:eastAsia="Arial" w:hAnsi="Arial"/>
                <w:sz w:val="18"/>
                <w:szCs w:val="18"/>
                <w:color w:val="auto"/>
              </w:rPr>
              <w:t>35,586(5)</w:t>
            </w:r>
          </w:p>
        </w:tc>
        <w:tc>
          <w:tcPr>
            <w:tcW w:w="1240" w:type="dxa"/>
            <w:vAlign w:val="bottom"/>
          </w:tcPr>
          <w:p>
            <w:pPr>
              <w:jc w:val="right"/>
              <w:spacing w:after="0"/>
              <w:rPr>
                <w:sz w:val="20"/>
                <w:szCs w:val="20"/>
                <w:color w:val="auto"/>
              </w:rPr>
            </w:pPr>
            <w:r>
              <w:rPr>
                <w:rFonts w:ascii="Arial" w:cs="Arial" w:eastAsia="Arial" w:hAnsi="Arial"/>
                <w:sz w:val="18"/>
                <w:szCs w:val="18"/>
                <w:color w:val="auto"/>
              </w:rPr>
              <w:t>835,072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Executive Officer</w:t>
            </w:r>
          </w:p>
        </w:tc>
        <w:tc>
          <w:tcPr>
            <w:tcW w:w="9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2015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350,880</w:t>
            </w: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35,153(5)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Bowers (2)</w:t>
            </w:r>
          </w:p>
        </w:tc>
        <w:tc>
          <w:tcPr>
            <w:tcW w:w="9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2017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525,044</w:t>
            </w: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34,435</w:t>
            </w:r>
          </w:p>
        </w:tc>
        <w:tc>
          <w:tcPr>
            <w:tcW w:w="8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i w:val="1"/>
                <w:iCs w:val="1"/>
                <w:color w:val="auto"/>
              </w:rPr>
              <w:t>Vice Chairman of the</w:t>
            </w: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2016</w:t>
            </w:r>
          </w:p>
        </w:tc>
        <w:tc>
          <w:tcPr>
            <w:tcW w:w="1280" w:type="dxa"/>
            <w:vAlign w:val="bottom"/>
          </w:tcPr>
          <w:p>
            <w:pPr>
              <w:jc w:val="right"/>
              <w:spacing w:after="0"/>
              <w:rPr>
                <w:sz w:val="20"/>
                <w:szCs w:val="20"/>
                <w:color w:val="auto"/>
              </w:rPr>
            </w:pPr>
            <w:r>
              <w:rPr>
                <w:rFonts w:ascii="Arial" w:cs="Arial" w:eastAsia="Arial" w:hAnsi="Arial"/>
                <w:sz w:val="18"/>
                <w:szCs w:val="18"/>
                <w:color w:val="auto"/>
              </w:rPr>
              <w:t>524,659</w:t>
            </w:r>
          </w:p>
        </w:tc>
        <w:tc>
          <w:tcPr>
            <w:tcW w:w="6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575,000</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1740" w:type="dxa"/>
            <w:vAlign w:val="bottom"/>
            <w:gridSpan w:val="2"/>
          </w:tcPr>
          <w:p>
            <w:pPr>
              <w:jc w:val="right"/>
              <w:ind w:right="590"/>
              <w:spacing w:after="0"/>
              <w:rPr>
                <w:sz w:val="20"/>
                <w:szCs w:val="20"/>
                <w:color w:val="auto"/>
              </w:rPr>
            </w:pPr>
            <w:r>
              <w:rPr>
                <w:rFonts w:ascii="Arial" w:cs="Arial" w:eastAsia="Arial" w:hAnsi="Arial"/>
                <w:sz w:val="18"/>
                <w:szCs w:val="18"/>
                <w:color w:val="auto"/>
              </w:rPr>
              <w:t>35,586(5)</w:t>
            </w:r>
          </w:p>
        </w:tc>
        <w:tc>
          <w:tcPr>
            <w:tcW w:w="1240" w:type="dxa"/>
            <w:vAlign w:val="bottom"/>
          </w:tcPr>
          <w:p>
            <w:pPr>
              <w:jc w:val="right"/>
              <w:spacing w:after="0"/>
              <w:rPr>
                <w:sz w:val="20"/>
                <w:szCs w:val="20"/>
                <w:color w:val="auto"/>
              </w:rPr>
            </w:pPr>
            <w:r>
              <w:rPr>
                <w:rFonts w:ascii="Arial" w:cs="Arial" w:eastAsia="Arial" w:hAnsi="Arial"/>
                <w:sz w:val="18"/>
                <w:szCs w:val="18"/>
                <w:color w:val="auto"/>
              </w:rPr>
              <w:t>1,135,245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Board</w:t>
            </w:r>
          </w:p>
        </w:tc>
        <w:tc>
          <w:tcPr>
            <w:tcW w:w="9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2015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518,013</w:t>
            </w: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35,153(5)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2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D. Graham (2)</w:t>
            </w:r>
          </w:p>
        </w:tc>
        <w:tc>
          <w:tcPr>
            <w:tcW w:w="9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2017</w:t>
            </w:r>
          </w:p>
        </w:tc>
        <w:tc>
          <w:tcPr>
            <w:tcW w:w="19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225,500(3)</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w:t>
            </w: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i w:val="1"/>
                <w:iCs w:val="1"/>
                <w:color w:val="auto"/>
              </w:rPr>
              <w:t>Executive Vice President</w:t>
            </w: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Andrew B. Nace (2)</w:t>
            </w: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2017</w:t>
            </w:r>
          </w:p>
        </w:tc>
        <w:tc>
          <w:tcPr>
            <w:tcW w:w="1920" w:type="dxa"/>
            <w:vAlign w:val="bottom"/>
            <w:gridSpan w:val="2"/>
          </w:tcPr>
          <w:p>
            <w:pPr>
              <w:jc w:val="right"/>
              <w:ind w:right="390"/>
              <w:spacing w:after="0"/>
              <w:rPr>
                <w:sz w:val="20"/>
                <w:szCs w:val="20"/>
                <w:color w:val="auto"/>
              </w:rPr>
            </w:pPr>
            <w:r>
              <w:rPr>
                <w:rFonts w:ascii="Arial" w:cs="Arial" w:eastAsia="Arial" w:hAnsi="Arial"/>
                <w:sz w:val="18"/>
                <w:szCs w:val="18"/>
                <w:color w:val="auto"/>
              </w:rPr>
              <w:t>215,000(3)</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Vice President</w:t>
            </w:r>
          </w:p>
        </w:tc>
        <w:tc>
          <w:tcPr>
            <w:tcW w:w="9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2016</w:t>
            </w:r>
          </w:p>
        </w:tc>
        <w:tc>
          <w:tcPr>
            <w:tcW w:w="19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222,400(3)</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2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B. Swalwell (2)</w:t>
            </w:r>
          </w:p>
        </w:tc>
        <w:tc>
          <w:tcPr>
            <w:tcW w:w="9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2017</w:t>
            </w:r>
          </w:p>
        </w:tc>
        <w:tc>
          <w:tcPr>
            <w:tcW w:w="19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210,000(3)</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i w:val="1"/>
                <w:iCs w:val="1"/>
                <w:color w:val="auto"/>
              </w:rPr>
              <w:t>Executive Vice President</w:t>
            </w: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James W. Brown</w:t>
            </w: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2017</w:t>
            </w:r>
          </w:p>
        </w:tc>
        <w:tc>
          <w:tcPr>
            <w:tcW w:w="1280" w:type="dxa"/>
            <w:vAlign w:val="bottom"/>
          </w:tcPr>
          <w:p>
            <w:pPr>
              <w:jc w:val="right"/>
              <w:spacing w:after="0"/>
              <w:rPr>
                <w:sz w:val="20"/>
                <w:szCs w:val="20"/>
                <w:color w:val="auto"/>
              </w:rPr>
            </w:pPr>
            <w:r>
              <w:rPr>
                <w:rFonts w:ascii="Arial" w:cs="Arial" w:eastAsia="Arial" w:hAnsi="Arial"/>
                <w:sz w:val="18"/>
                <w:szCs w:val="18"/>
                <w:color w:val="auto"/>
              </w:rPr>
              <w:t>710,000</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w w:val="90"/>
              </w:rPr>
              <w:t>(3)</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Vice President, Chief</w:t>
            </w:r>
          </w:p>
        </w:tc>
        <w:tc>
          <w:tcPr>
            <w:tcW w:w="9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2016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690,900</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0"/>
              </w:rPr>
              <w:t>(3)</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tcPr>
          <w:p>
            <w:pPr>
              <w:ind w:left="200"/>
              <w:spacing w:after="0"/>
              <w:rPr>
                <w:sz w:val="20"/>
                <w:szCs w:val="20"/>
                <w:color w:val="auto"/>
              </w:rPr>
            </w:pPr>
            <w:r>
              <w:rPr>
                <w:rFonts w:ascii="Arial" w:cs="Arial" w:eastAsia="Arial" w:hAnsi="Arial"/>
                <w:sz w:val="18"/>
                <w:szCs w:val="18"/>
                <w:i w:val="1"/>
                <w:iCs w:val="1"/>
                <w:color w:val="auto"/>
              </w:rPr>
              <w:t>Financial Officer and</w:t>
            </w: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2015</w:t>
            </w:r>
          </w:p>
        </w:tc>
        <w:tc>
          <w:tcPr>
            <w:tcW w:w="1280" w:type="dxa"/>
            <w:vAlign w:val="bottom"/>
          </w:tcPr>
          <w:p>
            <w:pPr>
              <w:jc w:val="right"/>
              <w:spacing w:after="0"/>
              <w:rPr>
                <w:sz w:val="20"/>
                <w:szCs w:val="20"/>
                <w:color w:val="auto"/>
              </w:rPr>
            </w:pPr>
            <w:r>
              <w:rPr>
                <w:rFonts w:ascii="Arial" w:cs="Arial" w:eastAsia="Arial" w:hAnsi="Arial"/>
                <w:sz w:val="18"/>
                <w:szCs w:val="18"/>
                <w:color w:val="auto"/>
              </w:rPr>
              <w:t>561,500</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w w:val="90"/>
              </w:rPr>
              <w:t>(3)</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Controller</w:t>
            </w: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Certain non-applicable columns have been omitted from this table.</w:t>
      </w:r>
    </w:p>
    <w:p>
      <w:pPr>
        <w:spacing w:after="0" w:line="225" w:lineRule="exact"/>
        <w:rPr>
          <w:rFonts w:ascii="Arial" w:cs="Arial" w:eastAsia="Arial" w:hAnsi="Arial"/>
          <w:sz w:val="18"/>
          <w:szCs w:val="18"/>
          <w:color w:val="auto"/>
        </w:rPr>
      </w:pPr>
    </w:p>
    <w:p>
      <w:pPr>
        <w:ind w:left="660" w:right="180" w:hanging="652"/>
        <w:spacing w:after="0" w:line="26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2017 is the first year that Messrs. Graham and Swalwell are named executive officers. 2016 was the first year Mr. Nace was a named executive officer. Mr. James and Mr. Bowers each served as our chief executive officer for a portion of 2017; following the appointment of Mr. James as our chief executive officer on May 24, 2017, Mr. Bowers continued to serve as our vice chairman.</w:t>
      </w:r>
    </w:p>
    <w:p>
      <w:pPr>
        <w:spacing w:after="0" w:line="181" w:lineRule="exact"/>
        <w:rPr>
          <w:rFonts w:ascii="Arial" w:cs="Arial" w:eastAsia="Arial" w:hAnsi="Arial"/>
          <w:sz w:val="18"/>
          <w:szCs w:val="18"/>
          <w:color w:val="auto"/>
        </w:rPr>
      </w:pPr>
    </w:p>
    <w:p>
      <w:pPr>
        <w:ind w:left="660" w:right="40" w:hanging="652"/>
        <w:spacing w:after="0" w:line="270"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amounts shown in the table as salary compensation for Messrs. Brown, Graham, Nace and Swalwell represent the portion of the fees we paid to Contran pursuant to the ISA attributable to the services each of these officers rendered to us. The ISA charges disclosed for Contran employees who perform executive officer services for us and our subsidiaries are based on various factors described in the Compensation Discussion and Analysis section of this proxy statement. Our management development and compensation committee considers the factors described in the Compensation Discussion and Analysis section of this proxy statement in determining whether to recommend that our board of directors approve the aggregate proposed ISA fee with Contran. As discussed in the Compensation Discussion and Analysis section of this proxy statement, our management development and compensation committee does not consider any ISA charge from Contran to any other publicly held parent or sister company of ours, although such charge is separately reviewed by the management development and compensation committee of the applicable company. The amount shown in the table as salary for Mr. Graham also includes director cash compensation we paid to him prior to July 2017, as indicated in the following table.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i w:val="1"/>
                <w:iCs w:val="1"/>
                <w:color w:val="auto"/>
              </w:rPr>
              <w:t>Robert D. Graham</w:t>
            </w:r>
          </w:p>
        </w:tc>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ISA Fees:</w:t>
            </w:r>
          </w:p>
        </w:tc>
        <w:tc>
          <w:tcPr>
            <w:tcW w:w="3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210,000</w:t>
            </w:r>
          </w:p>
        </w:tc>
      </w:tr>
      <w:tr>
        <w:trPr>
          <w:trHeight w:val="216"/>
        </w:trPr>
        <w:tc>
          <w:tcPr>
            <w:tcW w:w="6620" w:type="dxa"/>
            <w:vAlign w:val="bottom"/>
          </w:tcPr>
          <w:p>
            <w:pPr>
              <w:ind w:left="340"/>
              <w:spacing w:after="0"/>
              <w:rPr>
                <w:sz w:val="20"/>
                <w:szCs w:val="20"/>
                <w:color w:val="auto"/>
              </w:rPr>
            </w:pPr>
            <w:r>
              <w:rPr>
                <w:rFonts w:ascii="Arial" w:cs="Arial" w:eastAsia="Arial" w:hAnsi="Arial"/>
                <w:sz w:val="18"/>
                <w:szCs w:val="18"/>
                <w:color w:val="auto"/>
              </w:rPr>
              <w:t>Director Fees Earned or Paid in Cash:</w:t>
            </w:r>
          </w:p>
        </w:tc>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15,500</w:t>
            </w:r>
          </w:p>
        </w:tc>
      </w:tr>
      <w:tr>
        <w:trPr>
          <w:trHeight w:val="237"/>
        </w:trPr>
        <w:tc>
          <w:tcPr>
            <w:tcW w:w="6620" w:type="dxa"/>
            <w:vAlign w:val="bottom"/>
            <w:shd w:val="clear" w:color="auto" w:fill="CCEEFF"/>
          </w:tcPr>
          <w:p>
            <w:pPr>
              <w:spacing w:after="0"/>
              <w:rPr>
                <w:sz w:val="20"/>
                <w:szCs w:val="20"/>
                <w:color w:val="auto"/>
              </w:rPr>
            </w:pPr>
          </w:p>
        </w:tc>
        <w:tc>
          <w:tcPr>
            <w:tcW w:w="3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225,500</w:t>
            </w:r>
          </w:p>
        </w:tc>
      </w:tr>
      <w:tr>
        <w:trPr>
          <w:trHeight w:val="20"/>
        </w:trPr>
        <w:tc>
          <w:tcPr>
            <w:tcW w:w="662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type w:val="continuous"/>
        </w:sectPr>
      </w:pPr>
    </w:p>
    <w:bookmarkStart w:id="28" w:name="page29"/>
    <w:bookmarkEnd w:id="28"/>
    <w:p>
      <w:pPr>
        <w:ind w:left="660" w:right="40" w:hanging="652"/>
        <w:spacing w:after="0" w:line="286"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stock award to Mr. Graham consisted of shares of our class A common stock we granted to him for his director services. See the 2017 Grants of Plan-Based Awards Table below for more details regarding the 2017 grant. Beginning in 2018, Mr. Graham, as an employee of Contran, was no longer eligible for equity-based compensation as a director of us. The stock award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center"/>
              <w:ind w:left="110"/>
              <w:spacing w:after="0"/>
              <w:rPr>
                <w:sz w:val="20"/>
                <w:szCs w:val="20"/>
                <w:color w:val="auto"/>
              </w:rPr>
            </w:pPr>
            <w:r>
              <w:rPr>
                <w:rFonts w:ascii="Arial" w:cs="Arial" w:eastAsia="Arial" w:hAnsi="Arial"/>
                <w:sz w:val="18"/>
                <w:szCs w:val="18"/>
                <w:color w:val="auto"/>
                <w:w w:val="91"/>
              </w:rPr>
              <w:t>Closing Price on Date</w:t>
            </w: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Grant Date Value of Shares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Shares of Class A Common Stock</w:t>
            </w:r>
          </w:p>
        </w:tc>
        <w:tc>
          <w:tcPr>
            <w:tcW w:w="238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Date of Grant</w:t>
            </w:r>
          </w:p>
        </w:tc>
        <w:tc>
          <w:tcPr>
            <w:tcW w:w="18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2"/>
              </w:rPr>
              <w:t>of Grant</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Class A Common Stock</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Robert D. Graham</w:t>
            </w:r>
          </w:p>
        </w:tc>
        <w:tc>
          <w:tcPr>
            <w:tcW w:w="23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1,000 shares of CompX class A common stock</w:t>
            </w:r>
          </w:p>
        </w:tc>
        <w:tc>
          <w:tcPr>
            <w:tcW w:w="2380" w:type="dxa"/>
            <w:vAlign w:val="bottom"/>
          </w:tcPr>
          <w:p>
            <w:pPr>
              <w:ind w:left="780"/>
              <w:spacing w:after="0"/>
              <w:rPr>
                <w:sz w:val="20"/>
                <w:szCs w:val="20"/>
                <w:color w:val="auto"/>
              </w:rPr>
            </w:pPr>
            <w:r>
              <w:rPr>
                <w:rFonts w:ascii="Arial" w:cs="Arial" w:eastAsia="Arial" w:hAnsi="Arial"/>
                <w:sz w:val="18"/>
                <w:szCs w:val="18"/>
                <w:color w:val="auto"/>
              </w:rPr>
              <w:t>May 24, 2017</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$13.90</w:t>
            </w:r>
          </w:p>
        </w:tc>
        <w:tc>
          <w:tcPr>
            <w:tcW w:w="2380" w:type="dxa"/>
            <w:vAlign w:val="bottom"/>
          </w:tcPr>
          <w:p>
            <w:pPr>
              <w:jc w:val="right"/>
              <w:ind w:right="1670"/>
              <w:spacing w:after="0"/>
              <w:rPr>
                <w:sz w:val="20"/>
                <w:szCs w:val="20"/>
                <w:color w:val="auto"/>
              </w:rPr>
            </w:pPr>
            <w:r>
              <w:rPr>
                <w:rFonts w:ascii="Arial" w:cs="Arial" w:eastAsia="Arial" w:hAnsi="Arial"/>
                <w:sz w:val="18"/>
                <w:szCs w:val="18"/>
                <w:color w:val="auto"/>
                <w:w w:val="92"/>
              </w:rPr>
              <w:t>$13,900</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We valued this stock award at the closing price of a share of the class A common stock on the date of grant, consistent with the requirements of Financial Accounting Standards Board Accounting Standards Codification Topic 718.</w:t>
      </w:r>
    </w:p>
    <w:p>
      <w:pPr>
        <w:spacing w:after="0" w:line="62" w:lineRule="exact"/>
        <w:rPr>
          <w:sz w:val="20"/>
          <w:szCs w:val="20"/>
          <w:color w:val="auto"/>
        </w:rPr>
      </w:pPr>
    </w:p>
    <w:p>
      <w:pPr>
        <w:ind w:left="660" w:right="80" w:hanging="652"/>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other compensation for each of Messrs. Bowers and James for each of the last three years consisted of our matching contributions to their accounts under our 401(k) Plan and our contributions to their accounts under the CompX Capital Accumulation Plan, a defined contribution plan,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140" w:type="dxa"/>
            <w:vAlign w:val="bottom"/>
          </w:tcPr>
          <w:p>
            <w:pPr>
              <w:jc w:val="center"/>
              <w:ind w:right="270"/>
              <w:spacing w:after="0"/>
              <w:rPr>
                <w:sz w:val="20"/>
                <w:szCs w:val="20"/>
                <w:color w:val="auto"/>
              </w:rPr>
            </w:pPr>
            <w:r>
              <w:rPr>
                <w:rFonts w:ascii="Arial" w:cs="Arial" w:eastAsia="Arial" w:hAnsi="Arial"/>
                <w:sz w:val="18"/>
                <w:szCs w:val="18"/>
                <w:color w:val="auto"/>
                <w:w w:val="92"/>
              </w:rPr>
              <w:t>Employer's</w:t>
            </w:r>
          </w:p>
        </w:tc>
        <w:tc>
          <w:tcPr>
            <w:tcW w:w="254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3240" w:type="dxa"/>
            <w:vAlign w:val="bottom"/>
          </w:tcPr>
          <w:p>
            <w:pPr>
              <w:jc w:val="center"/>
              <w:ind w:left="170"/>
              <w:spacing w:after="0"/>
              <w:rPr>
                <w:sz w:val="20"/>
                <w:szCs w:val="20"/>
                <w:color w:val="auto"/>
              </w:rPr>
            </w:pPr>
            <w:r>
              <w:rPr>
                <w:rFonts w:ascii="Arial" w:cs="Arial" w:eastAsia="Arial" w:hAnsi="Arial"/>
                <w:sz w:val="18"/>
                <w:szCs w:val="18"/>
                <w:color w:val="auto"/>
                <w:w w:val="91"/>
              </w:rPr>
              <w:t>Employer's 401(k) Plan</w:t>
            </w:r>
          </w:p>
        </w:tc>
        <w:tc>
          <w:tcPr>
            <w:tcW w:w="3140" w:type="dxa"/>
            <w:vAlign w:val="bottom"/>
          </w:tcPr>
          <w:p>
            <w:pPr>
              <w:jc w:val="center"/>
              <w:ind w:right="270"/>
              <w:spacing w:after="0"/>
              <w:rPr>
                <w:sz w:val="20"/>
                <w:szCs w:val="20"/>
                <w:color w:val="auto"/>
              </w:rPr>
            </w:pPr>
            <w:r>
              <w:rPr>
                <w:rFonts w:ascii="Arial" w:cs="Arial" w:eastAsia="Arial" w:hAnsi="Arial"/>
                <w:sz w:val="18"/>
                <w:szCs w:val="18"/>
                <w:color w:val="auto"/>
                <w:w w:val="93"/>
              </w:rPr>
              <w:t>Capital Accumulation</w:t>
            </w:r>
          </w:p>
        </w:tc>
        <w:tc>
          <w:tcPr>
            <w:tcW w:w="2540" w:type="dxa"/>
            <w:vAlign w:val="bottom"/>
          </w:tcPr>
          <w:p>
            <w:pPr>
              <w:spacing w:after="0"/>
              <w:rPr>
                <w:sz w:val="18"/>
                <w:szCs w:val="18"/>
                <w:color w:val="auto"/>
              </w:rPr>
            </w:pPr>
          </w:p>
        </w:tc>
      </w:tr>
      <w:tr>
        <w:trPr>
          <w:trHeight w:val="216"/>
        </w:trPr>
        <w:tc>
          <w:tcPr>
            <w:tcW w:w="2500" w:type="dxa"/>
            <w:vAlign w:val="bottom"/>
          </w:tcPr>
          <w:p>
            <w:pPr>
              <w:spacing w:after="0"/>
              <w:rPr>
                <w:sz w:val="18"/>
                <w:szCs w:val="18"/>
                <w:color w:val="auto"/>
              </w:rPr>
            </w:pPr>
          </w:p>
        </w:tc>
        <w:tc>
          <w:tcPr>
            <w:tcW w:w="3240" w:type="dxa"/>
            <w:vAlign w:val="bottom"/>
          </w:tcPr>
          <w:p>
            <w:pPr>
              <w:jc w:val="center"/>
              <w:ind w:left="190"/>
              <w:spacing w:after="0"/>
              <w:rPr>
                <w:sz w:val="20"/>
                <w:szCs w:val="20"/>
                <w:color w:val="auto"/>
              </w:rPr>
            </w:pPr>
            <w:r>
              <w:rPr>
                <w:rFonts w:ascii="Arial" w:cs="Arial" w:eastAsia="Arial" w:hAnsi="Arial"/>
                <w:sz w:val="18"/>
                <w:szCs w:val="18"/>
                <w:color w:val="auto"/>
                <w:w w:val="93"/>
              </w:rPr>
              <w:t>Matching</w:t>
            </w:r>
          </w:p>
        </w:tc>
        <w:tc>
          <w:tcPr>
            <w:tcW w:w="3140" w:type="dxa"/>
            <w:vAlign w:val="bottom"/>
          </w:tcPr>
          <w:p>
            <w:pPr>
              <w:jc w:val="center"/>
              <w:ind w:right="290"/>
              <w:spacing w:after="0"/>
              <w:rPr>
                <w:sz w:val="20"/>
                <w:szCs w:val="20"/>
                <w:color w:val="auto"/>
              </w:rPr>
            </w:pPr>
            <w:r>
              <w:rPr>
                <w:rFonts w:ascii="Arial" w:cs="Arial" w:eastAsia="Arial" w:hAnsi="Arial"/>
                <w:sz w:val="18"/>
                <w:szCs w:val="18"/>
                <w:color w:val="auto"/>
                <w:w w:val="88"/>
              </w:rPr>
              <w:t>Plan</w:t>
            </w:r>
          </w:p>
        </w:tc>
        <w:tc>
          <w:tcPr>
            <w:tcW w:w="2540" w:type="dxa"/>
            <w:vAlign w:val="bottom"/>
          </w:tcPr>
          <w:p>
            <w:pPr>
              <w:spacing w:after="0"/>
              <w:rPr>
                <w:sz w:val="18"/>
                <w:szCs w:val="18"/>
                <w:color w:val="auto"/>
              </w:rPr>
            </w:pPr>
          </w:p>
        </w:tc>
      </w:tr>
      <w:tr>
        <w:trPr>
          <w:trHeight w:val="237"/>
        </w:trPr>
        <w:tc>
          <w:tcPr>
            <w:tcW w:w="25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Year</w:t>
            </w:r>
          </w:p>
        </w:tc>
        <w:tc>
          <w:tcPr>
            <w:tcW w:w="32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4"/>
              </w:rPr>
              <w:t>Contributions</w:t>
            </w:r>
          </w:p>
        </w:tc>
        <w:tc>
          <w:tcPr>
            <w:tcW w:w="31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2"/>
              </w:rPr>
              <w:t>Contributions</w:t>
            </w:r>
          </w:p>
        </w:tc>
        <w:tc>
          <w:tcPr>
            <w:tcW w:w="254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rPr>
              <w:t>Total</w:t>
            </w:r>
          </w:p>
        </w:tc>
      </w:tr>
      <w:tr>
        <w:trPr>
          <w:trHeight w:val="216"/>
        </w:trPr>
        <w:tc>
          <w:tcPr>
            <w:tcW w:w="25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25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2017</w:t>
            </w:r>
          </w:p>
        </w:tc>
        <w:tc>
          <w:tcPr>
            <w:tcW w:w="32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$11,897</w:t>
            </w:r>
          </w:p>
        </w:tc>
        <w:tc>
          <w:tcPr>
            <w:tcW w:w="31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$22,538</w:t>
            </w:r>
          </w:p>
        </w:tc>
        <w:tc>
          <w:tcPr>
            <w:tcW w:w="25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$34,435</w:t>
            </w:r>
          </w:p>
        </w:tc>
      </w:tr>
      <w:tr>
        <w:trPr>
          <w:trHeight w:val="216"/>
        </w:trPr>
        <w:tc>
          <w:tcPr>
            <w:tcW w:w="2500" w:type="dxa"/>
            <w:vAlign w:val="bottom"/>
          </w:tcPr>
          <w:p>
            <w:pPr>
              <w:ind w:left="1240"/>
              <w:spacing w:after="0"/>
              <w:rPr>
                <w:sz w:val="20"/>
                <w:szCs w:val="20"/>
                <w:color w:val="auto"/>
              </w:rPr>
            </w:pPr>
            <w:r>
              <w:rPr>
                <w:rFonts w:ascii="Arial" w:cs="Arial" w:eastAsia="Arial" w:hAnsi="Arial"/>
                <w:sz w:val="18"/>
                <w:szCs w:val="18"/>
                <w:color w:val="auto"/>
              </w:rPr>
              <w:t>2016</w:t>
            </w:r>
          </w:p>
        </w:tc>
        <w:tc>
          <w:tcPr>
            <w:tcW w:w="3240" w:type="dxa"/>
            <w:vAlign w:val="bottom"/>
          </w:tcPr>
          <w:p>
            <w:pPr>
              <w:jc w:val="right"/>
              <w:ind w:right="510"/>
              <w:spacing w:after="0"/>
              <w:rPr>
                <w:sz w:val="20"/>
                <w:szCs w:val="20"/>
                <w:color w:val="auto"/>
              </w:rPr>
            </w:pPr>
            <w:r>
              <w:rPr>
                <w:rFonts w:ascii="Arial" w:cs="Arial" w:eastAsia="Arial" w:hAnsi="Arial"/>
                <w:sz w:val="18"/>
                <w:szCs w:val="18"/>
                <w:color w:val="auto"/>
              </w:rPr>
              <w:t>13,014</w:t>
            </w:r>
          </w:p>
        </w:tc>
        <w:tc>
          <w:tcPr>
            <w:tcW w:w="3140" w:type="dxa"/>
            <w:vAlign w:val="bottom"/>
          </w:tcPr>
          <w:p>
            <w:pPr>
              <w:jc w:val="right"/>
              <w:ind w:right="830"/>
              <w:spacing w:after="0"/>
              <w:rPr>
                <w:sz w:val="20"/>
                <w:szCs w:val="20"/>
                <w:color w:val="auto"/>
              </w:rPr>
            </w:pPr>
            <w:r>
              <w:rPr>
                <w:rFonts w:ascii="Arial" w:cs="Arial" w:eastAsia="Arial" w:hAnsi="Arial"/>
                <w:sz w:val="18"/>
                <w:szCs w:val="18"/>
                <w:color w:val="auto"/>
              </w:rPr>
              <w:t>22,572</w:t>
            </w:r>
          </w:p>
        </w:tc>
        <w:tc>
          <w:tcPr>
            <w:tcW w:w="2540" w:type="dxa"/>
            <w:vAlign w:val="bottom"/>
          </w:tcPr>
          <w:p>
            <w:pPr>
              <w:jc w:val="right"/>
              <w:ind w:right="470"/>
              <w:spacing w:after="0"/>
              <w:rPr>
                <w:sz w:val="20"/>
                <w:szCs w:val="20"/>
                <w:color w:val="auto"/>
              </w:rPr>
            </w:pPr>
            <w:r>
              <w:rPr>
                <w:rFonts w:ascii="Arial" w:cs="Arial" w:eastAsia="Arial" w:hAnsi="Arial"/>
                <w:sz w:val="18"/>
                <w:szCs w:val="18"/>
                <w:color w:val="auto"/>
              </w:rPr>
              <w:t>35,586</w:t>
            </w:r>
          </w:p>
        </w:tc>
      </w:tr>
      <w:tr>
        <w:trPr>
          <w:trHeight w:val="216"/>
        </w:trPr>
        <w:tc>
          <w:tcPr>
            <w:tcW w:w="25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2015</w:t>
            </w:r>
          </w:p>
        </w:tc>
        <w:tc>
          <w:tcPr>
            <w:tcW w:w="32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12,478</w:t>
            </w:r>
          </w:p>
        </w:tc>
        <w:tc>
          <w:tcPr>
            <w:tcW w:w="31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22,675</w:t>
            </w:r>
          </w:p>
        </w:tc>
        <w:tc>
          <w:tcPr>
            <w:tcW w:w="25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35,153</w:t>
            </w: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discussion of our retirement plan contributions in the Compensation Discussion and Analysis section of this proxy statement.</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b w:val="1"/>
          <w:bCs w:val="1"/>
          <w:i w:val="1"/>
          <w:iCs w:val="1"/>
          <w:color w:val="auto"/>
        </w:rPr>
        <w:t>2017 Grants of Plan-Based Awards</w:t>
      </w:r>
      <w:r>
        <w:rPr>
          <w:rFonts w:ascii="Arial" w:cs="Arial" w:eastAsia="Arial" w:hAnsi="Arial"/>
          <w:sz w:val="18"/>
          <w:szCs w:val="18"/>
          <w:color w:val="auto"/>
        </w:rPr>
        <w:t>. The following table sets forth details of the stock award of our class A common stock we granted to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Graham in 2017 for his service as our director. Other than this stock award, and as already discussed, we did not pay any plan-based incentive compensation in 2017. No other named executive officer received any plan-based awards from us or our subsidiaries in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740" w:type="dxa"/>
            <w:vAlign w:val="bottom"/>
            <w:gridSpan w:val="3"/>
          </w:tcPr>
          <w:p>
            <w:pPr>
              <w:jc w:val="right"/>
              <w:ind w:right="1690"/>
              <w:spacing w:after="0"/>
              <w:rPr>
                <w:sz w:val="20"/>
                <w:szCs w:val="20"/>
                <w:color w:val="auto"/>
              </w:rPr>
            </w:pPr>
            <w:r>
              <w:rPr>
                <w:rFonts w:ascii="Arial" w:cs="Arial" w:eastAsia="Arial" w:hAnsi="Arial"/>
                <w:sz w:val="18"/>
                <w:szCs w:val="18"/>
                <w:b w:val="1"/>
                <w:bCs w:val="1"/>
                <w:color w:val="auto"/>
              </w:rPr>
              <w:t xml:space="preserve">2017 GRANTS OF PLAN-BASED AWARDS </w:t>
            </w:r>
            <w:r>
              <w:rPr>
                <w:rFonts w:ascii="Arial" w:cs="Arial" w:eastAsia="Arial" w:hAnsi="Arial"/>
                <w:sz w:val="18"/>
                <w:szCs w:val="18"/>
                <w:color w:val="auto"/>
              </w:rPr>
              <w:t>(1)</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50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All Other Stock Awards:</w:t>
            </w:r>
          </w:p>
        </w:tc>
        <w:tc>
          <w:tcPr>
            <w:tcW w:w="2080" w:type="dxa"/>
            <w:vAlign w:val="bottom"/>
          </w:tcPr>
          <w:p>
            <w:pPr>
              <w:ind w:left="80"/>
              <w:spacing w:after="0"/>
              <w:rPr>
                <w:sz w:val="20"/>
                <w:szCs w:val="20"/>
                <w:color w:val="auto"/>
              </w:rPr>
            </w:pPr>
            <w:r>
              <w:rPr>
                <w:rFonts w:ascii="Arial" w:cs="Arial" w:eastAsia="Arial" w:hAnsi="Arial"/>
                <w:sz w:val="18"/>
                <w:szCs w:val="18"/>
                <w:b w:val="1"/>
                <w:bCs w:val="1"/>
                <w:color w:val="auto"/>
                <w:w w:val="96"/>
              </w:rPr>
              <w:t>Grant Date Fair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2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Date of</w:t>
            </w:r>
          </w:p>
        </w:tc>
        <w:tc>
          <w:tcPr>
            <w:tcW w:w="250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Number of Shares of Stock</w:t>
            </w:r>
          </w:p>
        </w:tc>
        <w:tc>
          <w:tcPr>
            <w:tcW w:w="2080" w:type="dxa"/>
            <w:vAlign w:val="bottom"/>
          </w:tcPr>
          <w:p>
            <w:pPr>
              <w:ind w:left="60"/>
              <w:spacing w:after="0"/>
              <w:rPr>
                <w:sz w:val="20"/>
                <w:szCs w:val="20"/>
                <w:color w:val="auto"/>
              </w:rPr>
            </w:pPr>
            <w:r>
              <w:rPr>
                <w:rFonts w:ascii="Arial" w:cs="Arial" w:eastAsia="Arial" w:hAnsi="Arial"/>
                <w:sz w:val="18"/>
                <w:szCs w:val="18"/>
                <w:b w:val="1"/>
                <w:bCs w:val="1"/>
                <w:color w:val="auto"/>
                <w:w w:val="91"/>
              </w:rPr>
              <w:t>Stock and Option Awards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80" w:type="dxa"/>
            <w:vAlign w:val="bottom"/>
            <w:tcBorders>
              <w:bottom w:val="single" w:sz="8" w:color="auto"/>
            </w:tcBorders>
            <w:gridSpan w:val="2"/>
          </w:tcPr>
          <w:p>
            <w:pPr>
              <w:ind w:left="1240"/>
              <w:spacing w:after="0"/>
              <w:rPr>
                <w:sz w:val="20"/>
                <w:szCs w:val="20"/>
                <w:color w:val="auto"/>
              </w:rPr>
            </w:pPr>
            <w:r>
              <w:rPr>
                <w:rFonts w:ascii="Arial" w:cs="Arial" w:eastAsia="Arial" w:hAnsi="Arial"/>
                <w:sz w:val="18"/>
                <w:szCs w:val="18"/>
                <w:b w:val="1"/>
                <w:bCs w:val="1"/>
                <w:color w:val="auto"/>
              </w:rPr>
              <w:t>Name</w:t>
            </w:r>
          </w:p>
        </w:tc>
        <w:tc>
          <w:tcPr>
            <w:tcW w:w="242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5"/>
              </w:rPr>
              <w:t>Grant Date</w:t>
            </w:r>
          </w:p>
        </w:tc>
        <w:tc>
          <w:tcPr>
            <w:tcW w:w="182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3"/>
              </w:rPr>
              <w:t>Approval (2)</w:t>
            </w:r>
          </w:p>
        </w:tc>
        <w:tc>
          <w:tcPr>
            <w:tcW w:w="250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1"/>
              </w:rPr>
              <w:t>or Units (#) (2)</w:t>
            </w:r>
          </w:p>
        </w:tc>
        <w:tc>
          <w:tcPr>
            <w:tcW w:w="20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D. Graham</w:t>
            </w:r>
          </w:p>
        </w:tc>
        <w:tc>
          <w:tcPr>
            <w:tcW w:w="24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1"/>
              </w:rPr>
              <w:t>May 24, 2017</w:t>
            </w:r>
          </w:p>
        </w:tc>
        <w:tc>
          <w:tcPr>
            <w:tcW w:w="18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1"/>
              </w:rPr>
              <w:t>May 30, 2012</w:t>
            </w:r>
          </w:p>
        </w:tc>
        <w:tc>
          <w:tcPr>
            <w:tcW w:w="2500" w:type="dxa"/>
            <w:vAlign w:val="bottom"/>
            <w:shd w:val="clear" w:color="auto" w:fill="CCEEFF"/>
          </w:tcPr>
          <w:p>
            <w:pPr>
              <w:jc w:val="right"/>
              <w:ind w:right="1710"/>
              <w:spacing w:after="0"/>
              <w:rPr>
                <w:sz w:val="20"/>
                <w:szCs w:val="20"/>
                <w:color w:val="auto"/>
              </w:rPr>
            </w:pPr>
            <w:r>
              <w:rPr>
                <w:rFonts w:ascii="Arial" w:cs="Arial" w:eastAsia="Arial" w:hAnsi="Arial"/>
                <w:sz w:val="18"/>
                <w:szCs w:val="18"/>
                <w:color w:val="auto"/>
              </w:rPr>
              <w:t>1,000</w:t>
            </w:r>
          </w:p>
        </w:tc>
        <w:tc>
          <w:tcPr>
            <w:tcW w:w="208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$13,900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non-applicable columns have been omitted from this table.</w:t>
      </w:r>
    </w:p>
    <w:p>
      <w:pPr>
        <w:spacing w:after="0" w:line="225" w:lineRule="exact"/>
        <w:rPr>
          <w:rFonts w:ascii="Arial" w:cs="Arial" w:eastAsia="Arial" w:hAnsi="Arial"/>
          <w:sz w:val="18"/>
          <w:szCs w:val="18"/>
          <w:color w:val="auto"/>
        </w:rPr>
      </w:pPr>
    </w:p>
    <w:p>
      <w:pPr>
        <w:ind w:left="660" w:right="320" w:hanging="652"/>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Details of the annual equity grant we make to directors are set out under Director Compensation below. For the purposes of this table, we valued these stock awards at the $13.90 closing price per share of our class A common stock on their date of grant, consistent with the requirements of Financial Accounting Standards Board Accounting Standards Codification Topic 718.</w:t>
      </w:r>
    </w:p>
    <w:p>
      <w:pPr>
        <w:spacing w:after="0" w:line="244" w:lineRule="exact"/>
        <w:rPr>
          <w:rFonts w:ascii="Arial" w:cs="Arial" w:eastAsia="Arial" w:hAnsi="Arial"/>
          <w:sz w:val="18"/>
          <w:szCs w:val="18"/>
          <w:color w:val="auto"/>
        </w:rPr>
      </w:pPr>
    </w:p>
    <w:p>
      <w:pPr>
        <w:ind w:left="5640" w:hanging="82"/>
        <w:spacing w:after="0"/>
        <w:tabs>
          <w:tab w:leader="none" w:pos="5640" w:val="left"/>
        </w:tabs>
        <w:numPr>
          <w:ilvl w:val="1"/>
          <w:numId w:val="70"/>
        </w:numPr>
        <w:rPr>
          <w:rFonts w:ascii="Arial" w:cs="Arial" w:eastAsia="Arial" w:hAnsi="Arial"/>
          <w:sz w:val="14"/>
          <w:szCs w:val="14"/>
          <w:color w:val="auto"/>
        </w:rPr>
      </w:pPr>
      <w:r>
        <w:rPr>
          <w:rFonts w:ascii="Arial" w:cs="Arial" w:eastAsia="Arial" w:hAnsi="Arial"/>
          <w:sz w:val="14"/>
          <w:szCs w:val="14"/>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ind w:right="20" w:firstLine="648"/>
        <w:spacing w:after="0" w:line="342" w:lineRule="auto"/>
        <w:rPr>
          <w:sz w:val="20"/>
          <w:szCs w:val="20"/>
          <w:color w:val="auto"/>
        </w:rPr>
      </w:pPr>
      <w:r>
        <w:rPr>
          <w:rFonts w:ascii="Arial" w:cs="Arial" w:eastAsia="Arial" w:hAnsi="Arial"/>
          <w:sz w:val="16"/>
          <w:szCs w:val="16"/>
          <w:b w:val="1"/>
          <w:bCs w:val="1"/>
          <w:i w:val="1"/>
          <w:iCs w:val="1"/>
          <w:color w:val="auto"/>
        </w:rPr>
        <w:t>No Outstanding Equity Awards at December 31, 2017</w:t>
      </w:r>
      <w:r>
        <w:rPr>
          <w:rFonts w:ascii="Arial" w:cs="Arial" w:eastAsia="Arial" w:hAnsi="Arial"/>
          <w:sz w:val="16"/>
          <w:szCs w:val="16"/>
          <w:color w:val="auto"/>
        </w:rPr>
        <w:t>. At December 31, 2017, none of our named executive officers held outstanding stock options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purchase shares of our class A or B common stock (or common stock of our parent companies), or held any equity incentive awards for such shares.</w:t>
      </w:r>
    </w:p>
    <w:p>
      <w:pPr>
        <w:spacing w:after="0" w:line="124"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b w:val="1"/>
          <w:bCs w:val="1"/>
          <w:i w:val="1"/>
          <w:iCs w:val="1"/>
          <w:color w:val="auto"/>
        </w:rPr>
        <w:t>No Option Exercises or Stock Vested</w:t>
      </w:r>
      <w:r>
        <w:rPr>
          <w:rFonts w:ascii="Arial" w:cs="Arial" w:eastAsia="Arial" w:hAnsi="Arial"/>
          <w:sz w:val="16"/>
          <w:szCs w:val="16"/>
          <w:color w:val="auto"/>
        </w:rPr>
        <w:t>. During 2017, no named executive officer exercised any stock options or held any stock subject to vesting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For stock awards granted to Mr. Graham in 2017 that had no vesting restrictions, see the 2017 Grants of Plan-Based Awards Table above.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Pension Benefits</w:t>
      </w:r>
      <w:r>
        <w:rPr>
          <w:rFonts w:ascii="Arial" w:cs="Arial" w:eastAsia="Arial" w:hAnsi="Arial"/>
          <w:sz w:val="18"/>
          <w:szCs w:val="18"/>
          <w:color w:val="auto"/>
        </w:rPr>
        <w:t>. We do not have any defined benefit pension plans in which our named executive officers participate.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Nonqualified Deferred Compensation</w:t>
      </w:r>
      <w:r>
        <w:rPr>
          <w:rFonts w:ascii="Arial" w:cs="Arial" w:eastAsia="Arial" w:hAnsi="Arial"/>
          <w:sz w:val="18"/>
          <w:szCs w:val="18"/>
          <w:color w:val="auto"/>
        </w:rPr>
        <w:t>. We do not owe any nonqualified deferred compensation to our named executive officers.</w:t>
      </w:r>
    </w:p>
    <w:p>
      <w:pPr>
        <w:spacing w:after="0" w:line="225"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b w:val="1"/>
          <w:bCs w:val="1"/>
          <w:i w:val="1"/>
          <w:iCs w:val="1"/>
          <w:color w:val="auto"/>
        </w:rPr>
        <w:t>Pay Ratio Disclosure</w:t>
      </w:r>
      <w:r>
        <w:rPr>
          <w:rFonts w:ascii="Arial" w:cs="Arial" w:eastAsia="Arial" w:hAnsi="Arial"/>
          <w:sz w:val="16"/>
          <w:szCs w:val="16"/>
          <w:color w:val="auto"/>
        </w:rPr>
        <w:t>. In August 2015, pursuant to a mandate of the Dodd-Frank Wall Street Reform and Consumer Protection Act, the SEC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adopted a rule requiring annual disclosure of the ratio of a registrant's median employee's annual total compensation to the total annual compensation of its chief executive officer. For 2017, the total annual compensation (as disclosed in the 2017 Summary Compensation Table) of Scott C. James, our chief executive officer, is $924,147; the reasonable estimate of the median of the annual total compensation of all of our employees except our chief executive officer, calculated in a manner consistent with Item 402(u) of Regulation S-K, is $47,415; and the ratio of such two amounts is 19 to 1.</w:t>
      </w:r>
    </w:p>
    <w:p>
      <w:pPr>
        <w:spacing w:after="0" w:line="158"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For purposes of this disclosure, our "median employee" was estimated using a simple random sample statistical sampling technique, pursuant to which we and each of our consolidated subsidiaries selected every seventh employee listed on their first payroll register for the month of October 2017. Based on such random sample of our employees, and using the 2017 base salary (or equivalent for hourly employees) for each employee in such random sample as reflected in our payroll records, the median employee was estimated by determining the employee in such random sample who had the median 2017 base salary (or equivalent for hourly employees). Base salary (or equivalent) amounts were annualized for any employee who had less than a full year of service during 2017. Mr. James became our chief executive officer in May 2017, and for this pay ratio disclosure we have used his total annual compensation for 2017 as disclosed in the 2017 Summary Compensation Table.</w:t>
      </w:r>
    </w:p>
    <w:p>
      <w:pPr>
        <w:spacing w:after="0" w:line="20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b w:val="1"/>
          <w:bCs w:val="1"/>
          <w:i w:val="1"/>
          <w:iCs w:val="1"/>
          <w:color w:val="auto"/>
        </w:rPr>
        <w:t>Director Compensation</w:t>
      </w:r>
      <w:r>
        <w:rPr>
          <w:rFonts w:ascii="Arial" w:cs="Arial" w:eastAsia="Arial" w:hAnsi="Arial"/>
          <w:sz w:val="18"/>
          <w:szCs w:val="18"/>
          <w:color w:val="auto"/>
        </w:rPr>
        <w:t>. Our eligible directors are entitled to receive compensation for their services as directors. Effective July 2017, only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who are not employees of Contran or one of its subsidiaries or affiliates (including us) are eligible for compensation for service as one of our directors. Previously, only directors employed directly by us were ineligible for such compensation. The table below reflects the annual rates of their retainers for 2017.</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840" w:type="dxa"/>
            <w:vAlign w:val="bottom"/>
            <w:gridSpan w:val="3"/>
          </w:tcPr>
          <w:p>
            <w:pPr>
              <w:spacing w:after="0"/>
              <w:rPr>
                <w:sz w:val="20"/>
                <w:szCs w:val="20"/>
                <w:color w:val="auto"/>
              </w:rPr>
            </w:pPr>
            <w:r>
              <w:rPr>
                <w:rFonts w:ascii="Arial" w:cs="Arial" w:eastAsia="Arial" w:hAnsi="Arial"/>
                <w:sz w:val="18"/>
                <w:szCs w:val="18"/>
                <w:color w:val="auto"/>
                <w:w w:val="95"/>
              </w:rPr>
              <w:t>2017 Director Retainers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Each director</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 of the board</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Chairman of our audit committee and any member of our audit committee whom the board identified as an "audit committee</w:t>
            </w: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expert" (provided that if one person served in both capacities only one such retainer was paid)</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members of our audit committee</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of our other committees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7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 The fee for the chair of the board was instituted effective July 1, 2017.</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ind w:right="120"/>
        <w:spacing w:after="0" w:line="257" w:lineRule="auto"/>
        <w:rPr>
          <w:sz w:val="20"/>
          <w:szCs w:val="20"/>
          <w:color w:val="auto"/>
        </w:rPr>
      </w:pPr>
      <w:r>
        <w:rPr>
          <w:rFonts w:ascii="Arial" w:cs="Arial" w:eastAsia="Arial" w:hAnsi="Arial"/>
          <w:sz w:val="18"/>
          <w:szCs w:val="18"/>
          <w:color w:val="auto"/>
        </w:rPr>
        <w:t>Additionally, our eligible directors receive a fee of $1,000 per day for attendance at meetings of the board of directors or its committees and an hourly rate (not to exceed $1,000 per day) for other services rendered on behalf of our board of directors or its committees. If an eligible director dies while serving on our board of directors, his designated beneficiary or estate will be entitled to receive a death benefit equal to the annual retainer then in effect. We reimburse our directors for reasonable expenses incurred in attending meetings and in the performance of other services rendered on behalf of our board of directors or its committees.</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preapproved by our management development and compensation committee, on the day of each of our annual stockholder meetings, each of our eligible directors elected on that day receives a grant of shares of our common stock under our 2012 Director Stock Plan as determined by a formula based on the closing price of a share of our common stock on the date of such meeting. These shares are fully vested and tradable immediately on their date of grant, other than restrictions under applicable securities laws. For the shares granted prior to our 2018 annual stockholder meeting, the formula used to determine the number of shares granted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ind w:left="1880"/>
              <w:spacing w:after="0"/>
              <w:rPr>
                <w:sz w:val="20"/>
                <w:szCs w:val="20"/>
                <w:color w:val="auto"/>
              </w:rPr>
            </w:pPr>
            <w:r>
              <w:rPr>
                <w:rFonts w:ascii="Arial" w:cs="Arial" w:eastAsia="Arial" w:hAnsi="Arial"/>
                <w:sz w:val="18"/>
                <w:szCs w:val="18"/>
                <w:color w:val="auto"/>
              </w:rPr>
              <w:t>Range of Closing Price Per</w:t>
            </w:r>
          </w:p>
        </w:tc>
        <w:tc>
          <w:tcPr>
            <w:tcW w:w="5580" w:type="dxa"/>
            <w:vAlign w:val="bottom"/>
          </w:tcPr>
          <w:p>
            <w:pPr>
              <w:jc w:val="center"/>
              <w:ind w:right="30"/>
              <w:spacing w:after="0"/>
              <w:rPr>
                <w:sz w:val="20"/>
                <w:szCs w:val="20"/>
                <w:color w:val="auto"/>
              </w:rPr>
            </w:pPr>
            <w:r>
              <w:rPr>
                <w:rFonts w:ascii="Arial" w:cs="Arial" w:eastAsia="Arial" w:hAnsi="Arial"/>
                <w:sz w:val="18"/>
                <w:szCs w:val="18"/>
                <w:color w:val="auto"/>
                <w:w w:val="88"/>
              </w:rPr>
              <w:t>Shares of Common</w:t>
            </w:r>
          </w:p>
        </w:tc>
      </w:tr>
      <w:tr>
        <w:trPr>
          <w:trHeight w:val="237"/>
        </w:trPr>
        <w:tc>
          <w:tcPr>
            <w:tcW w:w="584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Share on the Date of Grant</w:t>
            </w:r>
          </w:p>
        </w:tc>
        <w:tc>
          <w:tcPr>
            <w:tcW w:w="55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Stock to Be Granted</w:t>
            </w:r>
          </w:p>
        </w:tc>
      </w:tr>
      <w:tr>
        <w:trPr>
          <w:trHeight w:val="216"/>
        </w:trPr>
        <w:tc>
          <w:tcPr>
            <w:tcW w:w="5840" w:type="dxa"/>
            <w:vAlign w:val="bottom"/>
          </w:tcPr>
          <w:p>
            <w:pPr>
              <w:spacing w:after="0"/>
              <w:rPr>
                <w:sz w:val="18"/>
                <w:szCs w:val="18"/>
                <w:color w:val="auto"/>
              </w:rPr>
            </w:pPr>
          </w:p>
        </w:tc>
        <w:tc>
          <w:tcPr>
            <w:tcW w:w="5580" w:type="dxa"/>
            <w:vAlign w:val="bottom"/>
          </w:tcPr>
          <w:p>
            <w:pPr>
              <w:spacing w:after="0"/>
              <w:rPr>
                <w:sz w:val="18"/>
                <w:szCs w:val="18"/>
                <w:color w:val="auto"/>
              </w:rPr>
            </w:pPr>
          </w:p>
        </w:tc>
      </w:tr>
      <w:tr>
        <w:trPr>
          <w:trHeight w:val="216"/>
        </w:trPr>
        <w:tc>
          <w:tcPr>
            <w:tcW w:w="5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Under $5.00</w:t>
            </w:r>
          </w:p>
        </w:tc>
        <w:tc>
          <w:tcPr>
            <w:tcW w:w="55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2,000</w:t>
            </w:r>
          </w:p>
        </w:tc>
      </w:tr>
      <w:tr>
        <w:trPr>
          <w:trHeight w:val="216"/>
        </w:trPr>
        <w:tc>
          <w:tcPr>
            <w:tcW w:w="5840" w:type="dxa"/>
            <w:vAlign w:val="bottom"/>
          </w:tcPr>
          <w:p>
            <w:pPr>
              <w:ind w:left="640"/>
              <w:spacing w:after="0"/>
              <w:rPr>
                <w:sz w:val="20"/>
                <w:szCs w:val="20"/>
                <w:color w:val="auto"/>
              </w:rPr>
            </w:pPr>
            <w:r>
              <w:rPr>
                <w:rFonts w:ascii="Arial" w:cs="Arial" w:eastAsia="Arial" w:hAnsi="Arial"/>
                <w:sz w:val="18"/>
                <w:szCs w:val="18"/>
                <w:color w:val="auto"/>
              </w:rPr>
              <w:t>$5.00 to $9.99</w:t>
            </w:r>
          </w:p>
        </w:tc>
        <w:tc>
          <w:tcPr>
            <w:tcW w:w="5580" w:type="dxa"/>
            <w:vAlign w:val="bottom"/>
          </w:tcPr>
          <w:p>
            <w:pPr>
              <w:jc w:val="center"/>
              <w:ind w:right="30"/>
              <w:spacing w:after="0"/>
              <w:rPr>
                <w:sz w:val="20"/>
                <w:szCs w:val="20"/>
                <w:color w:val="auto"/>
              </w:rPr>
            </w:pPr>
            <w:r>
              <w:rPr>
                <w:rFonts w:ascii="Arial" w:cs="Arial" w:eastAsia="Arial" w:hAnsi="Arial"/>
                <w:sz w:val="18"/>
                <w:szCs w:val="18"/>
                <w:color w:val="auto"/>
                <w:w w:val="93"/>
              </w:rPr>
              <w:t>1,500</w:t>
            </w:r>
          </w:p>
        </w:tc>
      </w:tr>
      <w:tr>
        <w:trPr>
          <w:trHeight w:val="216"/>
        </w:trPr>
        <w:tc>
          <w:tcPr>
            <w:tcW w:w="5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$10.00 to $20.00</w:t>
            </w:r>
          </w:p>
        </w:tc>
        <w:tc>
          <w:tcPr>
            <w:tcW w:w="55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1,000</w:t>
            </w:r>
          </w:p>
        </w:tc>
      </w:tr>
      <w:tr>
        <w:trPr>
          <w:trHeight w:val="230"/>
        </w:trPr>
        <w:tc>
          <w:tcPr>
            <w:tcW w:w="5840" w:type="dxa"/>
            <w:vAlign w:val="bottom"/>
          </w:tcPr>
          <w:p>
            <w:pPr>
              <w:ind w:left="640"/>
              <w:spacing w:after="0"/>
              <w:rPr>
                <w:sz w:val="20"/>
                <w:szCs w:val="20"/>
                <w:color w:val="auto"/>
              </w:rPr>
            </w:pPr>
            <w:r>
              <w:rPr>
                <w:rFonts w:ascii="Arial" w:cs="Arial" w:eastAsia="Arial" w:hAnsi="Arial"/>
                <w:sz w:val="18"/>
                <w:szCs w:val="18"/>
                <w:color w:val="auto"/>
              </w:rPr>
              <w:t>Over $20.00</w:t>
            </w:r>
          </w:p>
        </w:tc>
        <w:tc>
          <w:tcPr>
            <w:tcW w:w="5580" w:type="dxa"/>
            <w:vAlign w:val="bottom"/>
          </w:tcPr>
          <w:p>
            <w:pPr>
              <w:jc w:val="center"/>
              <w:ind w:right="30"/>
              <w:spacing w:after="0"/>
              <w:rPr>
                <w:sz w:val="20"/>
                <w:szCs w:val="20"/>
                <w:color w:val="auto"/>
              </w:rPr>
            </w:pPr>
            <w:r>
              <w:rPr>
                <w:rFonts w:ascii="Arial" w:cs="Arial" w:eastAsia="Arial" w:hAnsi="Arial"/>
                <w:sz w:val="18"/>
                <w:szCs w:val="18"/>
                <w:color w:val="auto"/>
                <w:w w:val="86"/>
              </w:rPr>
              <w:t>500</w:t>
            </w:r>
          </w:p>
        </w:tc>
      </w:tr>
    </w:tbl>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Commencing with the grants on the day of our 2018 annual stockholder meeting, our management development and compensation committee approved a new formula that provides that each eligible director elected on that day will receive the number of shares of our common stock equal in value to $20,000 (rounded up or down to the nearest 50 shares), based on the closing price of a share of our common stock on the date of grant, but not more than 10,000 shares. Beginning in 2018, only our directors who are not employees of Contran or one of its subsidiaries or affiliates are eligible to receive director stock grants.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Previously, only directors employed directly by us were ineligible for such stock grants.</w:t>
      </w:r>
    </w:p>
    <w:p>
      <w:pPr>
        <w:spacing w:after="0" w:line="21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provides information with respect to compensation each of our directors earned for their 2017 director services provided to us (other than Mr. Graham, whose compensation is reflected in the 2017 Summary Compensation Table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380" w:type="dxa"/>
            <w:vAlign w:val="bottom"/>
          </w:tcPr>
          <w:p>
            <w:pPr>
              <w:jc w:val="right"/>
              <w:ind w:right="710"/>
              <w:spacing w:after="0"/>
              <w:rPr>
                <w:sz w:val="20"/>
                <w:szCs w:val="20"/>
                <w:color w:val="auto"/>
              </w:rPr>
            </w:pPr>
            <w:r>
              <w:rPr>
                <w:rFonts w:ascii="Arial" w:cs="Arial" w:eastAsia="Arial" w:hAnsi="Arial"/>
                <w:sz w:val="18"/>
                <w:szCs w:val="18"/>
                <w:b w:val="1"/>
                <w:bCs w:val="1"/>
                <w:color w:val="auto"/>
              </w:rPr>
              <w:t xml:space="preserve">2017 DIRECTOR COMPENSATION </w:t>
            </w:r>
            <w:r>
              <w:rPr>
                <w:rFonts w:ascii="Arial" w:cs="Arial" w:eastAsia="Arial" w:hAnsi="Arial"/>
                <w:sz w:val="18"/>
                <w:szCs w:val="18"/>
                <w:color w:val="auto"/>
              </w:rPr>
              <w:t>(1)</w:t>
            </w:r>
          </w:p>
        </w:tc>
        <w:tc>
          <w:tcPr>
            <w:tcW w:w="18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380" w:type="dxa"/>
            <w:vAlign w:val="bottom"/>
          </w:tcPr>
          <w:p>
            <w:pPr>
              <w:jc w:val="right"/>
              <w:ind w:right="30"/>
              <w:spacing w:after="0"/>
              <w:rPr>
                <w:sz w:val="20"/>
                <w:szCs w:val="20"/>
                <w:color w:val="auto"/>
              </w:rPr>
            </w:pPr>
            <w:r>
              <w:rPr>
                <w:rFonts w:ascii="Arial" w:cs="Arial" w:eastAsia="Arial" w:hAnsi="Arial"/>
                <w:sz w:val="18"/>
                <w:szCs w:val="18"/>
                <w:b w:val="1"/>
                <w:bCs w:val="1"/>
                <w:color w:val="auto"/>
              </w:rPr>
              <w:t>Fees Earned or Paid in</w:t>
            </w: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Name</w:t>
            </w:r>
          </w:p>
        </w:tc>
        <w:tc>
          <w:tcPr>
            <w:tcW w:w="4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(2)</w:t>
            </w:r>
          </w:p>
        </w:tc>
        <w:tc>
          <w:tcPr>
            <w:tcW w:w="1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7"/>
              </w:rPr>
              <w:t xml:space="preserve">Stock Awards </w:t>
            </w:r>
            <w:r>
              <w:rPr>
                <w:rFonts w:ascii="Arial" w:cs="Arial" w:eastAsia="Arial" w:hAnsi="Arial"/>
                <w:sz w:val="18"/>
                <w:szCs w:val="18"/>
                <w:color w:val="auto"/>
                <w:w w:val="97"/>
              </w:rPr>
              <w:t>(3)</w:t>
            </w:r>
          </w:p>
        </w:tc>
        <w:tc>
          <w:tcPr>
            <w:tcW w:w="15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E. Barry</w:t>
            </w:r>
          </w:p>
        </w:tc>
        <w:tc>
          <w:tcPr>
            <w:tcW w:w="4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$ 61,000</w:t>
            </w:r>
          </w:p>
        </w:tc>
        <w:tc>
          <w:tcPr>
            <w:tcW w:w="1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$13,900</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Loretta J. Feehan</w:t>
            </w:r>
          </w:p>
        </w:tc>
        <w:tc>
          <w:tcPr>
            <w:tcW w:w="4380" w:type="dxa"/>
            <w:vAlign w:val="bottom"/>
          </w:tcPr>
          <w:p>
            <w:pPr>
              <w:jc w:val="right"/>
              <w:ind w:right="190"/>
              <w:spacing w:after="0"/>
              <w:rPr>
                <w:sz w:val="20"/>
                <w:szCs w:val="20"/>
                <w:color w:val="auto"/>
              </w:rPr>
            </w:pPr>
            <w:r>
              <w:rPr>
                <w:rFonts w:ascii="Arial" w:cs="Arial" w:eastAsia="Arial" w:hAnsi="Arial"/>
                <w:sz w:val="18"/>
                <w:szCs w:val="18"/>
                <w:color w:val="auto"/>
              </w:rPr>
              <w:t>56,000</w:t>
            </w:r>
          </w:p>
        </w:tc>
        <w:tc>
          <w:tcPr>
            <w:tcW w:w="1840" w:type="dxa"/>
            <w:vAlign w:val="bottom"/>
          </w:tcPr>
          <w:p>
            <w:pPr>
              <w:jc w:val="right"/>
              <w:ind w:right="330"/>
              <w:spacing w:after="0"/>
              <w:rPr>
                <w:sz w:val="20"/>
                <w:szCs w:val="20"/>
                <w:color w:val="auto"/>
              </w:rPr>
            </w:pPr>
            <w:r>
              <w:rPr>
                <w:rFonts w:ascii="Arial" w:cs="Arial" w:eastAsia="Arial" w:hAnsi="Arial"/>
                <w:sz w:val="18"/>
                <w:szCs w:val="18"/>
                <w:color w:val="auto"/>
              </w:rPr>
              <w:t>13,900</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69,900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Elisabeth C. Fisher</w:t>
            </w:r>
          </w:p>
        </w:tc>
        <w:tc>
          <w:tcPr>
            <w:tcW w:w="4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75,000</w:t>
            </w:r>
          </w:p>
        </w:tc>
        <w:tc>
          <w:tcPr>
            <w:tcW w:w="1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13,900</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88,900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Ann Manix</w:t>
            </w:r>
          </w:p>
        </w:tc>
        <w:tc>
          <w:tcPr>
            <w:tcW w:w="4380" w:type="dxa"/>
            <w:vAlign w:val="bottom"/>
          </w:tcPr>
          <w:p>
            <w:pPr>
              <w:jc w:val="right"/>
              <w:ind w:right="190"/>
              <w:spacing w:after="0"/>
              <w:rPr>
                <w:sz w:val="20"/>
                <w:szCs w:val="20"/>
                <w:color w:val="auto"/>
              </w:rPr>
            </w:pPr>
            <w:r>
              <w:rPr>
                <w:rFonts w:ascii="Arial" w:cs="Arial" w:eastAsia="Arial" w:hAnsi="Arial"/>
                <w:sz w:val="18"/>
                <w:szCs w:val="18"/>
                <w:color w:val="auto"/>
              </w:rPr>
              <w:t>61,000</w:t>
            </w:r>
          </w:p>
        </w:tc>
        <w:tc>
          <w:tcPr>
            <w:tcW w:w="1840" w:type="dxa"/>
            <w:vAlign w:val="bottom"/>
          </w:tcPr>
          <w:p>
            <w:pPr>
              <w:jc w:val="right"/>
              <w:ind w:right="330"/>
              <w:spacing w:after="0"/>
              <w:rPr>
                <w:sz w:val="20"/>
                <w:szCs w:val="20"/>
                <w:color w:val="auto"/>
              </w:rPr>
            </w:pPr>
            <w:r>
              <w:rPr>
                <w:rFonts w:ascii="Arial" w:cs="Arial" w:eastAsia="Arial" w:hAnsi="Arial"/>
                <w:sz w:val="18"/>
                <w:szCs w:val="18"/>
                <w:color w:val="auto"/>
              </w:rPr>
              <w:t>13,900</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74,900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Cecil H. Moore, Jr.</w:t>
            </w:r>
          </w:p>
        </w:tc>
        <w:tc>
          <w:tcPr>
            <w:tcW w:w="4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76,000</w:t>
            </w:r>
          </w:p>
        </w:tc>
        <w:tc>
          <w:tcPr>
            <w:tcW w:w="1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13,900</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Bobby D. O'Brien (4)</w:t>
            </w:r>
          </w:p>
        </w:tc>
        <w:tc>
          <w:tcPr>
            <w:tcW w:w="4380" w:type="dxa"/>
            <w:vAlign w:val="bottom"/>
          </w:tcPr>
          <w:p>
            <w:pPr>
              <w:jc w:val="right"/>
              <w:ind w:right="210"/>
              <w:spacing w:after="0"/>
              <w:rPr>
                <w:sz w:val="20"/>
                <w:szCs w:val="20"/>
                <w:color w:val="auto"/>
              </w:rPr>
            </w:pPr>
            <w:r>
              <w:rPr>
                <w:rFonts w:ascii="Arial" w:cs="Arial" w:eastAsia="Arial" w:hAnsi="Arial"/>
                <w:sz w:val="18"/>
                <w:szCs w:val="18"/>
                <w:color w:val="auto"/>
              </w:rPr>
              <w:t>7,250</w:t>
            </w:r>
          </w:p>
        </w:tc>
        <w:tc>
          <w:tcPr>
            <w:tcW w:w="1840" w:type="dxa"/>
            <w:vAlign w:val="bottom"/>
          </w:tcPr>
          <w:p>
            <w:pPr>
              <w:jc w:val="right"/>
              <w:ind w:right="330"/>
              <w:spacing w:after="0"/>
              <w:rPr>
                <w:sz w:val="20"/>
                <w:szCs w:val="20"/>
                <w:color w:val="auto"/>
              </w:rPr>
            </w:pPr>
            <w:r>
              <w:rPr>
                <w:rFonts w:ascii="Arial" w:cs="Arial" w:eastAsia="Arial" w:hAnsi="Arial"/>
                <w:sz w:val="18"/>
                <w:szCs w:val="18"/>
                <w:color w:val="auto"/>
              </w:rPr>
              <w:t>-0-</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7,250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A. Tidlund</w:t>
            </w:r>
          </w:p>
        </w:tc>
        <w:tc>
          <w:tcPr>
            <w:tcW w:w="4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56,000</w:t>
            </w:r>
          </w:p>
        </w:tc>
        <w:tc>
          <w:tcPr>
            <w:tcW w:w="1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13,900</w:t>
            </w:r>
          </w:p>
        </w:tc>
        <w:tc>
          <w:tcPr>
            <w:tcW w:w="15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69,900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14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Certain non-applicable columns have been omitted from this table.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cash retainers and meeting fees the director earned for director services he or she provided to us in 2017.</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the value of 1,000 shares of our class A common stock we granted to each of the eligible directors on May 24, 2017. For the purposes of this table, we valued these stock awards at the $13.90 closing price per share of such shares on their date of grant, consistent with the requirements of Financial Accounting Standards Board Accounting Standards Codification Topic 718.</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O'Brien resigned as a director on January 20, 2017.</w:t>
      </w:r>
    </w:p>
    <w:p>
      <w:pPr>
        <w:spacing w:after="0" w:line="16" w:lineRule="exact"/>
        <w:rPr>
          <w:rFonts w:ascii="Arial" w:cs="Arial" w:eastAsia="Arial" w:hAnsi="Arial"/>
          <w:sz w:val="18"/>
          <w:szCs w:val="18"/>
          <w:color w:val="auto"/>
        </w:rPr>
      </w:pPr>
    </w:p>
    <w:p>
      <w:pPr>
        <w:ind w:left="5640" w:hanging="82"/>
        <w:spacing w:after="0"/>
        <w:tabs>
          <w:tab w:leader="none" w:pos="5640" w:val="left"/>
        </w:tabs>
        <w:numPr>
          <w:ilvl w:val="1"/>
          <w:numId w:val="71"/>
        </w:numPr>
        <w:rPr>
          <w:rFonts w:ascii="Arial" w:cs="Arial" w:eastAsia="Arial" w:hAnsi="Arial"/>
          <w:sz w:val="14"/>
          <w:szCs w:val="14"/>
          <w:color w:val="auto"/>
        </w:rPr>
      </w:pPr>
      <w:r>
        <w:rPr>
          <w:rFonts w:ascii="Arial" w:cs="Arial" w:eastAsia="Arial" w:hAnsi="Arial"/>
          <w:sz w:val="14"/>
          <w:szCs w:val="14"/>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1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b w:val="1"/>
          <w:bCs w:val="1"/>
          <w:i w:val="1"/>
          <w:iCs w:val="1"/>
          <w:color w:val="221E1F"/>
        </w:rPr>
        <w:t>Compensation Policies and Practices as They Relate to Risk Management</w:t>
      </w:r>
      <w:r>
        <w:rPr>
          <w:rFonts w:ascii="Arial" w:cs="Arial" w:eastAsia="Arial" w:hAnsi="Arial"/>
          <w:sz w:val="17"/>
          <w:szCs w:val="17"/>
          <w:color w:val="000000"/>
        </w:rPr>
        <w:t>.</w:t>
      </w:r>
      <w:r>
        <w:rPr>
          <w:rFonts w:ascii="Arial" w:cs="Arial" w:eastAsia="Arial" w:hAnsi="Arial"/>
          <w:sz w:val="17"/>
          <w:szCs w:val="17"/>
          <w:b w:val="1"/>
          <w:bCs w:val="1"/>
          <w:i w:val="1"/>
          <w:iCs w:val="1"/>
          <w:color w:val="221E1F"/>
        </w:rPr>
        <w:t xml:space="preserve"> </w:t>
      </w:r>
      <w:r>
        <w:rPr>
          <w:rFonts w:ascii="Arial" w:cs="Arial" w:eastAsia="Arial" w:hAnsi="Arial"/>
          <w:sz w:val="17"/>
          <w:szCs w:val="17"/>
          <w:color w:val="221E1F"/>
        </w:rPr>
        <w:t>We believe that the risks arising from our compensation policies and</w:t>
      </w:r>
      <w:r>
        <w:rPr>
          <w:rFonts w:ascii="Arial" w:cs="Arial" w:eastAsia="Arial" w:hAnsi="Arial"/>
          <w:sz w:val="17"/>
          <w:szCs w:val="17"/>
          <w:b w:val="1"/>
          <w:bCs w:val="1"/>
          <w:i w:val="1"/>
          <w:iCs w:val="1"/>
          <w:color w:val="221E1F"/>
        </w:rPr>
        <w:t xml:space="preserve"> </w:t>
      </w:r>
      <w:r>
        <w:rPr>
          <w:rFonts w:ascii="Arial" w:cs="Arial" w:eastAsia="Arial" w:hAnsi="Arial"/>
          <w:sz w:val="17"/>
          <w:szCs w:val="17"/>
          <w:color w:val="221E1F"/>
        </w:rPr>
        <w:t>practices are not reasonably likely to have a material adverse effect on us. In reaching this conclusion, we considered the following:</w:t>
      </w:r>
    </w:p>
    <w:p>
      <w:pPr>
        <w:spacing w:after="0" w:line="147" w:lineRule="exact"/>
        <w:rPr>
          <w:sz w:val="20"/>
          <w:szCs w:val="20"/>
          <w:color w:val="auto"/>
        </w:rPr>
      </w:pPr>
    </w:p>
    <w:p>
      <w:pPr>
        <w:ind w:left="1300" w:right="260" w:hanging="644"/>
        <w:spacing w:after="0" w:line="308" w:lineRule="auto"/>
        <w:tabs>
          <w:tab w:leader="none" w:pos="1300" w:val="left"/>
        </w:tabs>
        <w:numPr>
          <w:ilvl w:val="0"/>
          <w:numId w:val="72"/>
        </w:numPr>
        <w:rPr>
          <w:rFonts w:ascii="Arial" w:cs="Arial" w:eastAsia="Arial" w:hAnsi="Arial"/>
          <w:sz w:val="17"/>
          <w:szCs w:val="17"/>
          <w:color w:val="221E1F"/>
        </w:rPr>
      </w:pPr>
      <w:r>
        <w:rPr>
          <w:rFonts w:ascii="Arial" w:cs="Arial" w:eastAsia="Arial" w:hAnsi="Arial"/>
          <w:sz w:val="17"/>
          <w:szCs w:val="17"/>
          <w:color w:val="221E1F"/>
        </w:rPr>
        <w:t>we do not grant equity awards to our employees, officers or other persons who provide services to us under our ISA with Contran, which mitigates taking excessive or inappropriate risk for short-term gain that might be rewarded by equity compensation;</w:t>
      </w:r>
    </w:p>
    <w:p>
      <w:pPr>
        <w:spacing w:after="0" w:line="362" w:lineRule="exact"/>
        <w:rPr>
          <w:rFonts w:ascii="Arial" w:cs="Arial" w:eastAsia="Arial" w:hAnsi="Arial"/>
          <w:sz w:val="17"/>
          <w:szCs w:val="17"/>
          <w:color w:val="221E1F"/>
        </w:rPr>
      </w:pPr>
    </w:p>
    <w:p>
      <w:pPr>
        <w:ind w:left="1300" w:right="20" w:hanging="644"/>
        <w:spacing w:after="0" w:line="264"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221E1F"/>
        </w:rPr>
        <w:t>our executive officers employed by us are eligible to receive incentive bonus payments that are determined on a discretionary basis and do not guarantee an executive officer a particular level of bonus based on the achievement of a specified performance or financial target, which also mitigates taking excessive or inappropriate risk for short-term gain</w:t>
      </w:r>
      <w:r>
        <w:rPr>
          <w:rFonts w:ascii="Arial" w:cs="Arial" w:eastAsia="Arial" w:hAnsi="Arial"/>
          <w:sz w:val="18"/>
          <w:szCs w:val="18"/>
          <w:color w:val="000000"/>
        </w:rPr>
        <w:t>;</w:t>
      </w:r>
    </w:p>
    <w:p>
      <w:pPr>
        <w:spacing w:after="0" w:line="397"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221E1F"/>
        </w:rPr>
        <w:t>our other key employees are eligible to receive bonuses based on the achievement of a specified performance or financial target based on our business plan for the year, but the chance of such employees undertaking actions with excessive or inappropriate risk for short-term gain in order to achieve such bonuses is mitigated because:</w:t>
      </w:r>
    </w:p>
    <w:p>
      <w:pPr>
        <w:spacing w:after="0" w:line="397" w:lineRule="exact"/>
        <w:rPr>
          <w:rFonts w:ascii="Arial" w:cs="Arial" w:eastAsia="Arial" w:hAnsi="Arial"/>
          <w:sz w:val="18"/>
          <w:szCs w:val="18"/>
          <w:color w:val="auto"/>
        </w:rPr>
      </w:pPr>
    </w:p>
    <w:p>
      <w:pPr>
        <w:ind w:left="1960" w:right="240" w:hanging="648"/>
        <w:spacing w:after="0" w:line="34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221E1F"/>
        </w:rPr>
        <w:t>our executive officers, who are responsible for establishing and executing such business plan, are not eligible to receive bonuses based on the business plan, but instead are only eligible for the discretionary-based bonuses described above; and</w:t>
      </w:r>
    </w:p>
    <w:p>
      <w:pPr>
        <w:sectPr>
          <w:pgSz w:w="11900" w:h="16838" w:orient="portrait"/>
          <w:cols w:equalWidth="0" w:num="1">
            <w:col w:w="11420"/>
          </w:cols>
          <w:pgMar w:left="240" w:top="341" w:right="239" w:bottom="0" w:gutter="0" w:footer="0" w:header="0"/>
        </w:sectPr>
      </w:pPr>
    </w:p>
    <w:bookmarkStart w:id="31" w:name="page32"/>
    <w:bookmarkEnd w:id="31"/>
    <w:p>
      <w:pPr>
        <w:ind w:left="1960" w:right="180" w:hanging="655"/>
        <w:spacing w:after="0" w:line="277" w:lineRule="auto"/>
        <w:tabs>
          <w:tab w:leader="none" w:pos="1960" w:val="left"/>
        </w:tabs>
        <w:numPr>
          <w:ilvl w:val="1"/>
          <w:numId w:val="73"/>
        </w:numPr>
        <w:rPr>
          <w:rFonts w:ascii="Arial" w:cs="Arial" w:eastAsia="Arial" w:hAnsi="Arial"/>
          <w:sz w:val="18"/>
          <w:szCs w:val="18"/>
          <w:color w:val="auto"/>
        </w:rPr>
      </w:pPr>
      <w:r>
        <w:rPr>
          <w:rFonts w:ascii="Arial" w:cs="Arial" w:eastAsia="Arial" w:hAnsi="Arial"/>
          <w:sz w:val="18"/>
          <w:szCs w:val="18"/>
          <w:color w:val="221E1F"/>
        </w:rPr>
        <w:t>there exist ceilings for our other key employee bonuses (which are not a significant part of their compensation) regardless of the actual level of our financial performance achieved</w:t>
      </w:r>
      <w:r>
        <w:rPr>
          <w:rFonts w:ascii="Arial" w:cs="Arial" w:eastAsia="Arial" w:hAnsi="Arial"/>
          <w:sz w:val="18"/>
          <w:szCs w:val="18"/>
          <w:color w:val="000000"/>
        </w:rPr>
        <w:t>;</w:t>
      </w:r>
    </w:p>
    <w:p>
      <w:pPr>
        <w:spacing w:after="0" w:line="386" w:lineRule="exact"/>
        <w:rPr>
          <w:rFonts w:ascii="Arial" w:cs="Arial" w:eastAsia="Arial" w:hAnsi="Arial"/>
          <w:sz w:val="18"/>
          <w:szCs w:val="18"/>
          <w:color w:val="auto"/>
        </w:rPr>
      </w:pPr>
    </w:p>
    <w:p>
      <w:pPr>
        <w:ind w:left="1300" w:right="40" w:hanging="644"/>
        <w:spacing w:after="0" w:line="264"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221E1F"/>
        </w:rPr>
        <w:t>our officers and other persons who provide services to us under our ISA with Contran do not receive compensation from us directly and are employed by Contran, one of our parent corporations, which aligns such officers and persons with the long-term interests of our stockholders</w:t>
      </w:r>
      <w:r>
        <w:rPr>
          <w:rFonts w:ascii="Arial" w:cs="Arial" w:eastAsia="Arial" w:hAnsi="Arial"/>
          <w:sz w:val="18"/>
          <w:szCs w:val="18"/>
          <w:color w:val="000000"/>
        </w:rPr>
        <w:t>;</w:t>
      </w:r>
    </w:p>
    <w:p>
      <w:pPr>
        <w:spacing w:after="0" w:line="397"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221E1F"/>
        </w:rPr>
        <w:t>since we are a controlled company, as previously discussed, management has a strong incentive to understand and perform in the long-term interests of our stockholders</w:t>
      </w:r>
      <w:r>
        <w:rPr>
          <w:rFonts w:ascii="Arial" w:cs="Arial" w:eastAsia="Arial" w:hAnsi="Arial"/>
          <w:sz w:val="18"/>
          <w:szCs w:val="18"/>
          <w:color w:val="000000"/>
        </w:rPr>
        <w:t>; and</w:t>
      </w:r>
    </w:p>
    <w:p>
      <w:pPr>
        <w:spacing w:after="0" w:line="386"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our experience is that our </w:t>
      </w:r>
      <w:r>
        <w:rPr>
          <w:rFonts w:ascii="Arial" w:cs="Arial" w:eastAsia="Arial" w:hAnsi="Arial"/>
          <w:sz w:val="18"/>
          <w:szCs w:val="18"/>
          <w:color w:val="221E1F"/>
        </w:rPr>
        <w:t>employees</w:t>
      </w:r>
      <w:r>
        <w:rPr>
          <w:rFonts w:ascii="Arial" w:cs="Arial" w:eastAsia="Arial" w:hAnsi="Arial"/>
          <w:sz w:val="18"/>
          <w:szCs w:val="18"/>
          <w:color w:val="auto"/>
        </w:rPr>
        <w:t xml:space="preserve"> are appropriately motivated by our compensation policies and practices to achieve profits and other business objectives in compliance with our oversight of material short and long-term risks.</w:t>
      </w:r>
    </w:p>
    <w:p>
      <w:pPr>
        <w:spacing w:after="0" w:line="3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a discussion of our compensation policies and practices for our executive officers, please see the Compensation Discussion and Analysis section of this proxy statement.</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b w:val="1"/>
          <w:bCs w:val="1"/>
          <w:i w:val="1"/>
          <w:iCs w:val="1"/>
          <w:color w:val="auto"/>
        </w:rPr>
        <w:t>Compensation Consultants</w:t>
      </w:r>
      <w:r>
        <w:rPr>
          <w:rFonts w:ascii="Arial" w:cs="Arial" w:eastAsia="Arial" w:hAnsi="Arial"/>
          <w:sz w:val="18"/>
          <w:szCs w:val="18"/>
          <w:color w:val="auto"/>
        </w:rPr>
        <w:t>. Neither our board of directors, management development and compensation committee nor management has engaged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compensation consultants.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Section 16(a) of the Securities Exchange Act requires our executive officers, directors and persons who own more than 10% of a registered class of our equity securities to file reports of ownership with the SEC, the NYSE American and us. Based solely on the review of the copies of such forms and representations by certain reporting persons, we believe that for 2017 our executive officers, directors and 10% shareholders complied with all applicable filing requirements under section 16(a).</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i w:val="1"/>
          <w:iCs w:val="1"/>
          <w:color w:val="auto"/>
        </w:rPr>
        <w:t>Related Party Transaction Policy</w:t>
      </w:r>
      <w:r>
        <w:rPr>
          <w:rFonts w:ascii="Arial" w:cs="Arial" w:eastAsia="Arial" w:hAnsi="Arial"/>
          <w:sz w:val="18"/>
          <w:szCs w:val="18"/>
          <w:color w:val="auto"/>
        </w:rPr>
        <w:t>. From time to time, we engage in transactions with affiliated companies. Pursuant to our Policy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Related Party Transactions, or RPT Policy, all related party transactions to which we are or are proposed to be a party are approved or ratified by our audit committee (unless another committee of our board of directors composed solely of independent directors, or all of the independent directors of our board, shall have approved or ratified the related party transaction). For certain ongoing related party transactions to which we are a party (referred to as ordinary course of business related party transactions), such approval or ratification shall occur no less frequently than once a year. The RPT Policy is available on our website at </w:t>
      </w:r>
      <w:r>
        <w:rPr>
          <w:rFonts w:ascii="Arial" w:cs="Arial" w:eastAsia="Arial" w:hAnsi="Arial"/>
          <w:sz w:val="18"/>
          <w:szCs w:val="18"/>
          <w:b w:val="1"/>
          <w:bCs w:val="1"/>
          <w:color w:val="auto"/>
        </w:rPr>
        <w:t>www.compx.com</w:t>
      </w:r>
      <w:r>
        <w:rPr>
          <w:rFonts w:ascii="Arial" w:cs="Arial" w:eastAsia="Arial" w:hAnsi="Arial"/>
          <w:sz w:val="18"/>
          <w:szCs w:val="18"/>
          <w:color w:val="auto"/>
        </w:rPr>
        <w:t xml:space="preserve"> under the corporate governance section.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ind w:firstLine="501"/>
        <w:spacing w:after="0" w:line="277" w:lineRule="auto"/>
        <w:rPr>
          <w:sz w:val="20"/>
          <w:szCs w:val="20"/>
          <w:color w:val="auto"/>
        </w:rPr>
      </w:pPr>
      <w:r>
        <w:rPr>
          <w:rFonts w:ascii="Arial" w:cs="Arial" w:eastAsia="Arial" w:hAnsi="Arial"/>
          <w:sz w:val="18"/>
          <w:szCs w:val="18"/>
          <w:color w:val="auto"/>
        </w:rPr>
        <w:t>During 2017 our audit committee reviewed, adopted and ratified the following ordinary course of business related party transactions to which we are a party in accordance with the terms of such RPT Policy:</w:t>
      </w:r>
    </w:p>
    <w:p>
      <w:pPr>
        <w:spacing w:after="0" w:line="387" w:lineRule="exact"/>
        <w:rPr>
          <w:sz w:val="20"/>
          <w:szCs w:val="20"/>
          <w:color w:val="auto"/>
        </w:rPr>
      </w:pPr>
    </w:p>
    <w:p>
      <w:pPr>
        <w:jc w:val="both"/>
        <w:ind w:left="1300" w:right="360" w:hanging="644"/>
        <w:spacing w:after="0" w:line="264"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Risk Management Program – a program pursuant to which Contran and certain of its subsidiaries and related entities, including us, as a group purchase third-party insurance policies and risk management services, with the costs thereof apportioned among the participating companies;</w:t>
      </w:r>
    </w:p>
    <w:p>
      <w:pPr>
        <w:spacing w:after="0" w:line="397" w:lineRule="exact"/>
        <w:rPr>
          <w:rFonts w:ascii="Arial" w:cs="Arial" w:eastAsia="Arial" w:hAnsi="Arial"/>
          <w:sz w:val="18"/>
          <w:szCs w:val="18"/>
          <w:color w:val="auto"/>
        </w:rPr>
      </w:pPr>
    </w:p>
    <w:p>
      <w:pPr>
        <w:ind w:left="1300" w:right="120" w:hanging="644"/>
        <w:spacing w:after="0" w:line="259"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Tax Sharing Agreement– the cash payments for income taxes periodically paid by us to NL or received by us from NL, as applicable, and related items pursuant to the terms of our tax sharing agreement with NL (such tax sharing agreement being appropriate, given that we and our qualifying subsidiaries are members of the consolidated U.S. federal income tax return, and certain state and local jurisdiction income tax returns, of which Contran is the parent company); 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300" w:hanging="644"/>
        <w:spacing w:after="0"/>
        <w:tabs>
          <w:tab w:leader="none" w:pos="13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Cash Management Loans – our unsecured revolving credit facility with Valhi, which provides for loans by us to Valhi of up to $40 million.</w:t>
      </w:r>
    </w:p>
    <w:p>
      <w:pPr>
        <w:spacing w:after="0" w:line="200" w:lineRule="exact"/>
        <w:rPr>
          <w:sz w:val="20"/>
          <w:szCs w:val="20"/>
          <w:color w:val="auto"/>
        </w:rPr>
      </w:pPr>
    </w:p>
    <w:p>
      <w:pPr>
        <w:spacing w:after="0" w:line="264" w:lineRule="exact"/>
        <w:rPr>
          <w:sz w:val="20"/>
          <w:szCs w:val="20"/>
          <w:color w:val="auto"/>
        </w:rPr>
      </w:pPr>
    </w:p>
    <w:p>
      <w:pPr>
        <w:ind w:right="40" w:firstLine="506"/>
        <w:spacing w:after="0" w:line="257" w:lineRule="auto"/>
        <w:rPr>
          <w:sz w:val="20"/>
          <w:szCs w:val="20"/>
          <w:color w:val="auto"/>
        </w:rPr>
      </w:pPr>
      <w:r>
        <w:rPr>
          <w:rFonts w:ascii="Arial" w:cs="Arial" w:eastAsia="Arial" w:hAnsi="Arial"/>
          <w:sz w:val="18"/>
          <w:szCs w:val="18"/>
          <w:color w:val="auto"/>
        </w:rPr>
        <w:t>Each of these ordinary course of business related party transactions, and the actions taken by the audit committee in fulfilling its duties and responsibilities under the RPT Policy, are more fully described below. Our audit committee was not required to approve and ratify the fee we paid to Contran in 2017 under our intercorporate services agreement with Contran, because such intercorporate services fee is approved by all of the independent directors of our board, as more fully described below. During 2017, we were not a party to any other related party transactions (ordinary course of business related party transactions or otherwise) requiring approval or ratification under the RPT Policy.</w:t>
      </w:r>
    </w:p>
    <w:p>
      <w:pPr>
        <w:spacing w:after="0" w:line="18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b w:val="1"/>
          <w:bCs w:val="1"/>
          <w:i w:val="1"/>
          <w:iCs w:val="1"/>
          <w:color w:val="auto"/>
        </w:rPr>
        <w:t>Relationships with Related Parties</w:t>
      </w:r>
      <w:r>
        <w:rPr>
          <w:rFonts w:ascii="Arial" w:cs="Arial" w:eastAsia="Arial" w:hAnsi="Arial"/>
          <w:sz w:val="18"/>
          <w:szCs w:val="18"/>
          <w:color w:val="auto"/>
        </w:rPr>
        <w:t>. As set forth under the Security Ownership section of this proxy statement, Lisa K. Simmons and Serena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Simmons Connelly may be deemed to control us. We and other entities that may be deemed to be controlled by or related to Ms. Simmons and Ms. Connelly sometimes engage in the following:</w:t>
      </w:r>
    </w:p>
    <w:p>
      <w:pPr>
        <w:spacing w:after="0" w:line="181" w:lineRule="exact"/>
        <w:rPr>
          <w:sz w:val="20"/>
          <w:szCs w:val="20"/>
          <w:color w:val="auto"/>
        </w:rPr>
      </w:pPr>
    </w:p>
    <w:p>
      <w:pPr>
        <w:ind w:left="1300" w:right="300" w:hanging="644"/>
        <w:spacing w:after="0" w:line="264"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intercorporate transactions, such as guarantees, management, expense and insurance sharing arrangements, tax sharing agreements, joint ventures, partnerships, loans, options, advances of funds on open account and sales, leases and exchanges of assets, including securities issued by both related and unrelated parties; and</w:t>
      </w:r>
    </w:p>
    <w:p>
      <w:pPr>
        <w:spacing w:after="0" w:line="397" w:lineRule="exact"/>
        <w:rPr>
          <w:rFonts w:ascii="Arial" w:cs="Arial" w:eastAsia="Arial" w:hAnsi="Arial"/>
          <w:sz w:val="18"/>
          <w:szCs w:val="18"/>
          <w:color w:val="auto"/>
        </w:rPr>
      </w:pPr>
    </w:p>
    <w:p>
      <w:pPr>
        <w:ind w:left="1300" w:right="180" w:hanging="644"/>
        <w:spacing w:after="0" w:line="259"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common investment and acquisition strategies, business combinations, reorganizations, recapitalizations, securities repurchases and purchases and sales (and other acquisitions and dispositions) of subsidiaries, divisions or other business units, which transactions have involved both related and unrelated parties and have included transactions that resulted in the acquisition by one related party of an equity interest in another related party.</w:t>
      </w:r>
    </w:p>
    <w:p>
      <w:pPr>
        <w:spacing w:after="0" w:line="200" w:lineRule="exact"/>
        <w:rPr>
          <w:sz w:val="20"/>
          <w:szCs w:val="20"/>
          <w:color w:val="auto"/>
        </w:rPr>
      </w:pPr>
    </w:p>
    <w:p>
      <w:pPr>
        <w:spacing w:after="0" w:line="20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periodically consider, review and evaluate and understand that Contran and related entities periodically consider, review and evaluate such transactions. Depending upon the business, tax and other objectives then relevant and restrictions under indentures and other agreements, it is possible that we might be a party to one or more of such transactions in the future. In connection with these activities, we may consider issuing additional equity securities or incurring additional indebtedness. Our acquisition activities have in the past and may in the future include participation in acquisition or restructuring activities conducted by other companies that may be deemed to be related to Ms. Simmons and Ms. Connelly.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ind w:right="380" w:firstLine="648"/>
        <w:spacing w:after="0" w:line="312" w:lineRule="auto"/>
        <w:rPr>
          <w:sz w:val="20"/>
          <w:szCs w:val="20"/>
          <w:color w:val="auto"/>
        </w:rPr>
      </w:pPr>
      <w:r>
        <w:rPr>
          <w:rFonts w:ascii="Arial" w:cs="Arial" w:eastAsia="Arial" w:hAnsi="Arial"/>
          <w:sz w:val="16"/>
          <w:szCs w:val="16"/>
          <w:color w:val="auto"/>
        </w:rPr>
        <w:t>Certain directors or executive officers of Contran, NL or Valhi also serve as our directors or executive officers. Such relationships may lead to possible conflicts of interest. These possible conflicts of interest may arise under circumstances in which such companies may have adverse interests. In such an event, we implement such procedures as are appropriate for the particular transaction, and consistent with the provisions of the RPT Policy.</w:t>
      </w:r>
    </w:p>
    <w:p>
      <w:pPr>
        <w:spacing w:after="0" w:line="14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i w:val="1"/>
          <w:iCs w:val="1"/>
          <w:color w:val="auto"/>
        </w:rPr>
        <w:t>Intercorporate Services Agreements</w:t>
      </w:r>
      <w:r>
        <w:rPr>
          <w:rFonts w:ascii="Arial" w:cs="Arial" w:eastAsia="Arial" w:hAnsi="Arial"/>
          <w:sz w:val="16"/>
          <w:szCs w:val="16"/>
          <w:color w:val="auto"/>
        </w:rPr>
        <w:t>. As discussed elsewhere in this proxy statement, we and certain related companies have entered into ISAs.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 ISAs, employees of one company provide certain services, including executive officer services, to the other company on an annual fixed fee basis. The services rendered under the ISAs may include executive, management, financial, internal audit, accounting, tax, legal, insurance, real estate management, environmental management, risk management, treasury, human resources, technical, consulting, administrative, office, occupancy and other services as required from time to time in the ordinary course of the recipient's business. The fees paid pursuant to the ISAs are generally based upon an estimated percentage of the time devoted by employees of the provider of the services to the business of the recipient and the employer's cost related to such employees, which includes the expense for the employees' compensation and an overhead component that takes into account other employment related costs. Generally, each of the ISAs renews on a quarterly basis subject to termination by either party pursuant to a written notice delivered 30 days prior to the start of the next quarter. Because of the number of companies related to Contran and us, we believe we benefit from cost savings and economies of scale gained by not having certain management, financial, legal, tax, real estate and administrative staffs duplicated at each company, thus allowing certain individuals to provide services to multiple companies. With respect to a publicly held company that is a party to an ISA, the ISA and the related aggregate annual charge are approved by the independent directors of the company after receiving the recommendation from the company's management development and compensation committee as well as the concurrence of the chief financial officer. See the Compensation of our Named Executive Officers Employed by Contran part of the Compensation Discussion and Analysis section in this proxy statement for a more detailed discussion on the procedures and considerations taken by our independent directors in approving the aggregate 2017 fee charged to us under our ISA with Contran.</w:t>
      </w:r>
    </w:p>
    <w:p>
      <w:pPr>
        <w:spacing w:after="0" w:line="16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2017, we paid Contran fees of approximately $2.8 million for its services under our ISA with Contran, including amounts for the services of certain of our named executive officers that are employees of Contran, as disclosed in the 2017 Summary Compensation Table in this proxy statement. In 2018, we expect to pay Contran fees of approximately $3.5 million for its services under this ISA, including the services of certain of our named executive officers that are employees of Contran. We also paid director compensation directly to Mr. Graham for his services as our director, as disclosed above in the 2017 Summary Compensation Table.</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i w:val="1"/>
          <w:iCs w:val="1"/>
          <w:color w:val="auto"/>
        </w:rPr>
        <w:t>Risk Management Program</w:t>
      </w:r>
      <w:r>
        <w:rPr>
          <w:rFonts w:ascii="Arial" w:cs="Arial" w:eastAsia="Arial" w:hAnsi="Arial"/>
          <w:sz w:val="16"/>
          <w:szCs w:val="16"/>
          <w:color w:val="auto"/>
        </w:rPr>
        <w:t>. We and Contran participate in a combined risk management program. Pursuant to the program, Contran and certain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subsidiaries and related entities, including us and certain of our subsidiaries and related entities, as a group purchase insurance policies and risk management services. The program apportions its costs among the participating companies. Tall Pines and EWI provide for or broker the insurance policies. Tall Pines purchases reinsurance for substantially all of the risks it underwrites. EWI also provides claims and risk management services and, where appropriate, engages certain third-party risk management consultants. Tall Pines is a captive insurance company wholly owned by Valhi. EWI is a reinsurance brokerage and risk management company wholly owned by NL. Tall Pines purchases reinsurance from third-party insurance carriers with an A.M. Best Company rating of generally at least an "A-" (excellent) for substantially all of the risks it underwrites. Consistent with insurance industry practices, Tall Pines and EWI receive commissions from insurance and reinsurance underwriters and/or assess fees for the policies that they provide or broker.</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With respect to certain of such jointly owned insurance policies, it is possible that unusually large losses incurred by one or more insureds during a given policy period could leave the other participating companies without adequate coverage under that policy for the balance of the policy period. As a result, and in the event that the available coverage under a particular policy would become exhausted by one or more claims, Contran and certain of its subsidiaries and affiliates, including us, have entered into a loss sharing agreement under which any uninsured loss arising because the available coverage had been exhausted by one or more claims will be shared ratably amongst those entities that had submitted claims under the relevant policy. We believe the benefits in the form of reduced premiums and broader coverage associated with the group coverage for such policies justify the risk associated with the potential for any uninsured loss.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ind w:firstLine="648"/>
        <w:spacing w:after="0" w:line="257" w:lineRule="auto"/>
        <w:rPr>
          <w:sz w:val="20"/>
          <w:szCs w:val="20"/>
          <w:color w:val="auto"/>
        </w:rPr>
      </w:pPr>
      <w:r>
        <w:rPr>
          <w:rFonts w:ascii="Arial" w:cs="Arial" w:eastAsia="Arial" w:hAnsi="Arial"/>
          <w:sz w:val="18"/>
          <w:szCs w:val="18"/>
          <w:color w:val="auto"/>
        </w:rPr>
        <w:t>During 2017, we paid Tall Pines and EWI in the aggregate approximately $2.2 million. This amount principally represents payments for insurance premiums, including premiums or fees paid to Tall Pines and commissions or fees paid to EWI. This amount also includes payments to insurers or reinsurers through EWI for the reimbursement of claims within our applicable deductible or retention ranges that such insurers and reinsurers paid to third parties on our behalf, as well as amounts for claims and risk management services and various other third-party fees and expenses incurred by the program. We expect these relationships with Tall Pines and EWI will continue in 2018.</w:t>
      </w:r>
    </w:p>
    <w:p>
      <w:pPr>
        <w:spacing w:after="0" w:line="188"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In November 2017, our management made a presentation to our audit committee regarding our participation in the combined risk management program. Among other things during such presentation, the committee was informed of the following (in addition to the matters described above):</w:t>
      </w:r>
    </w:p>
    <w:p>
      <w:pPr>
        <w:spacing w:after="0" w:line="124" w:lineRule="exact"/>
        <w:rPr>
          <w:sz w:val="20"/>
          <w:szCs w:val="20"/>
          <w:color w:val="auto"/>
        </w:rPr>
      </w:pPr>
    </w:p>
    <w:p>
      <w:pPr>
        <w:ind w:left="1300" w:right="420" w:hanging="644"/>
        <w:spacing w:after="0" w:line="277"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premiums for all of the insurance and reinsurance policies are set by third parties (the underwriters for the insurance or reinsurance carriers bearing the risk), without any markup by Tall Pines or EWI;</w:t>
      </w:r>
    </w:p>
    <w:p>
      <w:pPr>
        <w:spacing w:after="0" w:line="386" w:lineRule="exact"/>
        <w:rPr>
          <w:rFonts w:ascii="Arial" w:cs="Arial" w:eastAsia="Arial" w:hAnsi="Arial"/>
          <w:sz w:val="18"/>
          <w:szCs w:val="18"/>
          <w:color w:val="auto"/>
        </w:rPr>
      </w:pPr>
    </w:p>
    <w:p>
      <w:pPr>
        <w:ind w:left="1300" w:right="40" w:hanging="644"/>
        <w:spacing w:after="0" w:line="259"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method by which the insurance premiums are allocated among the companies participating in the risk management program is generally the same as the basis used by the insurance or reinsurance carriers to establish the premiums for such insurance/reinsurance (</w:t>
      </w:r>
      <w:r>
        <w:rPr>
          <w:rFonts w:ascii="Arial" w:cs="Arial" w:eastAsia="Arial" w:hAnsi="Arial"/>
          <w:sz w:val="18"/>
          <w:szCs w:val="18"/>
          <w:i w:val="1"/>
          <w:iCs w:val="1"/>
          <w:color w:val="auto"/>
        </w:rPr>
        <w:t>i.e</w:t>
      </w:r>
      <w:r>
        <w:rPr>
          <w:rFonts w:ascii="Arial" w:cs="Arial" w:eastAsia="Arial" w:hAnsi="Arial"/>
          <w:sz w:val="18"/>
          <w:szCs w:val="18"/>
          <w:color w:val="auto"/>
        </w:rPr>
        <w:t>. the dominant premium factor, which is the factor that has the greatest impact on the premium, such as revenues, payroll or employee headcount);</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EWI provides claims and risk management services to each of the companies participating in the risk management program, including us, and where appropriate EWI engages third-party risk management consultants;</w:t>
      </w:r>
    </w:p>
    <w:p>
      <w:pPr>
        <w:spacing w:after="0" w:line="386" w:lineRule="exact"/>
        <w:rPr>
          <w:rFonts w:ascii="Arial" w:cs="Arial" w:eastAsia="Arial" w:hAnsi="Arial"/>
          <w:sz w:val="18"/>
          <w:szCs w:val="18"/>
          <w:color w:val="auto"/>
        </w:rPr>
      </w:pPr>
    </w:p>
    <w:p>
      <w:pPr>
        <w:ind w:left="1300" w:right="80" w:hanging="644"/>
        <w:spacing w:after="0" w:line="342" w:lineRule="auto"/>
        <w:tabs>
          <w:tab w:leader="none" w:pos="13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commissions received by Tall Pines and EWI from the insurance or reinsurance underwriters, and the fees assessed for the policies they so provide or broker, are in amounts equal to the commissions or fees which would be received by third-party brokers or underwriters;</w:t>
      </w:r>
    </w:p>
    <w:p>
      <w:pPr>
        <w:spacing w:after="0" w:line="339" w:lineRule="exact"/>
        <w:rPr>
          <w:rFonts w:ascii="Arial" w:cs="Arial" w:eastAsia="Arial" w:hAnsi="Arial"/>
          <w:sz w:val="16"/>
          <w:szCs w:val="16"/>
          <w:color w:val="auto"/>
        </w:rPr>
      </w:pPr>
    </w:p>
    <w:p>
      <w:pPr>
        <w:ind w:left="1300" w:hanging="64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insurance coverages provided to us by the risk management program are sufficient and adequate for our purposes;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right="220" w:hanging="644"/>
        <w:spacing w:after="0" w:line="257"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benefits to our participating in the risk management program include, among others, (a) the ability to obtain broader coverage, with strong/solvent underwriters, at a reduced cost as compared to the coverage and cost that would be available if we were to purchase insurance by itself, (b) the greater spread of risk among the companies participating in the risk management program, (c) the ability to obtain centralized premium and claim reporting, and (d) the ability to have access to the experienced risk management personnel of EWI, including in the areas of loss controls and claims processing; and</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1300" w:right="160" w:hanging="644"/>
        <w:spacing w:after="0" w:line="342" w:lineRule="auto"/>
        <w:tabs>
          <w:tab w:leader="none" w:pos="13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"cost of risk" metric, as defined by the Risk and Insurance Management Society, or RIMS, for the Contran group is lower as compared to the cost of risk as reflected in a recent RIMS benchmark survey for certain groups of companies comparable to the Contran group.</w:t>
      </w:r>
    </w:p>
    <w:p>
      <w:pPr>
        <w:spacing w:after="0" w:line="34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As part of such presentations, our chief financial officer, after consultation with other members of our management, advised the committee of his belief that our participation in the risk management program, including the allocation of its costs among us and the other entities participating in the risk management program, is fair and reasonable to us, and is on terms no less favorable than we could otherwise obtain from unrelated parties, and provided the committee with his recommendation that the committee approve, adopt and ratify our participation in the risk management program in all respects.</w:t>
      </w:r>
    </w:p>
    <w:p>
      <w:pPr>
        <w:spacing w:after="0" w:line="154"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After considering the information contained in the presentations, including the recommendation of our chief financial officer, and following further discussion and review by the audit committee, our audit committee determined that our participation in the risk management program is fair and reasonable to us, and is on terms no less favorable than we could otherwise obtain from unrelated parties, in each case based on the collective business judgment and experience of members of the committee, and the committee approved, adopted and ratified our participation in the risk management program in all respects.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ind w:firstLine="648"/>
        <w:spacing w:after="0" w:line="254" w:lineRule="auto"/>
        <w:rPr>
          <w:sz w:val="20"/>
          <w:szCs w:val="20"/>
          <w:color w:val="auto"/>
        </w:rPr>
      </w:pPr>
      <w:r>
        <w:rPr>
          <w:rFonts w:ascii="Arial" w:cs="Arial" w:eastAsia="Arial" w:hAnsi="Arial"/>
          <w:sz w:val="18"/>
          <w:szCs w:val="18"/>
          <w:b w:val="1"/>
          <w:bCs w:val="1"/>
          <w:i w:val="1"/>
          <w:iCs w:val="1"/>
          <w:color w:val="auto"/>
        </w:rPr>
        <w:t>Tax Matters</w:t>
      </w:r>
      <w:r>
        <w:rPr>
          <w:rFonts w:ascii="Arial" w:cs="Arial" w:eastAsia="Arial" w:hAnsi="Arial"/>
          <w:sz w:val="18"/>
          <w:szCs w:val="18"/>
          <w:color w:val="auto"/>
        </w:rPr>
        <w:t>. We and our qualifying subsidiaries are members of the consolidated U.S. federal tax return of which Contran is the parent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refer to as the "Contran Tax Group." We are also a party to a tax sharing agreement with Contran and NL. As a member of the Contran Tax Group and pursuant to the tax sharing agreement, we and our qualifying subsidiaries compute our provision for U.S. income taxes on a separate company basis using tax elections made by Contran. Pursuant to the tax sharing agreement and using tax elections made by Contran, we make payments to or receive payments from NL in amounts we would have paid to or received from the U.S. Internal Revenue Service had we not been a member of the Contran Tax Group but instead had been a separate taxpayer. Refunds are limited to amounts previously paid under the tax sharing agreement. We and our qualifying subsidiaries are also a part of consolidated tax returns filed by Contran in certain U.S. state jurisdictions, and the terms of the tax sharing agreement also apply to state payments to these jurisdictions.</w:t>
      </w:r>
    </w:p>
    <w:p>
      <w:pPr>
        <w:spacing w:after="0" w:line="19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Under applicable law, we, as well as every other member of the Contran Tax Group, are each jointly and severally liable for the aggregate federal income tax liability of Contran and the other companies included in the group for all periods in which we are included in the group. Under our tax sharing agreement with NL, NL has agreed to indemnify us for any liability for income taxes of the Contran Tax Group in excess of our tax liability previously computed and paid by us in accordance with the tax sharing agreement.</w:t>
      </w:r>
    </w:p>
    <w:p>
      <w:pPr>
        <w:spacing w:after="0" w:line="18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Under certain circumstances, tax regulations could require Contran to treat items differently than we would have treated them on a stand-alone basis. In such instances, accounting principles generally accepted in the United States of America require us to conform to Contran's tax elections. For 2017, and pursuant to our tax sharing agreement, we made net cash payments for income taxes to NL of approximately $6.7 million.</w:t>
      </w:r>
    </w:p>
    <w:p>
      <w:pPr>
        <w:spacing w:after="0" w:line="166"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In March 2017, our management made a presentation to our audit committee regarding our tax sharing agreement with Contran and NL. Among other things during such presentation, the committee was informed of the following (in addition to the matters described above):</w:t>
      </w:r>
    </w:p>
    <w:p>
      <w:pPr>
        <w:spacing w:after="0" w:line="38" w:lineRule="exact"/>
        <w:rPr>
          <w:sz w:val="20"/>
          <w:szCs w:val="20"/>
          <w:color w:val="auto"/>
        </w:rPr>
      </w:pPr>
    </w:p>
    <w:p>
      <w:pPr>
        <w:ind w:left="1300" w:right="160" w:hanging="644"/>
        <w:spacing w:after="0" w:line="277"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tax sharing agreement is consistent with accounting principles generally accepted in the United States of America, and consistent with applicable law and regulations; and</w:t>
      </w:r>
    </w:p>
    <w:p>
      <w:pPr>
        <w:spacing w:after="0" w:line="170"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income tax accounts are included in the scope of the annual audit of our consolidated financial statements performed by PwC, and PwC makes periodic reports to the committee regarding income tax matters related to us.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part of such presentation, our chief financial officer and our chief tax officer advised the committee of their belief that the terms of the tax sharing agreement are consistent with the terms of applicable law and regulations, and are fair and reasonable to us, and are on terms no less favorable than would be present if we were not a party to the tax sharing agreement, and provided the committee with their recommendation that the committee approve, adopt and ratify the tax sharing agreement in all respects.</w:t>
      </w:r>
    </w:p>
    <w:p>
      <w:pPr>
        <w:spacing w:after="0" w:line="7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After considering the information contained in the presentations, including the recommendation of our chief financial officer and our chief tax officer, and following further discussion and review by the audit committee, our audit committee determined that the terms of the tax sharing agreement are on terms no less favorable than would be present if we were not a party to the tax sharing agreement, in each case based on the collective business judgment and experience of members of the committee, and the committee approved, adopted and ratified the tax sharing agreement in all respects.</w:t>
      </w:r>
    </w:p>
    <w:p>
      <w:pPr>
        <w:spacing w:after="0" w:line="15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i w:val="1"/>
          <w:iCs w:val="1"/>
          <w:color w:val="auto"/>
        </w:rPr>
        <w:t>Related Party Loans for Cash Management Purposes</w:t>
      </w:r>
      <w:r>
        <w:rPr>
          <w:rFonts w:ascii="Arial" w:cs="Arial" w:eastAsia="Arial" w:hAnsi="Arial"/>
          <w:sz w:val="17"/>
          <w:szCs w:val="17"/>
          <w:color w:val="auto"/>
        </w:rPr>
        <w:t>. From time to time, loans and advances are made between us and various related parties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term and demand notes. These loans and advances are entered into principally for cash management purposes pursuant to our cash management program. When we loan funds to related parties, we are generally able to earn a higher rate of return on the loan than we would earn if the funds were invested in other instruments. While certain of such loans may be of a lesser credit quality than cash equivalent instruments otherwise available to us, we believe that we have evaluated the credit risks involved, and that those risks are reasonable and reflected in the terms of the applicable loans. When we have outstanding indebtedness, we may still decide to enter into a loan to a related party either because the interest rate on the loan to the related party is at a higher rate of return as compared to the interest rate we are paying on our outstanding indebtedness, or the funds we would be loaning to the related party would not otherwise be used to paydown the outstanding indebtedness (such as, for example, in the case when the outstanding indebtedness has a maturity longer than the maturity of the loan to the related party). When we borrow from related parties, we are generally able to pay a lower rate of interest than we would pay if we borrowed from unrelated parties.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ind w:firstLine="881"/>
        <w:spacing w:after="0" w:line="276" w:lineRule="auto"/>
        <w:rPr>
          <w:sz w:val="20"/>
          <w:szCs w:val="20"/>
          <w:color w:val="auto"/>
        </w:rPr>
      </w:pPr>
      <w:r>
        <w:rPr>
          <w:rFonts w:ascii="Arial" w:cs="Arial" w:eastAsia="Arial" w:hAnsi="Arial"/>
          <w:sz w:val="17"/>
          <w:szCs w:val="17"/>
          <w:color w:val="auto"/>
        </w:rPr>
        <w:t>During 2017, we had an unsecured revolving promissory note with Valhi whereby we agreed to loan Valhi up to $40 million. Our loan to Valhi, as amended, bears interest at the prime rate plus 1.00%, payable quarterly and all principal and unpaid interest due on demand, but in any event no earlier than December 31, 2019. Loans made to Valhi at any time under the agreement is at our discretion. During 2017, we made aggregate loans to Valhi of $52.1 million, and Valhi repaid an aggregate of $41.3 million. At December 31, 2017, the outstanding balance of such loan to Valhi was $38.2 million. During 2017, we received aggregate interest under this note (including unused commitment fees) of $1.8 million.</w:t>
      </w:r>
    </w:p>
    <w:p>
      <w:pPr>
        <w:spacing w:after="0" w:line="200"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In March 2017, our management made a presentation to our audit committee regarding our loan to Valhi. Among other things during such presentation, the committee was informed of the following (in addition to the matters described above):</w:t>
      </w:r>
    </w:p>
    <w:p>
      <w:pPr>
        <w:spacing w:after="0" w:line="170"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have no outstanding indebtedness;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receive an unused commitment fee of 50 basis points per annum, payable quarterly;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interest rate we would earn on any outstanding borrowings by Valhi would be higher than the rate of return we would earn on any of our funds available for investment; and</w:t>
      </w:r>
    </w:p>
    <w:p>
      <w:pPr>
        <w:spacing w:after="0" w:line="386"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interest rate we would earn on any outstanding borrowings by Valhi would be an interest rate no less than (and generally greater than) the interest rate which a lender would be earning under certain debt facilities of three of our competitors.</w:t>
      </w:r>
    </w:p>
    <w:p>
      <w:pPr>
        <w:spacing w:after="0" w:line="387" w:lineRule="exact"/>
        <w:rPr>
          <w:sz w:val="20"/>
          <w:szCs w:val="20"/>
          <w:color w:val="auto"/>
        </w:rPr>
      </w:pPr>
    </w:p>
    <w:p>
      <w:pPr>
        <w:jc w:val="both"/>
        <w:ind w:right="280" w:firstLine="648"/>
        <w:spacing w:after="0" w:line="312" w:lineRule="auto"/>
        <w:rPr>
          <w:sz w:val="20"/>
          <w:szCs w:val="20"/>
          <w:color w:val="auto"/>
        </w:rPr>
      </w:pPr>
      <w:r>
        <w:rPr>
          <w:rFonts w:ascii="Arial" w:cs="Arial" w:eastAsia="Arial" w:hAnsi="Arial"/>
          <w:sz w:val="16"/>
          <w:szCs w:val="16"/>
          <w:color w:val="auto"/>
        </w:rPr>
        <w:t>As part of such presentation, our chief financial officer, after consultation with our treasurer and other members of our management, advised the committee of his belief that the terms of our loan to Valhi are fair and reasonable to us, and are on terms no less favorable than we could otherwise obtain from unrelated parties, and provided the committee with his recommendation that the committee approve, adopt and ratify our loan to Valhi in all respects.</w:t>
      </w:r>
    </w:p>
    <w:p>
      <w:pPr>
        <w:spacing w:after="0" w:line="147"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After considering the information contained in the presentation, including the recommendation of our chief financial officer, and following further discussion and review by the audit committee, our audit committee determined that the terms of our loan to Valhi are fair and reasonable to us, and are on terms no less favorable than we could otherwise obtain from unrelated parties, in each case based on the collective business judgment and experience of members of the committee, and the committee approved, adopted and ratified our loan to Valhi in all respects.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 xml:space="preserve">Our audit committee of the board of directors is composed of five directors and operates under a written charter adopted by the board of directors. All members of our audit committee meet the independence standards established by the board of directors and the NYSE American and promulgated by the SEC under the Sarbanes-Oxley Act of 2002. Two members of our audit committee meets the audit committee financial expert requirements under the applicable SEC rules. The audit committee charter is available on our website at </w:t>
      </w:r>
      <w:r>
        <w:rPr>
          <w:rFonts w:ascii="Arial" w:cs="Arial" w:eastAsia="Arial" w:hAnsi="Arial"/>
          <w:sz w:val="16"/>
          <w:szCs w:val="16"/>
          <w:i w:val="1"/>
          <w:iCs w:val="1"/>
          <w:color w:val="auto"/>
        </w:rPr>
        <w:t>www.compx.com</w:t>
      </w:r>
      <w:r>
        <w:rPr>
          <w:rFonts w:ascii="Arial" w:cs="Arial" w:eastAsia="Arial" w:hAnsi="Arial"/>
          <w:sz w:val="16"/>
          <w:szCs w:val="16"/>
          <w:color w:val="auto"/>
        </w:rPr>
        <w:t xml:space="preserve"> under the corporate section.</w:t>
      </w:r>
    </w:p>
    <w:p>
      <w:pPr>
        <w:spacing w:after="0" w:line="1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management is responsible for, among other things, preparing our consolidated financial statements in accordance with accounting principles generally accepted in the United States of America, or "GAAP," establishing and maintaining internal control over financial reporting (as defined in Securities Exchange Act Rule 13a-15(f)) and evaluating the effectiveness of such internal control over financial reporting. Our independent registered public accounting firm is responsible for auditing our consolidated financial statements in accordance with the standards of the PCAOB and for expressing an opinion on the conformity of the financial statements with GAAP.</w:t>
      </w:r>
    </w:p>
    <w:p>
      <w:pPr>
        <w:spacing w:after="0" w:line="18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Our audit committee assists the board of directors in fulfilling its responsibility to oversee management's implementation of our financial reporting process and the audits of our consolidated financial statements. Our audit committee is directly responsible for the appointment, compensation, retention and oversight of our independent registered public accounting firm. As part of fulfilling this responsibility, our audit committee engages in an annual evaluation of, among other things, the firm's qualifications, competence, integrity, expertise, performance, independence and communications with the committee (including these factors as they relate specifically to the firm's lead audit engagement partner), and whether the current firm should be retained for the upcoming year's audit. Our audit committee discusses with our independent registered public accounting firm the overall scope and plans for the audit they will perform, and the committee meets with the firm throughout the year, both with and without management being present, to monitor the firm's execution of and results obtained from their audit. Our audit committee performs other activities throughout the year, in accordance with the responsibilities of the audit committee specified in the audit committee charter, including the approval or ratification of certain related party transactions in accordance with the terms of our RPT Policy, as discussed above in the Certain Relationships and Transactions section in this proxy statement.</w:t>
      </w:r>
    </w:p>
    <w:p>
      <w:pPr>
        <w:spacing w:after="0" w:line="16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its oversight role, our audit committee reviewed and discussed our audited consolidated financial statements with management and with PwC, our independent registered public accounting firm for 2017. Our audit committee also reviewed and discussed our internal control over financial reporting with management and with PwC. Management and PwC indicated that our consolidated financial statements as of and for the year ended December 31, 2017 were fairly stated in accordance with GAAP. Our audit committee discussed with PwC and management the significant accounting policies used and significant estimates made by management in the preparation of our audited consolidated financial statements, and the overall quality of management's financial reporting process. Our audit committee and PwC also discussed any issues deemed significant by PwC or the committee, including the matters required to be discussed pursuant to the standards of the PCAOB, the rules of the SEC and other applicable regulations. PwC has provided to our audit committee written disclosures and the letter required by applicable requirements of the PCAOB regarding the independent registered public accounting firm's communications with the audit committee concerning independence, and our audit committee discussed with PwC the firm's independence. Our audit committee also concluded that PwC's provision of other permitted non-audit services to us and our related entities is compatible with PwC's independence.</w:t>
      </w:r>
    </w:p>
    <w:p>
      <w:pPr>
        <w:spacing w:after="0" w:line="16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Based upon the foregoing considerations, our audit committee recommended to the board of directors that our audited consolidated financial statements be included in our 2017 Annual Report on Form 10-K for filing with the SEC.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Members of our audit committee of the board of directors respectfully submit the foregoing report as of February 28, 2018.</w:t>
      </w:r>
    </w:p>
    <w:p>
      <w:pPr>
        <w:spacing w:after="0" w:line="22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Cecil H. Moore, Jr</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i w:val="1"/>
          <w:iCs w:val="1"/>
          <w:color w:val="auto"/>
        </w:rPr>
        <w:t>Chairman of our Audit Committee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00" w:type="dxa"/>
            <w:vAlign w:val="bottom"/>
          </w:tcPr>
          <w:p>
            <w:pPr>
              <w:spacing w:after="0"/>
              <w:rPr>
                <w:sz w:val="20"/>
                <w:szCs w:val="20"/>
                <w:color w:val="auto"/>
              </w:rPr>
            </w:pPr>
            <w:r>
              <w:rPr>
                <w:rFonts w:ascii="Arial" w:cs="Arial" w:eastAsia="Arial" w:hAnsi="Arial"/>
                <w:sz w:val="18"/>
                <w:szCs w:val="18"/>
                <w:b w:val="1"/>
                <w:bCs w:val="1"/>
                <w:color w:val="auto"/>
              </w:rPr>
              <w:t>Thomas E. Barry</w:t>
            </w:r>
          </w:p>
        </w:tc>
        <w:tc>
          <w:tcPr>
            <w:tcW w:w="2780" w:type="dxa"/>
            <w:vAlign w:val="bottom"/>
          </w:tcPr>
          <w:p>
            <w:pPr>
              <w:ind w:left="680"/>
              <w:spacing w:after="0"/>
              <w:rPr>
                <w:sz w:val="20"/>
                <w:szCs w:val="20"/>
                <w:color w:val="auto"/>
              </w:rPr>
            </w:pPr>
            <w:r>
              <w:rPr>
                <w:rFonts w:ascii="Arial" w:cs="Arial" w:eastAsia="Arial" w:hAnsi="Arial"/>
                <w:sz w:val="18"/>
                <w:szCs w:val="18"/>
                <w:b w:val="1"/>
                <w:bCs w:val="1"/>
                <w:color w:val="auto"/>
              </w:rPr>
              <w:t>Elisabeth C. Fisher</w:t>
            </w:r>
          </w:p>
        </w:tc>
        <w:tc>
          <w:tcPr>
            <w:tcW w:w="2920" w:type="dxa"/>
            <w:vAlign w:val="bottom"/>
          </w:tcPr>
          <w:p>
            <w:pPr>
              <w:ind w:left="740"/>
              <w:spacing w:after="0"/>
              <w:rPr>
                <w:sz w:val="20"/>
                <w:szCs w:val="20"/>
                <w:color w:val="auto"/>
              </w:rPr>
            </w:pPr>
            <w:r>
              <w:rPr>
                <w:rFonts w:ascii="Arial" w:cs="Arial" w:eastAsia="Arial" w:hAnsi="Arial"/>
                <w:sz w:val="18"/>
                <w:szCs w:val="18"/>
                <w:b w:val="1"/>
                <w:bCs w:val="1"/>
                <w:color w:val="auto"/>
              </w:rPr>
              <w:t>Ann Manix</w:t>
            </w:r>
          </w:p>
        </w:tc>
        <w:tc>
          <w:tcPr>
            <w:tcW w:w="3520" w:type="dxa"/>
            <w:vAlign w:val="bottom"/>
          </w:tcPr>
          <w:p>
            <w:pPr>
              <w:ind w:left="680"/>
              <w:spacing w:after="0"/>
              <w:rPr>
                <w:sz w:val="20"/>
                <w:szCs w:val="20"/>
                <w:color w:val="auto"/>
              </w:rPr>
            </w:pPr>
            <w:r>
              <w:rPr>
                <w:rFonts w:ascii="Arial" w:cs="Arial" w:eastAsia="Arial" w:hAnsi="Arial"/>
                <w:sz w:val="18"/>
                <w:szCs w:val="18"/>
                <w:b w:val="1"/>
                <w:bCs w:val="1"/>
                <w:color w:val="auto"/>
              </w:rPr>
              <w:t>Mary A. Tidlund</w:t>
            </w:r>
          </w:p>
        </w:tc>
      </w:tr>
      <w:tr>
        <w:trPr>
          <w:trHeight w:val="216"/>
        </w:trPr>
        <w:tc>
          <w:tcPr>
            <w:tcW w:w="2200" w:type="dxa"/>
            <w:vAlign w:val="bottom"/>
          </w:tcPr>
          <w:p>
            <w:pPr>
              <w:spacing w:after="0"/>
              <w:rPr>
                <w:sz w:val="20"/>
                <w:szCs w:val="20"/>
                <w:color w:val="auto"/>
              </w:rPr>
            </w:pPr>
            <w:r>
              <w:rPr>
                <w:rFonts w:ascii="Arial" w:cs="Arial" w:eastAsia="Arial" w:hAnsi="Arial"/>
                <w:sz w:val="18"/>
                <w:szCs w:val="18"/>
                <w:i w:val="1"/>
                <w:iCs w:val="1"/>
                <w:color w:val="auto"/>
              </w:rPr>
              <w:t>Member of our Audit</w:t>
            </w:r>
          </w:p>
        </w:tc>
        <w:tc>
          <w:tcPr>
            <w:tcW w:w="2780" w:type="dxa"/>
            <w:vAlign w:val="bottom"/>
          </w:tcPr>
          <w:p>
            <w:pPr>
              <w:ind w:left="680"/>
              <w:spacing w:after="0"/>
              <w:rPr>
                <w:sz w:val="20"/>
                <w:szCs w:val="20"/>
                <w:color w:val="auto"/>
              </w:rPr>
            </w:pPr>
            <w:r>
              <w:rPr>
                <w:rFonts w:ascii="Arial" w:cs="Arial" w:eastAsia="Arial" w:hAnsi="Arial"/>
                <w:sz w:val="18"/>
                <w:szCs w:val="18"/>
                <w:i w:val="1"/>
                <w:iCs w:val="1"/>
                <w:color w:val="auto"/>
              </w:rPr>
              <w:t>Member of our Audit</w:t>
            </w:r>
          </w:p>
        </w:tc>
        <w:tc>
          <w:tcPr>
            <w:tcW w:w="2920" w:type="dxa"/>
            <w:vAlign w:val="bottom"/>
          </w:tcPr>
          <w:p>
            <w:pPr>
              <w:ind w:left="740"/>
              <w:spacing w:after="0"/>
              <w:rPr>
                <w:sz w:val="20"/>
                <w:szCs w:val="20"/>
                <w:color w:val="auto"/>
              </w:rPr>
            </w:pPr>
            <w:r>
              <w:rPr>
                <w:rFonts w:ascii="Arial" w:cs="Arial" w:eastAsia="Arial" w:hAnsi="Arial"/>
                <w:sz w:val="18"/>
                <w:szCs w:val="18"/>
                <w:i w:val="1"/>
                <w:iCs w:val="1"/>
                <w:color w:val="auto"/>
              </w:rPr>
              <w:t>Member of our Audit</w:t>
            </w:r>
          </w:p>
        </w:tc>
        <w:tc>
          <w:tcPr>
            <w:tcW w:w="3520" w:type="dxa"/>
            <w:vAlign w:val="bottom"/>
          </w:tcPr>
          <w:p>
            <w:pPr>
              <w:ind w:left="680"/>
              <w:spacing w:after="0"/>
              <w:rPr>
                <w:sz w:val="20"/>
                <w:szCs w:val="20"/>
                <w:color w:val="auto"/>
              </w:rPr>
            </w:pPr>
            <w:r>
              <w:rPr>
                <w:rFonts w:ascii="Arial" w:cs="Arial" w:eastAsia="Arial" w:hAnsi="Arial"/>
                <w:sz w:val="18"/>
                <w:szCs w:val="18"/>
                <w:i w:val="1"/>
                <w:iCs w:val="1"/>
                <w:color w:val="auto"/>
              </w:rPr>
              <w:t>Member of our Audit</w:t>
            </w:r>
          </w:p>
        </w:tc>
      </w:tr>
      <w:tr>
        <w:trPr>
          <w:trHeight w:val="230"/>
        </w:trPr>
        <w:tc>
          <w:tcPr>
            <w:tcW w:w="2200" w:type="dxa"/>
            <w:vAlign w:val="bottom"/>
          </w:tcPr>
          <w:p>
            <w:pPr>
              <w:spacing w:after="0"/>
              <w:rPr>
                <w:sz w:val="20"/>
                <w:szCs w:val="20"/>
                <w:color w:val="auto"/>
              </w:rPr>
            </w:pPr>
            <w:r>
              <w:rPr>
                <w:rFonts w:ascii="Arial" w:cs="Arial" w:eastAsia="Arial" w:hAnsi="Arial"/>
                <w:sz w:val="18"/>
                <w:szCs w:val="18"/>
                <w:i w:val="1"/>
                <w:iCs w:val="1"/>
                <w:color w:val="auto"/>
              </w:rPr>
              <w:t>Committee</w:t>
            </w:r>
          </w:p>
        </w:tc>
        <w:tc>
          <w:tcPr>
            <w:tcW w:w="2780" w:type="dxa"/>
            <w:vAlign w:val="bottom"/>
          </w:tcPr>
          <w:p>
            <w:pPr>
              <w:ind w:left="680"/>
              <w:spacing w:after="0"/>
              <w:rPr>
                <w:sz w:val="20"/>
                <w:szCs w:val="20"/>
                <w:color w:val="auto"/>
              </w:rPr>
            </w:pPr>
            <w:r>
              <w:rPr>
                <w:rFonts w:ascii="Arial" w:cs="Arial" w:eastAsia="Arial" w:hAnsi="Arial"/>
                <w:sz w:val="18"/>
                <w:szCs w:val="18"/>
                <w:i w:val="1"/>
                <w:iCs w:val="1"/>
                <w:color w:val="auto"/>
              </w:rPr>
              <w:t>Committee</w:t>
            </w:r>
          </w:p>
        </w:tc>
        <w:tc>
          <w:tcPr>
            <w:tcW w:w="2920" w:type="dxa"/>
            <w:vAlign w:val="bottom"/>
          </w:tcPr>
          <w:p>
            <w:pPr>
              <w:ind w:left="740"/>
              <w:spacing w:after="0"/>
              <w:rPr>
                <w:sz w:val="20"/>
                <w:szCs w:val="20"/>
                <w:color w:val="auto"/>
              </w:rPr>
            </w:pPr>
            <w:r>
              <w:rPr>
                <w:rFonts w:ascii="Arial" w:cs="Arial" w:eastAsia="Arial" w:hAnsi="Arial"/>
                <w:sz w:val="18"/>
                <w:szCs w:val="18"/>
                <w:i w:val="1"/>
                <w:iCs w:val="1"/>
                <w:color w:val="auto"/>
              </w:rPr>
              <w:t>Committee</w:t>
            </w:r>
          </w:p>
        </w:tc>
        <w:tc>
          <w:tcPr>
            <w:tcW w:w="3520" w:type="dxa"/>
            <w:vAlign w:val="bottom"/>
          </w:tcPr>
          <w:p>
            <w:pPr>
              <w:ind w:left="680"/>
              <w:spacing w:after="0"/>
              <w:rPr>
                <w:sz w:val="20"/>
                <w:szCs w:val="20"/>
                <w:color w:val="auto"/>
              </w:rPr>
            </w:pPr>
            <w:r>
              <w:rPr>
                <w:rFonts w:ascii="Arial" w:cs="Arial" w:eastAsia="Arial" w:hAnsi="Arial"/>
                <w:sz w:val="18"/>
                <w:szCs w:val="18"/>
                <w:i w:val="1"/>
                <w:iCs w:val="1"/>
                <w:color w:val="auto"/>
              </w:rPr>
              <w:t>Committee</w:t>
            </w:r>
          </w:p>
        </w:tc>
      </w:tr>
      <w:tr>
        <w:trPr>
          <w:trHeight w:val="582"/>
        </w:trPr>
        <w:tc>
          <w:tcPr>
            <w:tcW w:w="2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920" w:type="dxa"/>
            <w:vAlign w:val="bottom"/>
          </w:tcPr>
          <w:p>
            <w:pPr>
              <w:jc w:val="right"/>
              <w:ind w:right="1954"/>
              <w:spacing w:after="0"/>
              <w:rPr>
                <w:sz w:val="20"/>
                <w:szCs w:val="20"/>
                <w:color w:val="auto"/>
              </w:rPr>
            </w:pPr>
            <w:r>
              <w:rPr>
                <w:rFonts w:ascii="Arial" w:cs="Arial" w:eastAsia="Arial" w:hAnsi="Arial"/>
                <w:sz w:val="14"/>
                <w:szCs w:val="14"/>
                <w:color w:val="auto"/>
              </w:rPr>
              <w:t>- 33 -</w:t>
            </w:r>
          </w:p>
        </w:tc>
        <w:tc>
          <w:tcPr>
            <w:tcW w:w="3520" w:type="dxa"/>
            <w:vAlign w:val="bottom"/>
          </w:tcPr>
          <w:p>
            <w:pPr>
              <w:spacing w:after="0"/>
              <w:rPr>
                <w:sz w:val="24"/>
                <w:szCs w:val="24"/>
                <w:color w:val="auto"/>
              </w:rPr>
            </w:pPr>
          </w:p>
        </w:tc>
      </w:tr>
      <w:tr>
        <w:trPr>
          <w:trHeight w:val="46"/>
        </w:trPr>
        <w:tc>
          <w:tcPr>
            <w:tcW w:w="22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580"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INDEPENDENT REGISTERED PUBLIC ACCOUNTING FIRM MATTERS</w:t>
      </w:r>
    </w:p>
    <w:p>
      <w:pPr>
        <w:spacing w:after="0" w:line="229" w:lineRule="exact"/>
        <w:rPr>
          <w:sz w:val="20"/>
          <w:szCs w:val="20"/>
          <w:color w:val="auto"/>
        </w:rPr>
      </w:pPr>
    </w:p>
    <w:p>
      <w:pPr>
        <w:ind w:right="180" w:firstLine="648"/>
        <w:spacing w:after="0" w:line="221" w:lineRule="exact"/>
        <w:rPr>
          <w:sz w:val="20"/>
          <w:szCs w:val="20"/>
          <w:color w:val="auto"/>
        </w:rPr>
      </w:pPr>
      <w:r>
        <w:rPr>
          <w:rFonts w:ascii="Arial" w:cs="Arial" w:eastAsia="Arial" w:hAnsi="Arial"/>
          <w:sz w:val="17"/>
          <w:szCs w:val="17"/>
          <w:b w:val="1"/>
          <w:bCs w:val="1"/>
          <w:i w:val="1"/>
          <w:iCs w:val="1"/>
          <w:color w:val="auto"/>
        </w:rPr>
        <w:t>Independent Registered Public Accounting Firm</w:t>
      </w:r>
      <w:r>
        <w:rPr>
          <w:rFonts w:ascii="Arial" w:cs="Arial" w:eastAsia="Arial" w:hAnsi="Arial"/>
          <w:sz w:val="17"/>
          <w:szCs w:val="17"/>
          <w:color w:val="auto"/>
        </w:rPr>
        <w:t>. PwC served as our independent registered public accounting firm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2017. Our audit committee has appointed PwC to review our quarterly unaudited condensed consolidated financial statements to be included in our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for the first quarter of 2018. We expect PwC will be considered for appointment to:</w:t>
      </w:r>
    </w:p>
    <w:p>
      <w:pPr>
        <w:spacing w:after="0" w:line="202" w:lineRule="exact"/>
        <w:rPr>
          <w:sz w:val="20"/>
          <w:szCs w:val="20"/>
          <w:color w:val="auto"/>
        </w:rPr>
      </w:pPr>
    </w:p>
    <w:p>
      <w:pPr>
        <w:ind w:left="1300" w:right="180" w:hanging="644"/>
        <w:spacing w:after="0" w:line="277"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 our quarterly unaudited condensed consolidated financial statements to be included in our Quarterly Reports on Form 10-Q for the second and third quarters of 2018 and the first quarter of 2019; and</w:t>
      </w:r>
    </w:p>
    <w:p>
      <w:pPr>
        <w:spacing w:after="0" w:line="386" w:lineRule="exact"/>
        <w:rPr>
          <w:rFonts w:ascii="Arial" w:cs="Arial" w:eastAsia="Arial" w:hAnsi="Arial"/>
          <w:sz w:val="18"/>
          <w:szCs w:val="18"/>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audit our annual consolidated financial statements for the year ending December 31,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of PwC are not expected to attend our 2018 annual stockholder meeting.</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b w:val="1"/>
          <w:bCs w:val="1"/>
          <w:i w:val="1"/>
          <w:iCs w:val="1"/>
          <w:color w:val="auto"/>
        </w:rPr>
        <w:t>Fees Paid to PricewaterhouseCoopers LLP</w:t>
      </w:r>
      <w:r>
        <w:rPr>
          <w:rFonts w:ascii="Arial" w:cs="Arial" w:eastAsia="Arial" w:hAnsi="Arial"/>
          <w:sz w:val="18"/>
          <w:szCs w:val="18"/>
          <w:color w:val="auto"/>
        </w:rPr>
        <w:t>. The following table shows the aggregate fees that our audit committee has authorized and PwC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billed or is expected to bill to us for services rendered for 2016 and 2017. Additional fees for 2017 may subsequently be authorized and paid to PwC, in which case the amounts disclosed below for fees paid to PwC for 2017 would be adjusted to reflect such additional payments in our proxy statement relating to next year's annual stockholder meeting.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840" w:type="dxa"/>
            <w:vAlign w:val="bottom"/>
          </w:tcPr>
          <w:p>
            <w:pPr>
              <w:ind w:left="1900"/>
              <w:spacing w:after="0"/>
              <w:rPr>
                <w:sz w:val="20"/>
                <w:szCs w:val="20"/>
                <w:color w:val="auto"/>
              </w:rPr>
            </w:pPr>
            <w:r>
              <w:rPr>
                <w:rFonts w:ascii="Arial" w:cs="Arial" w:eastAsia="Arial" w:hAnsi="Arial"/>
                <w:sz w:val="18"/>
                <w:szCs w:val="18"/>
                <w:b w:val="1"/>
                <w:bCs w:val="1"/>
                <w:color w:val="auto"/>
              </w:rPr>
              <w:t>Type of Fees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60" w:type="dxa"/>
            <w:vAlign w:val="bottom"/>
            <w:gridSpan w:val="4"/>
          </w:tcPr>
          <w:p>
            <w:pPr>
              <w:jc w:val="right"/>
              <w:ind w:right="65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96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44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Audit-Related Fees (2)</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 (3)</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859</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6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Fees for the following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audits of consolidated year-end financial statements for each year;</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80"/>
        </w:numPr>
        <w:rPr>
          <w:rFonts w:ascii="Arial" w:cs="Arial" w:eastAsia="Arial" w:hAnsi="Arial"/>
          <w:sz w:val="17"/>
          <w:szCs w:val="17"/>
          <w:color w:val="auto"/>
        </w:rPr>
      </w:pPr>
      <w:r>
        <w:rPr>
          <w:rFonts w:ascii="Arial" w:cs="Arial" w:eastAsia="Arial" w:hAnsi="Arial"/>
          <w:sz w:val="17"/>
          <w:szCs w:val="17"/>
          <w:color w:val="auto"/>
        </w:rPr>
        <w:t>reviews of the unaudited quarterly financial statements appearing in Forms 10-Q for each of the first three quarters of each year;</w:t>
      </w:r>
    </w:p>
    <w:p>
      <w:pPr>
        <w:spacing w:after="0" w:line="20" w:lineRule="exact"/>
        <w:rPr>
          <w:rFonts w:ascii="Arial" w:cs="Arial" w:eastAsia="Arial" w:hAnsi="Arial"/>
          <w:sz w:val="17"/>
          <w:szCs w:val="17"/>
          <w:color w:val="auto"/>
        </w:rPr>
      </w:pPr>
    </w:p>
    <w:p>
      <w:pPr>
        <w:ind w:left="1300" w:hanging="644"/>
        <w:spacing w:after="0"/>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consents and/or assistance with registration statements filed with the SEC;</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normally provided statutory or regulatory filings or engagements for each year;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estimated out-of-pocket costs PwC incurred in providing all of such services, for which PwC is reimbursed.</w:t>
      </w:r>
    </w:p>
    <w:p>
      <w:pPr>
        <w:spacing w:after="0" w:line="102" w:lineRule="exact"/>
        <w:rPr>
          <w:rFonts w:ascii="Arial" w:cs="Arial" w:eastAsia="Arial" w:hAnsi="Arial"/>
          <w:sz w:val="18"/>
          <w:szCs w:val="18"/>
          <w:color w:val="auto"/>
        </w:rPr>
      </w:pPr>
    </w:p>
    <w:p>
      <w:pPr>
        <w:ind w:left="660" w:right="140" w:hanging="652"/>
        <w:spacing w:after="0" w:line="264"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Fees for assurance and related services reasonably related to the audit or review of financial statements for each year. These services might include accounting consultations and attest services concerning financial accounting and reporting standards and advice concerning internal control over financial reporting.</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Permitted fees for tax compliance, tax advice and tax planning services.</w:t>
      </w:r>
    </w:p>
    <w:p>
      <w:pPr>
        <w:spacing w:after="0" w:line="200" w:lineRule="exact"/>
        <w:rPr>
          <w:sz w:val="20"/>
          <w:szCs w:val="20"/>
          <w:color w:val="auto"/>
        </w:rPr>
      </w:pPr>
    </w:p>
    <w:p>
      <w:pPr>
        <w:spacing w:after="0" w:line="24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b w:val="1"/>
          <w:bCs w:val="1"/>
          <w:i w:val="1"/>
          <w:iCs w:val="1"/>
          <w:color w:val="auto"/>
        </w:rPr>
        <w:t>Preapproval Policies and Procedures</w:t>
      </w:r>
      <w:r>
        <w:rPr>
          <w:rFonts w:ascii="Arial" w:cs="Arial" w:eastAsia="Arial" w:hAnsi="Arial"/>
          <w:sz w:val="18"/>
          <w:szCs w:val="18"/>
          <w:color w:val="auto"/>
        </w:rPr>
        <w:t>. For the purpose of maintaining the independence of our independent registered public accounting firm,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audit committee has adopted policies and procedures for the preapproval of audit and other permitted services the firm provides to us or any of our subsidiaries. We may not engage the firm to render any audit or other permitted service unless the service is approved in advance by our audit committee pursuant to the committee's preapproval policy. Pursuant to the policy:</w:t>
      </w:r>
    </w:p>
    <w:p>
      <w:pPr>
        <w:spacing w:after="0" w:line="187" w:lineRule="exact"/>
        <w:rPr>
          <w:sz w:val="20"/>
          <w:szCs w:val="20"/>
          <w:color w:val="auto"/>
        </w:rPr>
      </w:pPr>
    </w:p>
    <w:p>
      <w:pPr>
        <w:ind w:left="1300" w:right="160" w:hanging="644"/>
        <w:spacing w:after="0" w:line="312" w:lineRule="auto"/>
        <w:tabs>
          <w:tab w:leader="none" w:pos="13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committee must specifically preapprove, among other things, the engagement of our independent registered public accounting firm for audits and quarterly reviews of our financial statements, services associated with certain regulatory filings, including the filing of registration statements with the SEC, and services associated with potential business acquisitions and dispositions involving us; and</w:t>
      </w:r>
    </w:p>
    <w:p>
      <w:pPr>
        <w:spacing w:after="0" w:line="358" w:lineRule="exact"/>
        <w:rPr>
          <w:rFonts w:ascii="Arial" w:cs="Arial" w:eastAsia="Arial" w:hAnsi="Arial"/>
          <w:sz w:val="16"/>
          <w:szCs w:val="16"/>
          <w:color w:val="auto"/>
        </w:rPr>
      </w:pPr>
    </w:p>
    <w:p>
      <w:pPr>
        <w:ind w:left="5640" w:hanging="82"/>
        <w:spacing w:after="0"/>
        <w:tabs>
          <w:tab w:leader="none" w:pos="5640" w:val="left"/>
        </w:tabs>
        <w:numPr>
          <w:ilvl w:val="1"/>
          <w:numId w:val="81"/>
        </w:numPr>
        <w:rPr>
          <w:rFonts w:ascii="Arial" w:cs="Arial" w:eastAsia="Arial" w:hAnsi="Arial"/>
          <w:sz w:val="14"/>
          <w:szCs w:val="14"/>
          <w:color w:val="auto"/>
        </w:rPr>
      </w:pPr>
      <w:r>
        <w:rPr>
          <w:rFonts w:ascii="Arial" w:cs="Arial" w:eastAsia="Arial" w:hAnsi="Arial"/>
          <w:sz w:val="14"/>
          <w:szCs w:val="14"/>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ind w:left="1300" w:right="580" w:hanging="644"/>
        <w:spacing w:after="0" w:line="277"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certain categories of other permitted services provided by our independent registered public accounting firm, the committee may preapprove limits on the aggregate fees in any calendar year without specific approval of the service.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These other permitted services include:</w:t>
      </w:r>
    </w:p>
    <w:p>
      <w:pPr>
        <w:spacing w:after="0" w:line="225" w:lineRule="exact"/>
        <w:rPr>
          <w:sz w:val="20"/>
          <w:szCs w:val="20"/>
          <w:color w:val="auto"/>
        </w:rPr>
      </w:pPr>
    </w:p>
    <w:p>
      <w:pPr>
        <w:ind w:left="1300" w:right="480" w:hanging="644"/>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audit-related services, such as certain consultations regarding accounting treatments or interpretations and assistance in responding to certain SEC comment letters;</w:t>
      </w:r>
    </w:p>
    <w:p>
      <w:pPr>
        <w:spacing w:after="0" w:line="386"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audit-related services, such as certain other consultations regarding accounting treatments or interpretations, employee benefit plan audits, due diligence and control reviews;</w:t>
      </w:r>
    </w:p>
    <w:p>
      <w:pPr>
        <w:spacing w:after="0" w:line="386"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tax services, such as tax compliance and consulting, transfer pricing, customs and duties and expatriate tax services;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assistance with corporate governance matters and filing documents in foreign jurisdictions not involving the practice of law.</w:t>
      </w:r>
    </w:p>
    <w:p>
      <w:pPr>
        <w:spacing w:after="0" w:line="200" w:lineRule="exact"/>
        <w:rPr>
          <w:sz w:val="20"/>
          <w:szCs w:val="20"/>
          <w:color w:val="auto"/>
        </w:rPr>
      </w:pPr>
    </w:p>
    <w:p>
      <w:pPr>
        <w:spacing w:after="0" w:line="24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policy also lists certain services for which the independent auditor is always prohibited from providing us under applicable requirements of the SEC or the PCAOB.</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Pursuant to the policy, our audit committee has delegated preapproval authority to the chairman of the committee or his designee to approve any fees in excess of the annual preapproved limits for these categories of other permitted services provided by our independent registered public accounting firm. The chairman must report any action taken pursuant to this delegated authority at the next meeting of the committee.</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For 2017, our audit committee preapproved all of PwC's services provided to us or any of our subsidiaries in compliance with our preapproval policy without the use of the SEC's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exception to such preapproval requirement.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NONBINDING ADVISORY RESOLUTION ON NAMED EXECUTIVE OFFICER COMPENSATION</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b w:val="1"/>
          <w:bCs w:val="1"/>
          <w:i w:val="1"/>
          <w:iCs w:val="1"/>
          <w:color w:val="auto"/>
        </w:rPr>
        <w:t>Background</w:t>
      </w:r>
      <w:r>
        <w:rPr>
          <w:rFonts w:ascii="Arial" w:cs="Arial" w:eastAsia="Arial" w:hAnsi="Arial"/>
          <w:sz w:val="18"/>
          <w:szCs w:val="18"/>
          <w:color w:val="auto"/>
        </w:rPr>
        <w:t>. Pursuant to Section 14A of the Securities Exchange Act, a publicly held company is required to submit to its stockholders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nonbinding advisory vote to approve the compensation of its named executive officers, commonly known as a "Say-on-Pay" proposal. Our stockholders have approved an annual frequency for these Say-on-Pay proposals. After our 2018 annual meeting of stockholders, the next nonbinding stockholder advisory vote on a Say-on-Pay proposal will be at our 2019 annual meeting of stockholders. The next nonbinding stockholder advisory vote on the frequency of a Say-on-Pay proposal will be at our 2023 annual meeting of stockholders.</w:t>
      </w:r>
    </w:p>
    <w:p>
      <w:pPr>
        <w:spacing w:after="0" w:line="18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b w:val="1"/>
          <w:bCs w:val="1"/>
          <w:i w:val="1"/>
          <w:iCs w:val="1"/>
          <w:color w:val="auto"/>
        </w:rPr>
        <w:t>Say-on-Pay Proposal</w:t>
      </w:r>
      <w:r>
        <w:rPr>
          <w:rFonts w:ascii="Arial" w:cs="Arial" w:eastAsia="Arial" w:hAnsi="Arial"/>
          <w:sz w:val="16"/>
          <w:szCs w:val="16"/>
          <w:color w:val="auto"/>
        </w:rPr>
        <w:t>. This proposal affords our stockholders the opportunity to submit a nonbinding advisory vote on our named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The Compensation Discussion and Analysis section, the tabular disclosure regarding our named executive officer compensation and the related disclosure in this proxy statement describe our named executive officer compensation and the compensation decisions made by our management and our management development and compensation committee of the board of directors with respect to our named executive officers. This proposal is not intended to address any specific element of compensation of our named executive officers as described in this proxy statement, but the compensation of our named executive officers in general. Our board of directors requests that each stockholder cast a nonbinding advisory vote to adopt the following resolution:</w:t>
      </w:r>
    </w:p>
    <w:p>
      <w:pPr>
        <w:spacing w:after="0" w:line="161" w:lineRule="exact"/>
        <w:rPr>
          <w:sz w:val="20"/>
          <w:szCs w:val="20"/>
          <w:color w:val="auto"/>
        </w:rPr>
      </w:pPr>
    </w:p>
    <w:p>
      <w:pPr>
        <w:ind w:left="660" w:right="700" w:firstLine="648"/>
        <w:spacing w:after="0" w:line="255"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by the affirmative vote of the holders of the majority of the class A and B shares of common stock, voting</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as a single class, present in person or represented by proxy at the 2018 annual stockholder meeting and entitled to vote on the subject matter, the stockholders of CompX International Inc. approve, on a nonbinding advisory basis, the compensation of its executive officers named in the 2017 Summary Compensation Table in the 2018 annual meeting proxy statement of CompX International Inc. as such compensation is disclosed in the proxy statement pursuant to the executive compensation disclosure rules of the U.S. Securities and Exchange Commission, which disclosure includes the compensation discussion and analysis, the compensation tables and any related disclosure in the proxy statement.</w:t>
      </w:r>
    </w:p>
    <w:p>
      <w:pPr>
        <w:spacing w:after="0" w:line="193"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b w:val="1"/>
          <w:bCs w:val="1"/>
          <w:i w:val="1"/>
          <w:iCs w:val="1"/>
          <w:color w:val="auto"/>
        </w:rPr>
        <w:t>Effect of the Proposal</w:t>
      </w:r>
      <w:r>
        <w:rPr>
          <w:rFonts w:ascii="Arial" w:cs="Arial" w:eastAsia="Arial" w:hAnsi="Arial"/>
          <w:sz w:val="18"/>
          <w:szCs w:val="18"/>
          <w:color w:val="auto"/>
        </w:rPr>
        <w:t>. The Say-on-Pay proposal is nonbinding and advisory. Our stockholders' approval or disapproval of this proposal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 our board of directors, its management development and compensation committee or our management to take any action regarding our executive compensation practices.</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b w:val="1"/>
          <w:bCs w:val="1"/>
          <w:i w:val="1"/>
          <w:iCs w:val="1"/>
          <w:color w:val="auto"/>
        </w:rPr>
        <w:t>Vote Required</w:t>
      </w:r>
      <w:r>
        <w:rPr>
          <w:rFonts w:ascii="Arial" w:cs="Arial" w:eastAsia="Arial" w:hAnsi="Arial"/>
          <w:sz w:val="17"/>
          <w:szCs w:val="17"/>
          <w:color w:val="auto"/>
        </w:rPr>
        <w:t>. Because this proposal is a nonbinding advisory vote, there is no minimum requisite vote to approve the Say-on-Pay proposal.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proposed resolution provides that the nonbinding affirmative vote of the holders of the majority of the class A and B shares of common stock, voting together as a single class, present in person or represented by proxy at the 2018 annual meeting and entitled to vote on the subject matter will be the requisite vote to adopt the resolution and approve the compensation of our named executive officers as such compensation is disclosed in this proxy statement. Accordingly, abstentions will be counted as represented and entitled to vote and will therefore have the effect of a negative vote. Broker/nominee non-votes, if any, will not be counted as entitled to vote and will have no effect on this proposal.</w:t>
      </w:r>
    </w:p>
    <w:p>
      <w:pPr>
        <w:spacing w:after="0" w:line="1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NL has indicated its intention to have its shares of our common stock represented at the meeting and to vote such shares FOR the Say-on-Pay proposal and adoption of the resolution that approves the compensation of our named executive officers as described in this proxy statement. If NL attends the meeting in person or by proxy and votes as indicated, the meeting will have a quorum present and the stockholders will adopt the resolution and approve the nonbinding advisory Say-on-Pay proposal.</w:t>
      </w:r>
    </w:p>
    <w:p>
      <w:pPr>
        <w:spacing w:after="0" w:line="183" w:lineRule="exact"/>
        <w:rPr>
          <w:sz w:val="20"/>
          <w:szCs w:val="20"/>
          <w:color w:val="auto"/>
        </w:rPr>
      </w:pPr>
    </w:p>
    <w:p>
      <w:pPr>
        <w:ind w:firstLine="648"/>
        <w:spacing w:after="0" w:line="313" w:lineRule="auto"/>
        <w:rPr>
          <w:sz w:val="20"/>
          <w:szCs w:val="20"/>
          <w:color w:val="auto"/>
        </w:rPr>
      </w:pPr>
      <w:r>
        <w:rPr>
          <w:rFonts w:ascii="Arial" w:cs="Arial" w:eastAsia="Arial" w:hAnsi="Arial"/>
          <w:sz w:val="17"/>
          <w:szCs w:val="17"/>
          <w:color w:val="auto"/>
        </w:rPr>
        <w:t xml:space="preserve">OUR BOARD OF DIRECTORS RECOMMENDS A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SAY-ON-PAY PROPOSAL AS SET FORTH IN THE NONBINDING ADVISORY RESOLUTION APPROVING OUR NAMED EXECUTIVE OFFICER COMPENSATION AS DISCLOSED IN THIS PROXY STATEMENT.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PROPOSAL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AND RESTATEMENT OF CERTIFICATE OF INCORPORATION</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Summary of the Proposal</w:t>
      </w:r>
      <w:r>
        <w:rPr>
          <w:rFonts w:ascii="Arial" w:cs="Arial" w:eastAsia="Arial" w:hAnsi="Arial"/>
          <w:sz w:val="18"/>
          <w:szCs w:val="18"/>
          <w:color w:val="auto"/>
        </w:rPr>
        <w:t>. Our board of directors has unanimously approved and recommends that stockholders approve our second amended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restated certificate of incorporation, as set forth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to this proxy statement. The proposed second amended and restated certificate of incorporation would:</w:t>
      </w:r>
    </w:p>
    <w:p>
      <w:pPr>
        <w:spacing w:after="0" w:line="181" w:lineRule="exact"/>
        <w:rPr>
          <w:sz w:val="20"/>
          <w:szCs w:val="20"/>
          <w:color w:val="auto"/>
        </w:rPr>
      </w:pPr>
    </w:p>
    <w:p>
      <w:pPr>
        <w:ind w:left="1300" w:right="20" w:hanging="644"/>
        <w:spacing w:after="0" w:line="277"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add a right for each holder of shares of our class B common stock, at its option, to convert any or all of those shares into the same number of shares of our class A common stock; and</w:t>
      </w:r>
    </w:p>
    <w:p>
      <w:pPr>
        <w:spacing w:after="0" w:line="38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remove a provision regarding the reclassification of shares of our common stock upon the effectiveness of our restated certificate of incorporation adopted in 1998 that was only applicable in 1998.</w:t>
      </w:r>
    </w:p>
    <w:p>
      <w:pPr>
        <w:spacing w:after="0" w:line="3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Summary of the Changes between the Current Restated Certificate of Incorporation and the Proposed Second Amended and Restated Certificate of Incorporation</w:t>
      </w:r>
      <w:r>
        <w:rPr>
          <w:rFonts w:ascii="Arial" w:cs="Arial" w:eastAsia="Arial" w:hAnsi="Arial"/>
          <w:sz w:val="18"/>
          <w:szCs w:val="18"/>
          <w:color w:val="auto"/>
        </w:rPr>
        <w:t>. Currently, shares of our class B common stock are automatically converted into shares of Class A common stock upon a transfer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outside of the Contran Corporation Control Group (as defined in our current restated certificate of incorporation) prior to a Tax-Free Spin-Off (as defined in our current restated certificate of incorporation), and are automatically converted into shares of Class A common stock following a Tax-Free Spin-Off if certain conditions are met, but are otherwise not convertible into shares of our Class A common stock. A new Article Four, Paragraph (B)(v)(j) in the proposed second amended and restated certificate of incorporation adds a right for each holder of shares of our class B common stock to convert any or all those shares into the same number of shares of our Class A common stock, at its option, exercisable at any time and from time to time prior to a Tax-Free Spin Off at the holder's request.</w:t>
      </w:r>
    </w:p>
    <w:p>
      <w:pPr>
        <w:spacing w:after="0" w:line="21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NL, which owns all 10,000,000 shares of our class B common stock that are issued and outstanding, has indicated that it desires to convert all of its shares of our Class B common stock into shares of our Class A common stock and intends to exercise its conversion right with respect to all 10,000,000 Class B shares as soon as practicable following approval and filing of the proposed second amended and restated certificate of incorporation.</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Each share of our class B common stock entitles its holder to ten votes with respect to the election of directors, while each share of our Class A common stock entitles its holder to one vote with respect to the election of directors. Otherwise, rights of holders of our Class B common stock are the same as those of holders of our Class A common stock, other than the rights of holders of Class B common stock with respect to conversion matters and voting separately as a class on certain amendments to the certificate of incorporation. Conversion of all of our outstanding shares of class B common stock by NL would eliminate the dual-class voting structure with respect to election of directors, provide equal voting rights with respect to the election of directors for all shares of common stock, and provide uniform and equivalent corporate governance rights to all holders of our common stock. The rights of holders of Class A common stock would not otherwise be affected.</w:t>
      </w:r>
    </w:p>
    <w:p>
      <w:pPr>
        <w:spacing w:after="0" w:line="20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proposed second amended and restated charter would also delete former Article Four, Paragraph (B)(viii), which provided for the reclassification of shares of the common stock upon effectiveness of the restated certificate of incorporation in 1998. This provision is now inapplicable.</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description in this proxy statement of the proposed amendments to our certificate of incorporation is qualified in its entirety by reference to, and should be read in conjunction with, the full text of the proposed second amended and restated certificate of incorporation attached to this proxy statement as </w:t>
      </w:r>
      <w:r>
        <w:rPr>
          <w:rFonts w:ascii="Arial" w:cs="Arial" w:eastAsia="Arial" w:hAnsi="Arial"/>
          <w:sz w:val="18"/>
          <w:szCs w:val="18"/>
          <w:b w:val="1"/>
          <w:bCs w:val="1"/>
          <w:color w:val="auto"/>
        </w:rPr>
        <w:t>Exhibit A</w:t>
      </w:r>
      <w:r>
        <w:rPr>
          <w:rFonts w:ascii="Arial" w:cs="Arial" w:eastAsia="Arial" w:hAnsi="Arial"/>
          <w:sz w:val="18"/>
          <w:szCs w:val="18"/>
          <w:color w:val="auto"/>
        </w:rPr>
        <w:t>, which reflects the proposed amendments.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Voting Requirements</w:t>
      </w:r>
      <w:r>
        <w:rPr>
          <w:rFonts w:ascii="Arial" w:cs="Arial" w:eastAsia="Arial" w:hAnsi="Arial"/>
          <w:sz w:val="18"/>
          <w:szCs w:val="18"/>
          <w:color w:val="auto"/>
        </w:rPr>
        <w:t>. The approval of our second amended and restated certificate of incorporation requires the affirmative vote of the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majority of the outstanding shares of the class A and B common stock, voting together as a single class. NL has indicated its intention to have its shares of our common stock represented at the meeting and to vote such shares FOR our second amended and restated certificate of incorporation. If NL attends the meeting in person or by proxy and votes as indicated, the meeting will have a quorum present and the stockholders will approve our second amended and restated certificate of incorporation.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OUR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PROPOSAL 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p>
      <w:pPr>
        <w:jc w:val="center"/>
        <w:ind w:right="-7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knows of no other business that will be presented for consideration at the annual meeting. If any other matters properly come before the meeting, the persons designated as agents in the enclosed proxy card will vote on such matters in their discretion.</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2017 ANNUAL REPORT ON FORM 10-K</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 xml:space="preserve">A copy of our Annual Report on Form 10-K for the fiscal year ended December 31, 2017 is included as part of the annual report mailed to our stockholders with this proxy statement and may also be accessed on our website at </w:t>
      </w:r>
      <w:r>
        <w:rPr>
          <w:rFonts w:ascii="Arial" w:cs="Arial" w:eastAsia="Arial" w:hAnsi="Arial"/>
          <w:sz w:val="18"/>
          <w:szCs w:val="18"/>
          <w:i w:val="1"/>
          <w:iCs w:val="1"/>
          <w:color w:val="auto"/>
        </w:rPr>
        <w:t>www.compx.com</w:t>
      </w:r>
      <w:r>
        <w:rPr>
          <w:rFonts w:ascii="Arial" w:cs="Arial" w:eastAsia="Arial" w:hAnsi="Arial"/>
          <w:sz w:val="18"/>
          <w:szCs w:val="18"/>
          <w:color w:val="auto"/>
        </w:rPr>
        <w:t>.</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STOCKHOLDERS SHARING THE SAME ADDRESS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Stockholders who share an address and hold shares through a brokerage firm or other nominee may receive only one copy of the proxy materials. This procedure, referred to as householding, reduces the volume of duplicate information stockholders receive and reduces mailing and printing expenses. A number of brokerage firms have instituted householding. You should notify your brokerage firm or other nominee if:</w:t>
      </w:r>
    </w:p>
    <w:p>
      <w:pPr>
        <w:spacing w:after="0" w:line="166"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you no longer wish to participate in householding and would prefer to receive separate proxy materials; or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you receive multiple copies of the proxy materials at your address and would like to request householding of our communications.</w:t>
      </w: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REQUEST COPIES OF THE 2017 ANNUAL REPORT AND THIS PROXY STATEMENT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obtain copies of our 2017 Annual Report to Stockholders or this proxy statement without charge, please mail your request to the attention of Jane R. Grimm, corporate secretary, at CompX International Inc., Three Lincoln Centre, 5430 LBJ Freeway, Suite 1700, Dallas, Texas 75240-2697, or call her at 972.233.1700.</w:t>
      </w:r>
    </w:p>
    <w:p>
      <w:pPr>
        <w:spacing w:after="0" w:line="177"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w:t>
      </w:r>
      <w:r>
        <w:rPr>
          <w:rFonts w:ascii="Arial" w:cs="Arial" w:eastAsia="Arial" w:hAnsi="Arial"/>
          <w:sz w:val="18"/>
          <w:szCs w:val="18"/>
          <w:b w:val="1"/>
          <w:bCs w:val="1"/>
          <w:color w:val="auto"/>
        </w:rPr>
        <w:t>X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April 18, 2018</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(Original Certificate of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August 4, 1993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name National Cabinet Lock, Inc.)</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ONE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CompX International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TWO</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1209 Orange Street, County of New Castle, Wilmington, Delaware, 19801. The name of its registered agent at such address is The Corporation Trust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THREE</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nature of the business or purposes to be conducted or promoted is to engage in any lawful act or activity for which corporations may be organized under the DGCL.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FOUR</w:t>
      </w:r>
    </w:p>
    <w:p>
      <w:pPr>
        <w:spacing w:after="0" w:line="252" w:lineRule="exact"/>
        <w:rPr>
          <w:sz w:val="20"/>
          <w:szCs w:val="20"/>
          <w:color w:val="auto"/>
        </w:rPr>
      </w:pPr>
    </w:p>
    <w:p>
      <w:pPr>
        <w:jc w:val="both"/>
        <w:ind w:firstLine="656"/>
        <w:spacing w:after="0" w:line="276" w:lineRule="auto"/>
        <w:tabs>
          <w:tab w:leader="none" w:pos="1546"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Authorized Stock</w:t>
      </w:r>
      <w:r>
        <w:rPr>
          <w:rFonts w:ascii="Arial" w:cs="Arial" w:eastAsia="Arial" w:hAnsi="Arial"/>
          <w:sz w:val="17"/>
          <w:szCs w:val="17"/>
          <w:color w:val="auto"/>
        </w:rPr>
        <w:t>. The total number of shares of stock which the Corporation shall have authority to issue is thirty million (30,001,000) shares, consisting of (i) twenty million (20,000,000) shares of Class A Common Stock, par value $.01 per share (hereinafter referred to as "Class A Common Stock"), and ten million (10,000,000) shares of Class B Common Stock, par value $.01 per share (hereinafter referred to as "Class B Common Stock") (the Class A Common Stock and the Class B Common Stock being hereinafter collectively referred to as the "Common Stock"), and (ii) one thousand (1,000) shares of Preferred Stock, par value $.01 per share (hereinafter referred to as "Preferred Stock").</w:t>
      </w:r>
    </w:p>
    <w:p>
      <w:pPr>
        <w:spacing w:after="0" w:line="199" w:lineRule="exact"/>
        <w:rPr>
          <w:rFonts w:ascii="Arial" w:cs="Arial" w:eastAsia="Arial" w:hAnsi="Arial"/>
          <w:sz w:val="17"/>
          <w:szCs w:val="17"/>
          <w:color w:val="auto"/>
        </w:rPr>
      </w:pPr>
    </w:p>
    <w:p>
      <w:pPr>
        <w:ind w:firstLine="656"/>
        <w:spacing w:after="0" w:line="277" w:lineRule="auto"/>
        <w:tabs>
          <w:tab w:leader="none" w:pos="1536"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The following is a statement of the relative powers, preferences and participating, optional or other special rights, and the qualifications, limitations and restrictions of the Class A Common Stock and the Class B Common Stock of the Corporation:</w:t>
      </w:r>
    </w:p>
    <w:p>
      <w:pPr>
        <w:spacing w:after="0" w:line="197" w:lineRule="exact"/>
        <w:rPr>
          <w:rFonts w:ascii="Arial" w:cs="Arial" w:eastAsia="Arial" w:hAnsi="Arial"/>
          <w:sz w:val="18"/>
          <w:szCs w:val="18"/>
          <w:color w:val="auto"/>
        </w:rPr>
      </w:pPr>
    </w:p>
    <w:p>
      <w:pPr>
        <w:jc w:val="both"/>
        <w:ind w:left="660" w:firstLine="645"/>
        <w:spacing w:after="0" w:line="264" w:lineRule="auto"/>
        <w:tabs>
          <w:tab w:leader="none" w:pos="2126" w:val="left"/>
        </w:tabs>
        <w:numPr>
          <w:ilvl w:val="1"/>
          <w:numId w:val="86"/>
        </w:numPr>
        <w:rPr>
          <w:rFonts w:ascii="Arial" w:cs="Arial" w:eastAsia="Arial" w:hAnsi="Arial"/>
          <w:sz w:val="18"/>
          <w:szCs w:val="18"/>
          <w:color w:val="auto"/>
        </w:rPr>
      </w:pPr>
      <w:r>
        <w:rPr>
          <w:rFonts w:ascii="Arial" w:cs="Arial" w:eastAsia="Arial" w:hAnsi="Arial"/>
          <w:sz w:val="18"/>
          <w:szCs w:val="18"/>
          <w:color w:val="auto"/>
        </w:rPr>
        <w:t>Except as otherwise set forth in this Article Four, the relative powers, preferences and participating, optional or other special rights, and the qualifications, limitations and restrictions of the Class A Common Stock and the Class B Common Stock shall be identical in all respects.</w:t>
      </w:r>
    </w:p>
    <w:p>
      <w:pPr>
        <w:spacing w:after="0" w:line="208" w:lineRule="exact"/>
        <w:rPr>
          <w:rFonts w:ascii="Arial" w:cs="Arial" w:eastAsia="Arial" w:hAnsi="Arial"/>
          <w:sz w:val="18"/>
          <w:szCs w:val="18"/>
          <w:color w:val="auto"/>
        </w:rPr>
      </w:pPr>
    </w:p>
    <w:p>
      <w:pPr>
        <w:jc w:val="both"/>
        <w:ind w:left="660" w:firstLine="645"/>
        <w:spacing w:after="0" w:line="254" w:lineRule="auto"/>
        <w:tabs>
          <w:tab w:leader="none" w:pos="2176" w:val="left"/>
        </w:tabs>
        <w:numPr>
          <w:ilvl w:val="1"/>
          <w:numId w:val="86"/>
        </w:numPr>
        <w:rPr>
          <w:rFonts w:ascii="Arial" w:cs="Arial" w:eastAsia="Arial" w:hAnsi="Arial"/>
          <w:sz w:val="18"/>
          <w:szCs w:val="18"/>
          <w:color w:val="auto"/>
        </w:rPr>
      </w:pPr>
      <w:r>
        <w:rPr>
          <w:rFonts w:ascii="Arial" w:cs="Arial" w:eastAsia="Arial" w:hAnsi="Arial"/>
          <w:sz w:val="18"/>
          <w:szCs w:val="18"/>
          <w:color w:val="auto"/>
        </w:rPr>
        <w:t>Subject to the rights of holders of Preferred Stock, and subject to any other provisions of this Certificate of Incorporation, holders of Class A Common Stock and Class B Common Stock shall be entitled to receive such dividends and other distributions in cash, stock or property of the Corporation as may be declared thereon by the Board of Directors from time to time out of assets or funds of the Corporation legally available therefor. If any dividend or other distribution in cash or other property is paid with respect to Class A Common Stock or with respect to Class B Common Stock, a like dividend or other distribution in cash or other property shall also be paid with respect to shares of the other class of Common Stock, in an amount equal per share. Neither the shares of Class A Common Stock nor the shares of Class B Common Stock may be reclassified, subdivided or combined unless such reclassification, subdivision or combination occurs simultaneously and in the same proportion for each class.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jc w:val="both"/>
        <w:ind w:firstLine="648"/>
        <w:spacing w:after="0" w:line="271" w:lineRule="auto"/>
        <w:rPr>
          <w:sz w:val="20"/>
          <w:szCs w:val="20"/>
          <w:color w:val="auto"/>
        </w:rPr>
      </w:pPr>
      <w:r>
        <w:rPr>
          <w:rFonts w:ascii="Arial" w:cs="Arial" w:eastAsia="Arial" w:hAnsi="Arial"/>
          <w:sz w:val="17"/>
          <w:szCs w:val="17"/>
          <w:color w:val="auto"/>
        </w:rPr>
        <w:t>(iii) (a) At each meeting of the stockholders of the Corporation, each holder of Common Stock shall be entitled to one vote in person or by proxy for each share of Class A Common Stock or Class B Common Stock standing in his or her name on the transfer books of the Corporation, except in connection with the election of directors, in which case each holder of Class A Common Stock shall be entitled to one vote in person or by proxy for each share of Class A Common Stock standing in his or her name on the transfer books of the Corporation and each holder of Class B Common Stock shall be entitled to ten votes in person or by proxy for each share of Class B Common Stock standing in his or her name on the transfer books of the Corporation. Except as may be otherwise required by law or by this Article Four, the holders of Class A Common Stock and Class B Common Stock shall vote together as a single class, subject to any voting rights which may be granted to holders of Preferred Stock, on all matters submitted to a vote of stockholders of the Corporation.</w:t>
      </w:r>
    </w:p>
    <w:p>
      <w:pPr>
        <w:spacing w:after="0" w:line="206" w:lineRule="exact"/>
        <w:rPr>
          <w:sz w:val="20"/>
          <w:szCs w:val="20"/>
          <w:color w:val="auto"/>
        </w:rPr>
      </w:pPr>
    </w:p>
    <w:p>
      <w:pPr>
        <w:jc w:val="both"/>
        <w:ind w:firstLine="1293"/>
        <w:spacing w:after="0" w:line="269" w:lineRule="auto"/>
        <w:tabs>
          <w:tab w:leader="none" w:pos="2155" w:val="left"/>
        </w:tabs>
        <w:numPr>
          <w:ilvl w:val="1"/>
          <w:numId w:val="87"/>
        </w:numPr>
        <w:rPr>
          <w:rFonts w:ascii="Arial" w:cs="Arial" w:eastAsia="Arial" w:hAnsi="Arial"/>
          <w:sz w:val="17"/>
          <w:szCs w:val="17"/>
          <w:color w:val="auto"/>
        </w:rPr>
      </w:pPr>
      <w:r>
        <w:rPr>
          <w:rFonts w:ascii="Arial" w:cs="Arial" w:eastAsia="Arial" w:hAnsi="Arial"/>
          <w:sz w:val="17"/>
          <w:szCs w:val="17"/>
          <w:color w:val="auto"/>
        </w:rPr>
        <w:t>Except as otherwise provided by law, and subject to any rights of the holders of Preferred Stock, the provisions of this Certificate of Incorporation shall not be modified, revised, altered or amended, repealed or rescinded in whole or in part, without the approval of a majority of the votes entitled to be cast by the holders of the Class A Common Stock and the Class B Common Stock, voting together as a single class; provided, however, that with respect to any proposed amendment of this Certificate of Incorporation which would alter or change the powers, preferences or special rights of the shares of Class A Common Stock or Class B Common Stock so as to affect them adversely, the approval of a majority of the votes entitled to be cast by the holders of the shares affected by the proposed amendment, voting separately as a class, shall be obtained in addition to the approval of a majority of the votes entitled to be cast by the holders of the Class A Common Stock and the Class B Common Stock voting together as a single class as hereinbefore provided. Any increase in the authorized number of shares of any class or classes of stock of the Corporation or creation, authorization or issuance of any securities convertible into, or warrants, options or similar rights to purchase, acquire or receive, shares of any such class or classes of stock shall be deemed not to affect adversely the powers, preferences or special rights of the shares of Class A Common Stock or Class B Common Stock.</w:t>
      </w:r>
    </w:p>
    <w:p>
      <w:pPr>
        <w:spacing w:after="0" w:line="209" w:lineRule="exact"/>
        <w:rPr>
          <w:rFonts w:ascii="Arial" w:cs="Arial" w:eastAsia="Arial" w:hAnsi="Arial"/>
          <w:sz w:val="17"/>
          <w:szCs w:val="17"/>
          <w:color w:val="auto"/>
        </w:rPr>
      </w:pPr>
    </w:p>
    <w:p>
      <w:pPr>
        <w:jc w:val="both"/>
        <w:ind w:firstLine="1293"/>
        <w:spacing w:after="0" w:line="264" w:lineRule="auto"/>
        <w:tabs>
          <w:tab w:leader="none" w:pos="2144" w:val="left"/>
        </w:tabs>
        <w:numPr>
          <w:ilvl w:val="1"/>
          <w:numId w:val="87"/>
        </w:numPr>
        <w:rPr>
          <w:rFonts w:ascii="Arial" w:cs="Arial" w:eastAsia="Arial" w:hAnsi="Arial"/>
          <w:sz w:val="18"/>
          <w:szCs w:val="18"/>
          <w:color w:val="auto"/>
        </w:rPr>
      </w:pPr>
      <w:r>
        <w:rPr>
          <w:rFonts w:ascii="Arial" w:cs="Arial" w:eastAsia="Arial" w:hAnsi="Arial"/>
          <w:sz w:val="18"/>
          <w:szCs w:val="18"/>
          <w:color w:val="auto"/>
        </w:rPr>
        <w:t>Each reference in this Certificate of Incorporation to a majority or other proportion of shares of Common Stock, Class A Common Stock or Class B Common Stock shall refer to such majority or other proportion of the votes to which such shares of Common Stock, Class A Common Stock or Class B Common Stock, as applicable, are entitled.</w:t>
      </w:r>
    </w:p>
    <w:p>
      <w:pPr>
        <w:spacing w:after="0" w:line="208" w:lineRule="exact"/>
        <w:rPr>
          <w:rFonts w:ascii="Arial" w:cs="Arial" w:eastAsia="Arial" w:hAnsi="Arial"/>
          <w:sz w:val="18"/>
          <w:szCs w:val="18"/>
          <w:color w:val="auto"/>
        </w:rPr>
      </w:pPr>
    </w:p>
    <w:p>
      <w:pPr>
        <w:jc w:val="both"/>
        <w:ind w:firstLine="645"/>
        <w:spacing w:after="0" w:line="271" w:lineRule="auto"/>
        <w:tabs>
          <w:tab w:leader="none" w:pos="1556"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 the event of any dissolution, liquidation or winding up of the affairs of the Corporation, whether voluntary or involuntary, after payment in full of the amounts required to be paid to the holders of Preferred Stock, the remaining assets and funds of the Corporation shall be distributed pro rata to the holders of Class A Common Stock and Class B Common Stock (and, for the avoidance of doubt, such distribution shall be irrespective of the difference in voting rights between such classes of stock). For purposes of this paragraph (B)(iv), the voluntary sale, conveyance, lease, exchange or transfer (for cash, shares of stock, securities or other consideration) of all or substantially all of the assets of the Corporation or a consolidation or merger of the Corporation with one or more other corporations or other Persons (whether or not the Corporation is the corporation surviving such consolidation or merger) shall not be deemed to be a liquidation, dissolution or winding up, voluntary or involuntary. For purposes hereof "Person" shall mean any individual, firm, corporation or other entity.</w:t>
      </w:r>
    </w:p>
    <w:p>
      <w:pPr>
        <w:spacing w:after="0" w:line="205" w:lineRule="exact"/>
        <w:rPr>
          <w:rFonts w:ascii="Arial" w:cs="Arial" w:eastAsia="Arial" w:hAnsi="Arial"/>
          <w:sz w:val="17"/>
          <w:szCs w:val="17"/>
          <w:color w:val="auto"/>
        </w:rPr>
      </w:pPr>
    </w:p>
    <w:p>
      <w:pPr>
        <w:jc w:val="both"/>
        <w:ind w:firstLine="645"/>
        <w:spacing w:after="0" w:line="285" w:lineRule="auto"/>
        <w:tabs>
          <w:tab w:leader="none" w:pos="1506"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Prior to a "Tax-Free Spin-Off" (as defined below), shares of Class B Common Stock may be transferred to (i) a member of the Contran Corporation Control Group (as defined in this paragraph (B)(v)(a) below) as Class B Common Stock or (ii) a Person (as defined in paragraph (B)(iv) above) outside the Contran Corporation Control Group in a transaction that is not a "Tax-Free Spin-Off" whereupon such shares of Class B Common Stock shall automatically be converted into shares of Class A Common Stock. A transfer of Class B Common Stock which results in such a conversion shall be effected by the presentation at the Office of the Secretary of the Corporation (or at such additional place or places as may from time to time be designated by the Secretary of the Corporation) of the certificate(s) for such shares, in proper form for transfer and accompanied by all requisite stock transfer tax stamps and of a written notice executed by the transferring member of the Contran Corporation Control Group which states that the shares evidenced by the certificate(s) presented should be converted into the same number of shares of Class A Common Stock and requesting that the Corporation issue all of such shares of Class A Common Stock to Person(s) named therein, setting forth the number of shares of Class A Common Stock to be issued to each such Person(s) and the denominations in which the certificates therefor are to be issued. To the extent permitted by law, such conversion shall be deemed to have been effected at the close of business on the date of such surrender. Following a Tax-Free Spin-Off, shares of Class B Common Stock shall no longer be convertible into shares of Class A Common Stock except as set forth in paragraph (B)(v)(b) below. For purposes hereof, a member of the Contran Corporation Control Group shall be Contran Corporation, a Delaware corporation, and any entity included in the affiliated group as defined in §1504 of the Internal Revenue Code, as amended from time to time (the "Code"), of which Contran Corporation or its successor is the common parent (such group being hereinafter referred to as "CCCG"). Any shares of Class B Common Stock transferred to any Person other than a member of the CCCG (other than in a Tax-Free Spin-Off) shall automatically convert into shares of Class A Common Stock. For purposes hereof, a "Tax-Free Spin-Off shall be any transfer effected in connection with a distribution of Class B Common Stock as a spin-off, split-up or split-off to stockholders of a member of the CCCG intended to be on a tax-free basis under the Code. For purposes of this paragraph (B)(v), a Tax-Free Spin-Off shall be deemed to have occurred at the time shares are first transferred to stockholders of a member of the CCCG who are not members of the CCCG, following receipt of an affidavit described in clause (2) of the first sentence of paragraph (B)(v)(d) below.</w:t>
      </w:r>
    </w:p>
    <w:p>
      <w:pPr>
        <w:spacing w:after="0" w:line="339" w:lineRule="exact"/>
        <w:rPr>
          <w:sz w:val="20"/>
          <w:szCs w:val="20"/>
          <w:color w:val="auto"/>
        </w:rPr>
      </w:pPr>
    </w:p>
    <w:p>
      <w:pPr>
        <w:ind w:left="4900"/>
        <w:spacing w:after="0"/>
        <w:rPr>
          <w:sz w:val="20"/>
          <w:szCs w:val="20"/>
          <w:color w:val="auto"/>
        </w:rPr>
      </w:pPr>
      <w:r>
        <w:rPr>
          <w:rFonts w:ascii="Arial" w:cs="Arial" w:eastAsia="Arial" w:hAnsi="Arial"/>
          <w:sz w:val="14"/>
          <w:szCs w:val="14"/>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368" w:right="239" w:bottom="1440" w:gutter="0" w:footer="0" w:header="0"/>
        </w:sectPr>
      </w:pPr>
    </w:p>
    <w:bookmarkStart w:id="45" w:name="page46"/>
    <w:bookmarkEnd w:id="45"/>
    <w:p>
      <w:pPr>
        <w:jc w:val="both"/>
        <w:ind w:left="4" w:firstLine="1293"/>
        <w:spacing w:after="0" w:line="268" w:lineRule="auto"/>
        <w:tabs>
          <w:tab w:leader="none" w:pos="2158"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 the event of a Tax-Free Spin-Off, shares of Class B Common Stock shall automatically convert into shares of Class A Common Stock on the fifth anniversary of the date on which shares of Class B Common Stock are first transferred to stockholders of a member of the CCCG in a Tax-Free Spin-Off unless, prior to such Tax-Free Spin-Off, the distributing member of the CCCG or its successor, as the case may be, delivers to the Corporation an opinion of counsel, reasonably satisfactory to the Corporation, to the effect that such conversion could adversely affect the ability of the distributing member of the CCCG, or its successor, as the case may be, to obtain a favorable ruling from the Internal Revenue Service (the "IRS") that the distribution would be a Tax-Free Spin-Off under the Code. If such an opinion is received, approval of such conversion shall be submitted to a vote of the holders of the Common Stock as soon as practicable after the fifth anniversary of the Tax-Free Spin-Off unless the distributing member of the CCCG or its successor, as the case may be, delivers to the Corporation an opinion of counsel, reasonably satisfactory to the Corporation, prior to such anniversary to the effect that such vote could adversely affect the status of the Tax-Free Spin-Off (including without limitation the ability to obtain a favorable ruling from the IRS); if such opinion is so delivered, such vote shall not be held. At the meeting of stockholders called for such purpose, each holder of Common Stock shall be entitled to one vote in person or by proxy for each share of Common Stock standing in his or her name on the transfer books of the Corporation. Approval of such conversion shall require the approval of a majority of the votes, on the per share voting basis provided in the preceding sentence, entitled to be cast by the holders of the Class A Common Stock and the Class B Common Stock present and voting, voting together as a single class, and the holders of the Class B Common Stock shall not be entitled to a separate class vote. Such conversion shall be effective on the date on which such approval is given at a meeting of stockholders called for such purpose.</w:t>
      </w:r>
    </w:p>
    <w:p>
      <w:pPr>
        <w:spacing w:after="0" w:line="208"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color w:val="auto"/>
        </w:rPr>
        <w:t>The Corporation will provide notice of any automatic conversion of all outstanding shares of Class B Common Stock to all holders of record of the Common Stock as soon as practicable following such conversion; provided, however, that the Corporation may satisfy such notice requirement by providing such notice prior to such conversion. Such notice shall be provided by mailing notice of such conversion first class postage prepaid, to each holder of record of the Common Stock at such holder's address as it appears on the transfer books of the Corporation; provided, further, that no failure to give such notice nor any defect therein shall affect the validity of the automatic conversion of any shares of Class B Common Stock. Each such notice shall state, as appropriate, the following:</w:t>
      </w:r>
    </w:p>
    <w:p>
      <w:pPr>
        <w:spacing w:after="0" w:line="220" w:lineRule="exact"/>
        <w:rPr>
          <w:sz w:val="20"/>
          <w:szCs w:val="20"/>
          <w:color w:val="auto"/>
        </w:rPr>
      </w:pPr>
    </w:p>
    <w:p>
      <w:pPr>
        <w:ind w:left="644" w:hanging="644"/>
        <w:spacing w:after="0"/>
        <w:tabs>
          <w:tab w:leader="none" w:pos="644"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automatic conversion date;</w:t>
      </w:r>
    </w:p>
    <w:p>
      <w:pPr>
        <w:spacing w:after="0" w:line="23" w:lineRule="exact"/>
        <w:rPr>
          <w:rFonts w:ascii="Arial" w:cs="Arial" w:eastAsia="Arial" w:hAnsi="Arial"/>
          <w:sz w:val="18"/>
          <w:szCs w:val="18"/>
          <w:color w:val="auto"/>
        </w:rPr>
      </w:pPr>
    </w:p>
    <w:p>
      <w:pPr>
        <w:ind w:left="644" w:hanging="644"/>
        <w:spacing w:after="0"/>
        <w:tabs>
          <w:tab w:leader="none" w:pos="644"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that all outstanding shares of Class B Common Stock are automatically converted;</w:t>
      </w:r>
    </w:p>
    <w:p>
      <w:pPr>
        <w:spacing w:after="0" w:line="9" w:lineRule="exact"/>
        <w:rPr>
          <w:rFonts w:ascii="Arial" w:cs="Arial" w:eastAsia="Arial" w:hAnsi="Arial"/>
          <w:sz w:val="18"/>
          <w:szCs w:val="18"/>
          <w:color w:val="auto"/>
        </w:rPr>
      </w:pPr>
    </w:p>
    <w:p>
      <w:pPr>
        <w:ind w:left="644" w:hanging="644"/>
        <w:spacing w:after="0"/>
        <w:tabs>
          <w:tab w:leader="none" w:pos="644"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place or places where certificates for such shares are to be surrendered for conversion; and</w:t>
      </w:r>
    </w:p>
    <w:p>
      <w:pPr>
        <w:spacing w:after="0" w:line="9" w:lineRule="exact"/>
        <w:rPr>
          <w:rFonts w:ascii="Arial" w:cs="Arial" w:eastAsia="Arial" w:hAnsi="Arial"/>
          <w:sz w:val="18"/>
          <w:szCs w:val="18"/>
          <w:color w:val="auto"/>
        </w:rPr>
      </w:pPr>
    </w:p>
    <w:p>
      <w:pPr>
        <w:ind w:left="644" w:hanging="644"/>
        <w:spacing w:after="0"/>
        <w:tabs>
          <w:tab w:leader="none" w:pos="644"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that no dividends of Class B Common Stock will be declared after such conversion date.</w:t>
      </w:r>
    </w:p>
    <w:p>
      <w:pPr>
        <w:spacing w:after="0" w:line="237" w:lineRule="exact"/>
        <w:rPr>
          <w:rFonts w:ascii="Arial" w:cs="Arial" w:eastAsia="Arial" w:hAnsi="Arial"/>
          <w:sz w:val="18"/>
          <w:szCs w:val="18"/>
          <w:color w:val="auto"/>
        </w:rPr>
      </w:pPr>
    </w:p>
    <w:p>
      <w:pPr>
        <w:jc w:val="both"/>
        <w:ind w:left="4" w:firstLine="1293"/>
        <w:spacing w:after="0" w:line="276" w:lineRule="auto"/>
        <w:tabs>
          <w:tab w:leader="none" w:pos="2148" w:val="left"/>
        </w:tabs>
        <w:numPr>
          <w:ilvl w:val="1"/>
          <w:numId w:val="90"/>
        </w:numPr>
        <w:rPr>
          <w:rFonts w:ascii="Arial" w:cs="Arial" w:eastAsia="Arial" w:hAnsi="Arial"/>
          <w:sz w:val="17"/>
          <w:szCs w:val="17"/>
          <w:color w:val="auto"/>
        </w:rPr>
      </w:pPr>
      <w:r>
        <w:rPr>
          <w:rFonts w:ascii="Arial" w:cs="Arial" w:eastAsia="Arial" w:hAnsi="Arial"/>
          <w:sz w:val="17"/>
          <w:szCs w:val="17"/>
          <w:color w:val="auto"/>
        </w:rPr>
        <w:t>Immediately upon any conversion of the Class B Common Stock into Class A Common Stock made pursuant to this Article Four, the rights of the holders of such shares of Class B Common Stock as such shall cease and such holders shall be treated for all purposes as having become the record owners of the shares of Class A Common Stock issuable upon such conversion; provided, however, that such Persons shall be entitled to receive when paid dividends, if any, declared on the Class B Common Stock as of a record date preceding the time of such conversion and unpaid as of the time of such conversion, subject to paragraph (B)(v)(g) below.</w:t>
      </w:r>
    </w:p>
    <w:p>
      <w:pPr>
        <w:spacing w:after="0" w:line="128" w:lineRule="exact"/>
        <w:rPr>
          <w:sz w:val="20"/>
          <w:szCs w:val="20"/>
          <w:color w:val="auto"/>
        </w:rPr>
      </w:pPr>
    </w:p>
    <w:p>
      <w:pPr>
        <w:ind w:left="4904"/>
        <w:spacing w:after="0"/>
        <w:rPr>
          <w:sz w:val="20"/>
          <w:szCs w:val="20"/>
          <w:color w:val="auto"/>
        </w:rPr>
      </w:pPr>
      <w:r>
        <w:rPr>
          <w:rFonts w:ascii="Arial" w:cs="Arial" w:eastAsia="Arial" w:hAnsi="Arial"/>
          <w:sz w:val="14"/>
          <w:szCs w:val="14"/>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368" w:right="239" w:bottom="1440" w:gutter="0" w:footer="0" w:header="0"/>
        </w:sectPr>
      </w:pPr>
    </w:p>
    <w:bookmarkStart w:id="46" w:name="page47"/>
    <w:bookmarkEnd w:id="46"/>
    <w:p>
      <w:pPr>
        <w:jc w:val="both"/>
        <w:ind w:firstLine="1293"/>
        <w:spacing w:after="0" w:line="257" w:lineRule="auto"/>
        <w:tabs>
          <w:tab w:leader="none" w:pos="2155" w:val="left"/>
        </w:tabs>
        <w:numPr>
          <w:ilvl w:val="1"/>
          <w:numId w:val="91"/>
        </w:numPr>
        <w:rPr>
          <w:rFonts w:ascii="Arial" w:cs="Arial" w:eastAsia="Arial" w:hAnsi="Arial"/>
          <w:sz w:val="18"/>
          <w:szCs w:val="18"/>
          <w:color w:val="auto"/>
        </w:rPr>
      </w:pPr>
      <w:r>
        <w:rPr>
          <w:rFonts w:ascii="Arial" w:cs="Arial" w:eastAsia="Arial" w:hAnsi="Arial"/>
          <w:sz w:val="18"/>
          <w:szCs w:val="18"/>
          <w:color w:val="auto"/>
        </w:rPr>
        <w:t>Prior to a Tax-Free Spin-Off, shares of Class B Common Stock may be freely transferred. Such shares of Class B Common Stock shall be transferred on the books of the Corporation and a new certificate therefor issued, upon presentation at the office of the Secretary of the Corporation (or at such additional place or places as may from time to time be designated by the Secretary of the Corporation) of the certificate for such shares, in proper form for transfer and accompanied by all requisite stock transfer tax stamps, only if such certificate when so presented shall also be accompanied by any one of the following:</w:t>
      </w:r>
    </w:p>
    <w:p>
      <w:pPr>
        <w:spacing w:after="0" w:line="215" w:lineRule="exact"/>
        <w:rPr>
          <w:rFonts w:ascii="Arial" w:cs="Arial" w:eastAsia="Arial" w:hAnsi="Arial"/>
          <w:sz w:val="18"/>
          <w:szCs w:val="18"/>
          <w:color w:val="auto"/>
        </w:rPr>
      </w:pPr>
    </w:p>
    <w:p>
      <w:pPr>
        <w:ind w:left="1300" w:hanging="655"/>
        <w:spacing w:after="0" w:line="277"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affidavit from the transferring member of the CCCG stating that such certificate is being presented to effect a transfer by the transferring member of the CCCG of such shares to another member of the CCCG; or</w:t>
      </w:r>
    </w:p>
    <w:p>
      <w:pPr>
        <w:spacing w:after="0" w:line="197" w:lineRule="exact"/>
        <w:rPr>
          <w:rFonts w:ascii="Arial" w:cs="Arial" w:eastAsia="Arial" w:hAnsi="Arial"/>
          <w:sz w:val="18"/>
          <w:szCs w:val="18"/>
          <w:color w:val="auto"/>
        </w:rPr>
      </w:pPr>
    </w:p>
    <w:p>
      <w:pPr>
        <w:jc w:val="both"/>
        <w:ind w:left="1300" w:hanging="655"/>
        <w:spacing w:after="0" w:line="264" w:lineRule="auto"/>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affidavit from the transferring member of the CCCG stating that such certificate is being presented to effect a transfer by the transferring member of the CCCG of such shares to the stockholders of a member of the CCCG in connection with a Tax-Free Spin-Off.</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affidavit of a record holder furnished pursuant to this paragraph (B)(v)(d) shall be verified as of a date not earlier than five days prior to the date of delivery thereof, and, where such record holder is a corporation or partnership, shall be verified by an officer of the corporation or by a general partner of the partnership, as the case may be.</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delivery by a record holder of shares of Class B Common Stock of a certificate for such shares, endorsed by him or her for transfer or accompanied by an instrument of transfer signed by him or her, to a Person who receives such shares in connection with and as security for a bona fide obligation, then such Person or any successive transferee of such certificate may treat such endorsement or instrument as authorizing him or her on behalf of such record holder to convert such shares for the purpose of the transfer to himself or herself of the shares of Class A Common Stock issuable upon such conversion, and to give on behalf of such record holder the written notice of conversion, and may convert such shares of Class B Common Stock accordingly.</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a record holder of shares of Class B Common Stock shall deliver a certificate for such shares, endorsed by him or her for transfer or accompanied by an instrument of transfer signed by him or her, to a Person who receives such shares in connection with a transfer which does not meet the qualifications set forth in this paragraph (B)(v)(d), then such Person or any successive transferee of such certificate may treat such endorsement or instrument as authorizing him or her on behalf of such record holder to convert such shares in the manner above provided for the purpose of the transfer to himself or herself of the shares of Class A Common Stock issuable upon such conversion, and to give on behalf of such record holder the written notice of conversion above required, and may convert such shares of Class B Common Stock accordingly.</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If such shares of Class B Common Stock shall improperly have been registered in the name of such a Person (or in the name of any successive transferee of such certificate) and a new certificate therefor issued, such Person or transferee shall surrender such new certificate for cancellation, accompanied by the written notice of conversion above required, in which case (1) such Person or transferee shall be deemed to have elected to treat the endorsement on (or instrument of transfer accompanying) the certificate so delivered by such former record holder as authorizing such Person or transferee on behalf of such former record holder so to convert such shares and so to give such notice, (2) the shares of Class B Common Stock registered in the name of such former record holder shall be deemed to have been surrendered for conversion for the purpose of the transfer to such Person or transferee of the shares of Class A Common Stock issuable upon conversion, and (3) the appropriate entries shall be made on the books of the Corporation to reflect such action. In the event that the Board of Directors of the Corporation (or any committee of the Board of Directors, or any officer of the Corporation, designated for the purpose by the Board of Directors) shall determine, upon the basis of facts not disclosed in any affidavit or other document accompanying the certificate for shares of Class B Common Stock when presented for transfer, that such shares of Class B Common Stock have been registered in violation of the provisions of this paragraph (B)(v), or shall determine that a Person is enjoying for his or her own benefit the special rights and powers of shares of Class B Common Stock in violation of such provisions, then the Corporation shall take such action at law or in equity as is appropriate under the circumstances. Without limiting the generality of the preceding sentence, an unforeclosed pledge made to secure a bona fide obligation shall not be deemed to violate such provisions.</w:t>
      </w:r>
    </w:p>
    <w:p>
      <w:pPr>
        <w:spacing w:after="0" w:line="127" w:lineRule="exact"/>
        <w:rPr>
          <w:sz w:val="20"/>
          <w:szCs w:val="20"/>
          <w:color w:val="auto"/>
        </w:rPr>
      </w:pPr>
    </w:p>
    <w:p>
      <w:pPr>
        <w:ind w:left="4900"/>
        <w:spacing w:after="0"/>
        <w:rPr>
          <w:sz w:val="20"/>
          <w:szCs w:val="20"/>
          <w:color w:val="auto"/>
        </w:rPr>
      </w:pPr>
      <w:r>
        <w:rPr>
          <w:rFonts w:ascii="Arial" w:cs="Arial" w:eastAsia="Arial" w:hAnsi="Arial"/>
          <w:sz w:val="14"/>
          <w:szCs w:val="14"/>
          <w:color w:val="auto"/>
        </w:rPr>
        <w:t>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368" w:right="239" w:bottom="1440" w:gutter="0" w:footer="0" w:header="0"/>
        </w:sectPr>
      </w:pPr>
    </w:p>
    <w:bookmarkStart w:id="47" w:name="page48"/>
    <w:bookmarkEnd w:id="47"/>
    <w:p>
      <w:pPr>
        <w:ind w:firstLine="1293"/>
        <w:spacing w:after="0" w:line="277" w:lineRule="auto"/>
        <w:tabs>
          <w:tab w:leader="none" w:pos="2144"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Prior to the occurrence of a Tax-Free Spin-Off, each certificate for shares of Class B Common Stock shall bear a legend on the face thereof reading as follows:</w:t>
      </w:r>
    </w:p>
    <w:p>
      <w:pPr>
        <w:spacing w:after="0" w:line="197"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"The transfer of shares of Class B Common Stock represented by this certificate prior to a Tax-Free Spin-Off will result in the automatic conversion of such shares into Class A Common Stock unless such shares of Class B Common Stock are transferred to a person or entity that meets the qualifications set forth in paragraph (B)(v) of Article Four of the Certificate of Incorporation of this corporation. Any person who receives such shares in connection with a transfer which does not meet the qualifications prescribed by said Article Four will become the registered record holder of such shares of Class A Common Stock. Each holder of this certificate, by accepting the same, accepts and agrees to all of the foregoing."</w:t>
      </w:r>
    </w:p>
    <w:p>
      <w:pPr>
        <w:spacing w:after="0" w:line="2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and after the transfer of shares of Class B Common Stock in a Tax-Free Spin-Off, shares of Class B Common Stock shall no longer bear the legend set forth above in this paragraph (B)(v)(e).</w:t>
      </w:r>
    </w:p>
    <w:p>
      <w:pPr>
        <w:spacing w:after="0" w:line="197" w:lineRule="exact"/>
        <w:rPr>
          <w:sz w:val="20"/>
          <w:szCs w:val="20"/>
          <w:color w:val="auto"/>
        </w:rPr>
      </w:pPr>
    </w:p>
    <w:p>
      <w:pPr>
        <w:jc w:val="both"/>
        <w:ind w:firstLine="1293"/>
        <w:spacing w:after="0" w:line="297" w:lineRule="auto"/>
        <w:tabs>
          <w:tab w:leader="none" w:pos="2125" w:val="left"/>
        </w:tabs>
        <w:numPr>
          <w:ilvl w:val="1"/>
          <w:numId w:val="94"/>
        </w:numPr>
        <w:rPr>
          <w:rFonts w:ascii="Arial" w:cs="Arial" w:eastAsia="Arial" w:hAnsi="Arial"/>
          <w:sz w:val="16"/>
          <w:szCs w:val="16"/>
          <w:color w:val="auto"/>
        </w:rPr>
      </w:pPr>
      <w:r>
        <w:rPr>
          <w:rFonts w:ascii="Arial" w:cs="Arial" w:eastAsia="Arial" w:hAnsi="Arial"/>
          <w:sz w:val="16"/>
          <w:szCs w:val="16"/>
          <w:color w:val="auto"/>
        </w:rPr>
        <w:t>Upon any conversion of shares of Class B Common Stock into shares of Class A Common Stock pursuant to the provisions of this paragraph (B)(v), any dividend, for which the record date or payment date shall be subsequent to such conversion, which may have been declared on the shares of Class B Common Stock so converted shall be deemed to have been declared, and shall be payable, with respect to the shares of Class A Common Stock into or for which such shares of Class B Common Stock shall have been so converted, and any such dividend which is a Common Stock dividend shall be deemed to have been declared, and shall be payable, in shares of Class A Common Stock.</w:t>
      </w:r>
    </w:p>
    <w:p>
      <w:pPr>
        <w:spacing w:after="0" w:line="185" w:lineRule="exact"/>
        <w:rPr>
          <w:rFonts w:ascii="Arial" w:cs="Arial" w:eastAsia="Arial" w:hAnsi="Arial"/>
          <w:sz w:val="16"/>
          <w:szCs w:val="16"/>
          <w:color w:val="auto"/>
        </w:rPr>
      </w:pPr>
    </w:p>
    <w:p>
      <w:pPr>
        <w:jc w:val="both"/>
        <w:ind w:firstLine="1293"/>
        <w:spacing w:after="0" w:line="273" w:lineRule="auto"/>
        <w:tabs>
          <w:tab w:leader="none" w:pos="2155"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Corporation shall not reissue or resell any shares of Class B Common Stock which shall have been converted into shares of Class A Common Stock pursuant to or as permitted by the provisions of this paragraph (B)(v), or any shares of Class B Common Stock which shall have been acquired by the Corporation in any other manner. The Corporation shall, from time to time, take such appropriate action as may be necessary to retire such shares and to reduce the authorized amount of Class B Common Stock accordingly. The Corporation shall at all times reserve and keep available, out of its authorized but unissued Common Stock, such number of shares of Class A Common Stock as would become issuable upon the conversion of all shares of Class B Common Stock then outstanding.</w:t>
      </w:r>
    </w:p>
    <w:p>
      <w:pPr>
        <w:spacing w:after="0" w:line="205" w:lineRule="exact"/>
        <w:rPr>
          <w:rFonts w:ascii="Arial" w:cs="Arial" w:eastAsia="Arial" w:hAnsi="Arial"/>
          <w:sz w:val="17"/>
          <w:szCs w:val="17"/>
          <w:color w:val="auto"/>
        </w:rPr>
      </w:pPr>
    </w:p>
    <w:p>
      <w:pPr>
        <w:ind w:right="20" w:firstLine="1293"/>
        <w:spacing w:after="0" w:line="277" w:lineRule="auto"/>
        <w:tabs>
          <w:tab w:leader="none" w:pos="2155"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 connection with any transfer or conversion of any stock of the Corporation pursuant to or as permitted by the provisions of this paragraph (B)(v) or in connection with the making of any determination referred to in this paragraph (B)(v):</w:t>
      </w:r>
    </w:p>
    <w:p>
      <w:pPr>
        <w:spacing w:after="0" w:line="197" w:lineRule="exact"/>
        <w:rPr>
          <w:rFonts w:ascii="Arial" w:cs="Arial" w:eastAsia="Arial" w:hAnsi="Arial"/>
          <w:sz w:val="18"/>
          <w:szCs w:val="18"/>
          <w:color w:val="auto"/>
        </w:rPr>
      </w:pPr>
    </w:p>
    <w:p>
      <w:pPr>
        <w:jc w:val="both"/>
        <w:ind w:left="640" w:firstLine="5"/>
        <w:spacing w:after="0" w:line="272" w:lineRule="auto"/>
        <w:tabs>
          <w:tab w:leader="none" w:pos="1498"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Corporation shall be under no obligation to make any investigation of facts unless an officer, employee or agent of the Corporation responsible for making such transfer or determination or issuing Class A Common Stock pursuant to such conversion has substantial reason to believe, or unless the Board of Directors (or a committee of the Board of Directors designated for the purpose) determines that there is substantial reason to believe, that any affidavit or other document is incomplete or incorrect in a material respect or that an investigation would disclose facts upon which any determination referred to in paragraph (B)(v) above should be made, in either of which events the Corporation shall make or cause to be made such investigation as it may deem necessary or desirable in the circumstances and have a reasonable time to complete such investigation; and</w:t>
      </w:r>
    </w:p>
    <w:p>
      <w:pPr>
        <w:spacing w:after="0" w:line="204" w:lineRule="exact"/>
        <w:rPr>
          <w:rFonts w:ascii="Arial" w:cs="Arial" w:eastAsia="Arial" w:hAnsi="Arial"/>
          <w:sz w:val="17"/>
          <w:szCs w:val="17"/>
          <w:color w:val="auto"/>
        </w:rPr>
      </w:pPr>
    </w:p>
    <w:p>
      <w:pPr>
        <w:ind w:left="640" w:firstLine="5"/>
        <w:spacing w:after="0" w:line="277" w:lineRule="auto"/>
        <w:tabs>
          <w:tab w:leader="none" w:pos="1498" w:val="left"/>
        </w:tabs>
        <w:numPr>
          <w:ilvl w:val="0"/>
          <w:numId w:val="95"/>
        </w:numPr>
        <w:rPr>
          <w:rFonts w:ascii="Arial" w:cs="Arial" w:eastAsia="Arial" w:hAnsi="Arial"/>
          <w:sz w:val="18"/>
          <w:szCs w:val="18"/>
          <w:color w:val="auto"/>
        </w:rPr>
      </w:pPr>
      <w:r>
        <w:rPr>
          <w:rFonts w:ascii="Arial" w:cs="Arial" w:eastAsia="Arial" w:hAnsi="Arial"/>
          <w:sz w:val="18"/>
          <w:szCs w:val="18"/>
          <w:color w:val="auto"/>
        </w:rPr>
        <w:t>neither the Corporation nor any director, officer, employee or agent of the Corporation shall be liable in any manner for any action taken or omitted in good faith.</w:t>
      </w:r>
    </w:p>
    <w:p>
      <w:pPr>
        <w:spacing w:after="0" w:line="197" w:lineRule="exact"/>
        <w:rPr>
          <w:rFonts w:ascii="Arial" w:cs="Arial" w:eastAsia="Arial" w:hAnsi="Arial"/>
          <w:sz w:val="18"/>
          <w:szCs w:val="18"/>
          <w:color w:val="auto"/>
        </w:rPr>
      </w:pPr>
    </w:p>
    <w:p>
      <w:pPr>
        <w:jc w:val="both"/>
        <w:ind w:firstLine="1293"/>
        <w:spacing w:after="0" w:line="279" w:lineRule="auto"/>
        <w:tabs>
          <w:tab w:leader="none" w:pos="2115" w:val="left"/>
        </w:tabs>
        <w:numPr>
          <w:ilvl w:val="1"/>
          <w:numId w:val="95"/>
        </w:numPr>
        <w:rPr>
          <w:rFonts w:ascii="Arial" w:cs="Arial" w:eastAsia="Arial" w:hAnsi="Arial"/>
          <w:sz w:val="17"/>
          <w:szCs w:val="17"/>
          <w:color w:val="auto"/>
        </w:rPr>
      </w:pPr>
      <w:r>
        <w:rPr>
          <w:rFonts w:ascii="Arial" w:cs="Arial" w:eastAsia="Arial" w:hAnsi="Arial"/>
          <w:sz w:val="17"/>
          <w:szCs w:val="17"/>
          <w:color w:val="auto"/>
        </w:rPr>
        <w:t>The Corporation will not be required to pay any documentary, stamp or similar issue or transfer taxes payable in respect of the issue or delivery of shares of Class A Common Stock on the conversion of shares of Class B Common Stock pursuant to this paragraph (B)(v), and no such issue or delivery shall be made unless and until the person requesting such issue has paid to the Corporation the amount of any such tax or has established, to the satisfaction of the Corporation, that such tax has been paid.</w:t>
      </w:r>
    </w:p>
    <w:p>
      <w:pPr>
        <w:spacing w:after="0" w:line="127" w:lineRule="exact"/>
        <w:rPr>
          <w:sz w:val="20"/>
          <w:szCs w:val="20"/>
          <w:color w:val="auto"/>
        </w:rPr>
      </w:pPr>
    </w:p>
    <w:p>
      <w:pPr>
        <w:ind w:left="4900"/>
        <w:spacing w:after="0"/>
        <w:rPr>
          <w:sz w:val="20"/>
          <w:szCs w:val="20"/>
          <w:color w:val="auto"/>
        </w:rPr>
      </w:pPr>
      <w:r>
        <w:rPr>
          <w:rFonts w:ascii="Arial" w:cs="Arial" w:eastAsia="Arial" w:hAnsi="Arial"/>
          <w:sz w:val="14"/>
          <w:szCs w:val="14"/>
          <w:color w:val="auto"/>
        </w:rPr>
        <w:t>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368" w:right="239" w:bottom="1440" w:gutter="0" w:footer="0" w:header="0"/>
        </w:sectPr>
      </w:pPr>
    </w:p>
    <w:bookmarkStart w:id="48" w:name="page49"/>
    <w:bookmarkEnd w:id="48"/>
    <w:p>
      <w:pPr>
        <w:jc w:val="both"/>
        <w:ind w:left="660" w:firstLine="1293"/>
        <w:spacing w:after="0" w:line="271" w:lineRule="auto"/>
        <w:tabs>
          <w:tab w:leader="none" w:pos="2775" w:val="left"/>
        </w:tabs>
        <w:numPr>
          <w:ilvl w:val="2"/>
          <w:numId w:val="96"/>
        </w:numPr>
        <w:rPr>
          <w:rFonts w:ascii="Arial" w:cs="Arial" w:eastAsia="Arial" w:hAnsi="Arial"/>
          <w:sz w:val="17"/>
          <w:szCs w:val="17"/>
          <w:color w:val="auto"/>
        </w:rPr>
      </w:pPr>
      <w:r>
        <w:rPr>
          <w:rFonts w:ascii="Arial" w:cs="Arial" w:eastAsia="Arial" w:hAnsi="Arial"/>
          <w:sz w:val="17"/>
          <w:szCs w:val="17"/>
          <w:color w:val="auto"/>
        </w:rPr>
        <w:t>Prior to a Tax-Free Spin-Off, each holder of Class B Common Stock shall have the right, at its option, exercisable at any time and from time to time to convert any or all of such holder's shares of Class B Common Stock into the same number of shares of Class A Common Stock. The conversion right of a holder of Class B Common Stock pursuant to this paragraph (B)(v)(j) shall be exercised by surrender to the Office of the Secretary of the Corporation (or at such additional place or places as may from time to time be designated by the Secretary of the Corporation) of the certificates representing shares to be converted, accompanied by written notice in form reasonably satisfactory to the Corporation that the holder elects to convert all or a portion of the shares of Class B Common Stock represented by such certificate and specifying the number of shares to be converted, and by all requisite stock transfer stamps. To the extent permitted by law, such conversion shall be deemed to have been effected at the close of business on the date of such surrender.</w:t>
      </w:r>
    </w:p>
    <w:p>
      <w:pPr>
        <w:spacing w:after="0" w:line="205" w:lineRule="exact"/>
        <w:rPr>
          <w:rFonts w:ascii="Arial" w:cs="Arial" w:eastAsia="Arial" w:hAnsi="Arial"/>
          <w:sz w:val="17"/>
          <w:szCs w:val="17"/>
          <w:color w:val="auto"/>
        </w:rPr>
      </w:pPr>
    </w:p>
    <w:p>
      <w:pPr>
        <w:jc w:val="both"/>
        <w:ind w:left="660" w:right="20" w:firstLine="645"/>
        <w:spacing w:after="0" w:line="264" w:lineRule="auto"/>
        <w:tabs>
          <w:tab w:leader="none" w:pos="2216"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rights to vote and all voting power (including, without limitation thereto, the right to elect directors) shall be vested exclusively in the holders of Common Stock, voting together as a single class, except as otherwise expressly provided in this Certificate of Incorporation, in a Preferred Stock Designation or as otherwise expressly required by applicable law.</w:t>
      </w:r>
    </w:p>
    <w:p>
      <w:pPr>
        <w:spacing w:after="0" w:line="208" w:lineRule="exact"/>
        <w:rPr>
          <w:rFonts w:ascii="Arial" w:cs="Arial" w:eastAsia="Arial" w:hAnsi="Arial"/>
          <w:sz w:val="18"/>
          <w:szCs w:val="18"/>
          <w:color w:val="auto"/>
        </w:rPr>
      </w:pPr>
    </w:p>
    <w:p>
      <w:pPr>
        <w:ind w:left="2260" w:hanging="955"/>
        <w:spacing w:after="0"/>
        <w:tabs>
          <w:tab w:leader="none" w:pos="22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No stockholder shall be entitled to exercise any right of cumulative voting.</w:t>
      </w:r>
    </w:p>
    <w:p>
      <w:pPr>
        <w:spacing w:after="0" w:line="252" w:lineRule="exact"/>
        <w:rPr>
          <w:rFonts w:ascii="Arial" w:cs="Arial" w:eastAsia="Arial" w:hAnsi="Arial"/>
          <w:sz w:val="18"/>
          <w:szCs w:val="18"/>
          <w:color w:val="auto"/>
        </w:rPr>
      </w:pPr>
    </w:p>
    <w:p>
      <w:pPr>
        <w:jc w:val="both"/>
        <w:ind w:firstLine="656"/>
        <w:spacing w:after="0" w:line="273" w:lineRule="auto"/>
        <w:tabs>
          <w:tab w:leader="none" w:pos="1536"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Preferred Stock</w:t>
      </w:r>
      <w:r>
        <w:rPr>
          <w:rFonts w:ascii="Arial" w:cs="Arial" w:eastAsia="Arial" w:hAnsi="Arial"/>
          <w:sz w:val="17"/>
          <w:szCs w:val="17"/>
          <w:color w:val="auto"/>
        </w:rPr>
        <w:t>. The Board of Directors is expressly authorized, at any time and from time to time, to provide for the issuance of shares of Preferred Stock in one or more series with such designations, preferences and relative, participating, optional or other special rights, and such qualifications, limitations or restrictions thereof, as shall be expressed in the resolution or resolutions providing for the issuance thereof adopted by the Board of Directors (a "Preferred Stock Designation") and as are not inconsistent with this Certificate of Incorporation or any amendment hereto, and as may be permitted by the DGCL. Except as otherwise expressly required by law and except for such voting powers as may be stated in the Preferred Stock Designation relating to any series of Preferred Stock, the holders of any such series shall not have voting power whatsoever.</w:t>
      </w:r>
    </w:p>
    <w:p>
      <w:pPr>
        <w:spacing w:after="0" w:line="205" w:lineRule="exact"/>
        <w:rPr>
          <w:rFonts w:ascii="Arial" w:cs="Arial" w:eastAsia="Arial" w:hAnsi="Arial"/>
          <w:sz w:val="17"/>
          <w:szCs w:val="17"/>
          <w:color w:val="auto"/>
        </w:rPr>
      </w:pPr>
    </w:p>
    <w:p>
      <w:pPr>
        <w:jc w:val="both"/>
        <w:ind w:firstLine="656"/>
        <w:spacing w:after="0" w:line="312" w:lineRule="auto"/>
        <w:tabs>
          <w:tab w:leader="none" w:pos="1546"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Record Holders</w:t>
      </w:r>
      <w:r>
        <w:rPr>
          <w:rFonts w:ascii="Arial" w:cs="Arial" w:eastAsia="Arial" w:hAnsi="Arial"/>
          <w:sz w:val="16"/>
          <w:szCs w:val="16"/>
          <w:color w:val="auto"/>
        </w:rPr>
        <w:t>. The Corporation shall be entitled to treat the Person (as defined in paragraph (B)(iv) of Article Four) in whose name any share of its stock is registered as the owner thereof for all purposes and shall not be bound to recognize any equitable or other claim to, or interest in, such share on the part of any other Person, whether or not the Corporation shall have notice thereof, except as expressly provided by applicable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FIVE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furtherance and not in limitation of the powers conferred by statute, the Board of Directors of the Corporation is expressly authorized to make, alter or repeal the Bylaws of the Corporation.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SIX</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Corporation shall, to the fullest extent permitted by law, including Section 145 of the DGCL, as the same may be amended and supplemented, indemnify any and all officers and directors whom it shall have power to indemnify under said section from and against any and all of the expenses, liabilities, or other matters referred to in or covered by said Section,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trustee, fiduciary or agent and shall inure to the benefit of the heirs, executors, and administrators of such a person.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SEVEN</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 director of the Corporation shall be personally liable to the Corporation or its stockholders for monetary damages for breach of fiduciary duty as a director;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clause shall not apply to any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Any repeal or modification of this Article Nine by the stockholders of the Corporation shall not adversely affect an right or protection of a director of the Corporation existing at the time of such repeal or modification.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u w:val="single" w:color="auto"/>
          <w:color w:val="auto"/>
        </w:rPr>
        <w:t>ARTICLE EIGHT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 expressly elects not to be governed by Section 203 of the DGCL.</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NINE</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Whenever a compromise or arrangement is proposed between the Corporation and its creditors or any class of them and/or between the Corporation and its stockholders or any class of them, any court of equitable jurisdiction with the State of Delaware may, on the application in a summary way of the Corporation or of any creditor or stockholder thereof or on the application of any receiver or receivers appointed for the Corporation under the provisions of Section 291 of the DGCL or on the application of trustees in dissolution or of any receiver or receivers appointed for the Corporation under the provisions of Section 279 of the DGCL order a meeting of the creditors or class of creditors, and/or of the stockholders or class of stockholders of the Corporation, as the case may be, to be summoned in such manner as the said court directs. If a majority in number representing three-fourths in value of the creditors or class of creditors, and/or of the stockholders or class of stockholders of the Corporation, as the case may be, agree to any compromise or arrangement and to any reorganization of the Corporation as a consequence of such compromise or arrangement, the said compromise or arrangement and said reorganization shall, if sanctioned by the court to which the said application has been made, be binding on all creditors or class of creditors, and/or on all the stockholders or class of stockholders, of the Corporation, as the case may be, and also on the Corporation.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TEN</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Corporation reserves the right to amend, alter, change or repeal any provision contained in this Certificate of Incorporation in the manner now or hereafter prescribed herein and by the laws of the State of Delaware, and all rights conferred upon stockholders herein are granted subject to this reservation.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ectPr>
          <w:pgSz w:w="11900" w:h="16838" w:orient="portrait"/>
          <w:cols w:equalWidth="0" w:num="1">
            <w:col w:w="9019"/>
          </w:cols>
          <w:pgMar w:left="1440" w:top="1440" w:right="1440" w:bottom="1440" w:gutter="0" w:footer="0" w:header="0"/>
        </w:sectPr>
      </w:pP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Lincoln Centre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5430 LBJ Freeway, Suite 1700</w:t>
      </w:r>
    </w:p>
    <w:p>
      <w:pPr>
        <w:spacing w:after="0" w:line="32"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Dallas, Texas 75240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2697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426085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22"/>
          <w:szCs w:val="22"/>
          <w:color w:val="auto"/>
        </w:rPr>
        <w:t>Preliminary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779780</wp:posOffset>
            </wp:positionV>
            <wp:extent cx="1166495" cy="3257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664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CompX International Inc.</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PROXY SOLICITED ON BEHALF OF THE BOARD OF DIRECTORS OF COMPX INTERNATIONAL</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 FOR THE ANNUAL MEETING OF STOCKHOLDERS TO BE HELD MAY 23, 2018</w:t>
      </w:r>
    </w:p>
    <w:p>
      <w:pPr>
        <w:spacing w:after="0" w:line="238"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The undersigned hereby appoints Scott C. James, James W. Brown and Jane R. Grimm, and each of them, proxy for the undersigned, with full power of substitution, to vote on behalf of the undersigned at the 2018 Annual Meeting of Stockholders (the "Meeting") of CompX International Inc., a Delaware corporation ("CompX"), to be held at CompX's corporate offices at Three Lincoln Centre, 5430 LBJ Freeway, Suite 1700, Dallas, Texas 75240-2697 on Wednesday, May 23, 2018, at 10:00 a.m. (local time), and at any adjournment or postponement of the Meeting, all of the shares of class A and B common stock, par value $0.01 per share, of CompX standing in the name of the undersigned or that the undersigned may be entitled to vote on the proposals set forth, and in the manner directed, on this proxy card.</w:t>
      </w:r>
    </w:p>
    <w:p>
      <w:pPr>
        <w:spacing w:after="0" w:line="216"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THIS PROXY AUTHORIZATION MAY BE REVOKED AS SET FORTH IN THE PROXY STATEMENT</w:t>
      </w:r>
    </w:p>
    <w:p>
      <w:pPr>
        <w:spacing w:after="0" w:line="252"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THAT ACCOMPANIED THIS PROXY CARD.</w:t>
      </w:r>
    </w:p>
    <w:p>
      <w:pPr>
        <w:spacing w:after="0" w:line="252"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b w:val="1"/>
          <w:bCs w:val="1"/>
          <w:color w:val="auto"/>
        </w:rPr>
        <w:t>The agents named on this proxy card, if this card is properly executed, will vote in the manner directed on this card. If this card is properly executed but no direction is given with respect to the election of one or more nominees named on the reverse side of this card or proposal 2 or 3, the agents will vote "FOR" each such nominee for election as a director and "FOR" proposals 2 and 3. To the extent allowed by applicable law, the agents will vote in their discretion on any other matter that may properly come before the Meeting and any adjournment or postponement thereof.</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SIGN, DATE AND MAIL THIS PROXY CARD PROMPTLY IN THE ENCLOSED ENVELOPE.</w:t>
      </w: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SEE REVERSE SIDE.</w:t>
      </w:r>
    </w:p>
    <w:p>
      <w:pPr>
        <w:spacing w:after="0" w:line="252"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FOLD AND DETACH HERE AND READ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Stockholder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 to Be Held on May 23, 2018.</w:t>
      </w:r>
    </w:p>
    <w:p>
      <w:pPr>
        <w:spacing w:after="0" w:line="234"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 xml:space="preserve">The proxy statement and annual report to stockholders (including CompX's Annual Report on Form 10-K for the fiscal year ended December 31, 2017) are available at </w:t>
      </w:r>
      <w:r>
        <w:rPr>
          <w:rFonts w:ascii="Arial" w:cs="Arial" w:eastAsia="Arial" w:hAnsi="Arial"/>
          <w:sz w:val="18"/>
          <w:szCs w:val="18"/>
          <w:b w:val="1"/>
          <w:bCs w:val="1"/>
          <w:u w:val="single" w:color="auto"/>
          <w:color w:val="auto"/>
        </w:rPr>
        <w:t>http://www.viewproxy.com/CompX/2018</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2" w:name="page53"/>
    <w:bookmarkEnd w:id="52"/>
    <w:p>
      <w:pPr>
        <w:spacing w:after="0" w:line="62" w:lineRule="exact"/>
        <w:rPr>
          <w:sz w:val="20"/>
          <w:szCs w:val="20"/>
          <w:color w:val="auto"/>
        </w:rPr>
      </w:pPr>
    </w:p>
    <w:p>
      <w:pPr>
        <w:jc w:val="right"/>
        <w:spacing w:after="0" w:line="207" w:lineRule="exact"/>
        <w:rPr>
          <w:sz w:val="20"/>
          <w:szCs w:val="20"/>
          <w:color w:val="auto"/>
        </w:rPr>
      </w:pPr>
      <w:r>
        <w:rPr>
          <w:rFonts w:ascii="Arial" w:cs="Arial" w:eastAsia="Arial" w:hAnsi="Arial"/>
          <w:sz w:val="18"/>
          <w:szCs w:val="18"/>
          <w:color w:val="auto"/>
        </w:rPr>
        <w:t xml:space="preserve">Please mark your vote like this </w:t>
      </w:r>
      <w:r>
        <w:rPr>
          <w:rFonts w:ascii="MS PGothic" w:cs="MS PGothic" w:eastAsia="MS PGothic" w:hAnsi="MS PGothic"/>
          <w:sz w:val="18"/>
          <w:szCs w:val="18"/>
          <w:color w:val="231F20"/>
        </w:rPr>
        <w:t>☒</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of the nominees listed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 2.</w:t>
      </w:r>
    </w:p>
    <w:p>
      <w:pPr>
        <w:sectPr>
          <w:pgSz w:w="11900" w:h="16900" w:orient="portrait"/>
          <w:cols w:equalWidth="0" w:num="1">
            <w:col w:w="11420"/>
          </w:cols>
          <w:pgMar w:left="240" w:top="45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1. Director Nominees:</w:t>
            </w:r>
          </w:p>
        </w:tc>
        <w:tc>
          <w:tcPr>
            <w:tcW w:w="1520" w:type="dxa"/>
            <w:vAlign w:val="bottom"/>
            <w:vMerge w:val="restart"/>
          </w:tcPr>
          <w:p>
            <w:pPr>
              <w:ind w:left="6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80" w:type="dxa"/>
            <w:vAlign w:val="bottom"/>
            <w:vMerge w:val="restart"/>
          </w:tcPr>
          <w:p>
            <w:pPr>
              <w:ind w:left="30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c>
          <w:tcPr>
            <w:tcW w:w="0" w:type="dxa"/>
            <w:vAlign w:val="bottom"/>
          </w:tcPr>
          <w:p>
            <w:pPr>
              <w:spacing w:after="0"/>
              <w:rPr>
                <w:sz w:val="1"/>
                <w:szCs w:val="1"/>
                <w:color w:val="auto"/>
              </w:rPr>
            </w:pPr>
          </w:p>
        </w:tc>
      </w:tr>
      <w:tr>
        <w:trPr>
          <w:trHeight w:val="183"/>
        </w:trPr>
        <w:tc>
          <w:tcPr>
            <w:tcW w:w="2320" w:type="dxa"/>
            <w:vAlign w:val="bottom"/>
          </w:tcPr>
          <w:p>
            <w:pPr>
              <w:spacing w:after="0" w:line="183" w:lineRule="exact"/>
              <w:rPr>
                <w:sz w:val="20"/>
                <w:szCs w:val="20"/>
                <w:color w:val="auto"/>
              </w:rPr>
            </w:pPr>
            <w:r>
              <w:rPr>
                <w:rFonts w:ascii="Arial" w:cs="Arial" w:eastAsia="Arial" w:hAnsi="Arial"/>
                <w:sz w:val="18"/>
                <w:szCs w:val="18"/>
                <w:color w:val="auto"/>
              </w:rPr>
              <w:t>01. Thomas E. Barry</w:t>
            </w:r>
          </w:p>
        </w:tc>
        <w:tc>
          <w:tcPr>
            <w:tcW w:w="152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02. David A. Bowers</w:t>
            </w:r>
          </w:p>
        </w:tc>
        <w:tc>
          <w:tcPr>
            <w:tcW w:w="1520" w:type="dxa"/>
            <w:vAlign w:val="bottom"/>
          </w:tcPr>
          <w:p>
            <w:pPr>
              <w:ind w:left="6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8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03. Loretta J. Feehan</w:t>
            </w:r>
          </w:p>
        </w:tc>
        <w:tc>
          <w:tcPr>
            <w:tcW w:w="1520" w:type="dxa"/>
            <w:vAlign w:val="bottom"/>
          </w:tcPr>
          <w:p>
            <w:pPr>
              <w:ind w:left="6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8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c>
          <w:tcPr>
            <w:tcW w:w="0" w:type="dxa"/>
            <w:vAlign w:val="bottom"/>
          </w:tcPr>
          <w:p>
            <w:pPr>
              <w:spacing w:after="0"/>
              <w:rPr>
                <w:sz w:val="1"/>
                <w:szCs w:val="1"/>
                <w:color w:val="auto"/>
              </w:rPr>
            </w:pPr>
          </w:p>
        </w:tc>
      </w:t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04. Robert D. Graham</w:t>
            </w:r>
          </w:p>
        </w:tc>
        <w:tc>
          <w:tcPr>
            <w:tcW w:w="1520" w:type="dxa"/>
            <w:vAlign w:val="bottom"/>
          </w:tcPr>
          <w:p>
            <w:pPr>
              <w:ind w:left="6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8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c>
          <w:tcPr>
            <w:tcW w:w="0" w:type="dxa"/>
            <w:vAlign w:val="bottom"/>
          </w:tcPr>
          <w:p>
            <w:pPr>
              <w:spacing w:after="0"/>
              <w:rPr>
                <w:sz w:val="1"/>
                <w:szCs w:val="1"/>
                <w:color w:val="auto"/>
              </w:rPr>
            </w:pPr>
          </w:p>
        </w:tc>
      </w:tr>
      <w:tr>
        <w:trPr>
          <w:trHeight w:val="432"/>
        </w:trPr>
        <w:tc>
          <w:tcPr>
            <w:tcW w:w="2320" w:type="dxa"/>
            <w:vAlign w:val="bottom"/>
          </w:tcPr>
          <w:p>
            <w:pPr>
              <w:spacing w:after="0"/>
              <w:rPr>
                <w:sz w:val="20"/>
                <w:szCs w:val="20"/>
                <w:color w:val="auto"/>
              </w:rPr>
            </w:pPr>
            <w:r>
              <w:rPr>
                <w:rFonts w:ascii="Arial" w:cs="Arial" w:eastAsia="Arial" w:hAnsi="Arial"/>
                <w:sz w:val="18"/>
                <w:szCs w:val="18"/>
                <w:color w:val="auto"/>
              </w:rPr>
              <w:t>05. Terri L. Herrington</w:t>
            </w:r>
          </w:p>
        </w:tc>
        <w:tc>
          <w:tcPr>
            <w:tcW w:w="1520" w:type="dxa"/>
            <w:vAlign w:val="bottom"/>
          </w:tcPr>
          <w:p>
            <w:pPr>
              <w:ind w:left="6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8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c>
          <w:tcPr>
            <w:tcW w:w="0" w:type="dxa"/>
            <w:vAlign w:val="bottom"/>
          </w:tcPr>
          <w:p>
            <w:pPr>
              <w:spacing w:after="0"/>
              <w:rPr>
                <w:sz w:val="1"/>
                <w:szCs w:val="1"/>
                <w:color w:val="auto"/>
              </w:rPr>
            </w:pPr>
          </w:p>
        </w:tc>
      </w:tr>
      <w:tr>
        <w:trPr>
          <w:trHeight w:val="392"/>
        </w:trPr>
        <w:tc>
          <w:tcPr>
            <w:tcW w:w="2320" w:type="dxa"/>
            <w:vAlign w:val="bottom"/>
          </w:tcPr>
          <w:p>
            <w:pPr>
              <w:spacing w:after="0"/>
              <w:rPr>
                <w:sz w:val="20"/>
                <w:szCs w:val="20"/>
                <w:color w:val="auto"/>
              </w:rPr>
            </w:pPr>
            <w:r>
              <w:rPr>
                <w:rFonts w:ascii="Arial" w:cs="Arial" w:eastAsia="Arial" w:hAnsi="Arial"/>
                <w:sz w:val="18"/>
                <w:szCs w:val="18"/>
                <w:color w:val="auto"/>
              </w:rPr>
              <w:t>06. Ann Manix</w:t>
            </w:r>
          </w:p>
        </w:tc>
        <w:tc>
          <w:tcPr>
            <w:tcW w:w="1520" w:type="dxa"/>
            <w:vAlign w:val="bottom"/>
          </w:tcPr>
          <w:p>
            <w:pPr>
              <w:ind w:left="6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8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0"/>
                <w:szCs w:val="20"/>
                <w:color w:val="auto"/>
              </w:rPr>
            </w:pPr>
            <w:r>
              <w:rPr>
                <w:rFonts w:ascii="Arial" w:cs="Arial" w:eastAsia="Arial" w:hAnsi="Arial"/>
                <w:sz w:val="18"/>
                <w:szCs w:val="18"/>
                <w:color w:val="auto"/>
              </w:rPr>
              <w:t>07. Cecil H. Moore, Jr.</w:t>
            </w:r>
          </w:p>
        </w:tc>
        <w:tc>
          <w:tcPr>
            <w:tcW w:w="1520" w:type="dxa"/>
            <w:vAlign w:val="bottom"/>
          </w:tcPr>
          <w:p>
            <w:pPr>
              <w:ind w:left="6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8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c>
          <w:tcPr>
            <w:tcW w:w="0" w:type="dxa"/>
            <w:vAlign w:val="bottom"/>
          </w:tcPr>
          <w:p>
            <w:pPr>
              <w:spacing w:after="0"/>
              <w:rPr>
                <w:sz w:val="1"/>
                <w:szCs w:val="1"/>
                <w:color w:val="auto"/>
              </w:rPr>
            </w:pPr>
          </w:p>
        </w:tc>
      </w:t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08. Mary A. Tidlund</w:t>
            </w:r>
          </w:p>
        </w:tc>
        <w:tc>
          <w:tcPr>
            <w:tcW w:w="1520" w:type="dxa"/>
            <w:vAlign w:val="bottom"/>
          </w:tcPr>
          <w:p>
            <w:pPr>
              <w:ind w:left="6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80" w:type="dxa"/>
            <w:vAlign w:val="bottom"/>
          </w:tcPr>
          <w:p>
            <w:pPr>
              <w:ind w:left="30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231F20"/>
        </w:rPr>
        <w:t>DO NOT PRINT IN THIS AREA</w:t>
      </w:r>
    </w:p>
    <w:p>
      <w:pPr>
        <w:spacing w:after="0" w:line="2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231F20"/>
        </w:rPr>
        <w:t>(Shareholder Name &amp; Address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86" w:hanging="186"/>
        <w:spacing w:after="0"/>
        <w:tabs>
          <w:tab w:leader="none" w:pos="186" w:val="left"/>
        </w:tabs>
        <w:numPr>
          <w:ilvl w:val="0"/>
          <w:numId w:val="99"/>
        </w:numPr>
        <w:rPr>
          <w:rFonts w:ascii="Arial" w:cs="Arial" w:eastAsia="Arial" w:hAnsi="Arial"/>
          <w:sz w:val="16"/>
          <w:szCs w:val="16"/>
          <w:color w:val="auto"/>
        </w:rPr>
      </w:pPr>
      <w:r>
        <w:rPr>
          <w:rFonts w:ascii="Arial" w:cs="Arial" w:eastAsia="Arial" w:hAnsi="Arial"/>
          <w:sz w:val="16"/>
          <w:szCs w:val="16"/>
          <w:color w:val="auto"/>
        </w:rPr>
        <w:t>Say-on-Pay, nonbinding advisory vote approving executive compensation</w:t>
      </w:r>
    </w:p>
    <w:p>
      <w:pPr>
        <w:spacing w:after="0" w:line="46" w:lineRule="exact"/>
        <w:rPr>
          <w:rFonts w:ascii="Arial" w:cs="Arial" w:eastAsia="Arial" w:hAnsi="Arial"/>
          <w:sz w:val="16"/>
          <w:szCs w:val="16"/>
          <w:color w:val="auto"/>
        </w:rPr>
      </w:pPr>
    </w:p>
    <w:p>
      <w:pPr>
        <w:ind w:left="1746" w:hanging="211"/>
        <w:spacing w:after="0" w:line="207" w:lineRule="exact"/>
        <w:tabs>
          <w:tab w:leader="none" w:pos="1746" w:val="left"/>
        </w:tabs>
        <w:numPr>
          <w:ilvl w:val="1"/>
          <w:numId w:val="99"/>
        </w:numPr>
        <w:rPr>
          <w:rFonts w:ascii="MS PGothic" w:cs="MS PGothic" w:eastAsia="MS PGothic" w:hAnsi="MS PGothic"/>
          <w:sz w:val="18"/>
          <w:szCs w:val="18"/>
          <w:color w:val="231F20"/>
        </w:rPr>
      </w:pPr>
      <w:r>
        <w:rPr>
          <w:rFonts w:ascii="Arial" w:cs="Arial" w:eastAsia="Arial" w:hAnsi="Arial"/>
          <w:sz w:val="18"/>
          <w:szCs w:val="18"/>
          <w:color w:val="231F20"/>
        </w:rPr>
        <w:t xml:space="preserve">FOR </w:t>
      </w:r>
      <w:r>
        <w:rPr>
          <w:rFonts w:ascii="MS PGothic" w:cs="MS PGothic" w:eastAsia="MS PGothic" w:hAnsi="MS PGothic"/>
          <w:sz w:val="18"/>
          <w:szCs w:val="18"/>
          <w:color w:val="231F20"/>
        </w:rPr>
        <w:t>☐</w:t>
      </w:r>
      <w:r>
        <w:rPr>
          <w:rFonts w:ascii="Arial" w:cs="Arial" w:eastAsia="Arial" w:hAnsi="Arial"/>
          <w:sz w:val="18"/>
          <w:szCs w:val="18"/>
          <w:color w:val="231F20"/>
        </w:rPr>
        <w:t xml:space="preserve"> AGAINST </w:t>
      </w:r>
      <w:r>
        <w:rPr>
          <w:rFonts w:ascii="MS PGothic" w:cs="MS PGothic" w:eastAsia="MS PGothic" w:hAnsi="MS PGothic"/>
          <w:sz w:val="18"/>
          <w:szCs w:val="18"/>
          <w:color w:val="231F20"/>
        </w:rPr>
        <w:t>☐</w:t>
      </w:r>
      <w:r>
        <w:rPr>
          <w:rFonts w:ascii="Arial" w:cs="Arial" w:eastAsia="Arial" w:hAnsi="Arial"/>
          <w:sz w:val="18"/>
          <w:szCs w:val="18"/>
          <w:color w:val="231F20"/>
        </w:rPr>
        <w:t xml:space="preserve"> ABSTAIN</w:t>
      </w:r>
    </w:p>
    <w:p>
      <w:pPr>
        <w:spacing w:after="0" w:line="10" w:lineRule="exact"/>
        <w:rPr>
          <w:rFonts w:ascii="MS PGothic" w:cs="MS PGothic" w:eastAsia="MS PGothic" w:hAnsi="MS PGothic"/>
          <w:sz w:val="18"/>
          <w:szCs w:val="18"/>
          <w:color w:val="231F20"/>
        </w:rPr>
      </w:pPr>
    </w:p>
    <w:p>
      <w:pPr>
        <w:ind w:left="186" w:hanging="186"/>
        <w:spacing w:after="0"/>
        <w:tabs>
          <w:tab w:leader="none" w:pos="186" w:val="left"/>
        </w:tabs>
        <w:numPr>
          <w:ilvl w:val="0"/>
          <w:numId w:val="99"/>
        </w:numPr>
        <w:rPr>
          <w:rFonts w:ascii="Arial" w:cs="Arial" w:eastAsia="Arial" w:hAnsi="Arial"/>
          <w:sz w:val="18"/>
          <w:szCs w:val="18"/>
          <w:color w:val="231F20"/>
        </w:rPr>
      </w:pPr>
      <w:r>
        <w:rPr>
          <w:rFonts w:ascii="Arial" w:cs="Arial" w:eastAsia="Arial" w:hAnsi="Arial"/>
          <w:sz w:val="18"/>
          <w:szCs w:val="18"/>
          <w:color w:val="231F20"/>
        </w:rPr>
        <w:t>Second Amendment and Restatement of Certificate of Incorporation</w:t>
      </w:r>
    </w:p>
    <w:p>
      <w:pPr>
        <w:spacing w:after="0" w:line="7" w:lineRule="exact"/>
        <w:rPr>
          <w:rFonts w:ascii="Arial" w:cs="Arial" w:eastAsia="Arial" w:hAnsi="Arial"/>
          <w:sz w:val="18"/>
          <w:szCs w:val="18"/>
          <w:color w:val="231F20"/>
        </w:rPr>
      </w:pPr>
    </w:p>
    <w:p>
      <w:pPr>
        <w:ind w:left="1746" w:hanging="211"/>
        <w:spacing w:after="0" w:line="207" w:lineRule="exact"/>
        <w:tabs>
          <w:tab w:leader="none" w:pos="1746" w:val="left"/>
        </w:tabs>
        <w:numPr>
          <w:ilvl w:val="1"/>
          <w:numId w:val="99"/>
        </w:numPr>
        <w:rPr>
          <w:rFonts w:ascii="MS PGothic" w:cs="MS PGothic" w:eastAsia="MS PGothic" w:hAnsi="MS PGothic"/>
          <w:sz w:val="18"/>
          <w:szCs w:val="18"/>
          <w:color w:val="231F20"/>
        </w:rPr>
      </w:pPr>
      <w:r>
        <w:rPr>
          <w:rFonts w:ascii="Arial" w:cs="Arial" w:eastAsia="Arial" w:hAnsi="Arial"/>
          <w:sz w:val="18"/>
          <w:szCs w:val="18"/>
          <w:color w:val="231F20"/>
        </w:rPr>
        <w:t xml:space="preserve">FOR </w:t>
      </w:r>
      <w:r>
        <w:rPr>
          <w:rFonts w:ascii="MS PGothic" w:cs="MS PGothic" w:eastAsia="MS PGothic" w:hAnsi="MS PGothic"/>
          <w:sz w:val="18"/>
          <w:szCs w:val="18"/>
          <w:color w:val="231F20"/>
        </w:rPr>
        <w:t>☐</w:t>
      </w:r>
      <w:r>
        <w:rPr>
          <w:rFonts w:ascii="Arial" w:cs="Arial" w:eastAsia="Arial" w:hAnsi="Arial"/>
          <w:sz w:val="18"/>
          <w:szCs w:val="18"/>
          <w:color w:val="231F20"/>
        </w:rPr>
        <w:t xml:space="preserve"> AGAINST </w:t>
      </w:r>
      <w:r>
        <w:rPr>
          <w:rFonts w:ascii="MS PGothic" w:cs="MS PGothic" w:eastAsia="MS PGothic" w:hAnsi="MS PGothic"/>
          <w:sz w:val="18"/>
          <w:szCs w:val="18"/>
          <w:color w:val="231F20"/>
        </w:rPr>
        <w:t>☐</w:t>
      </w:r>
      <w:r>
        <w:rPr>
          <w:rFonts w:ascii="Arial" w:cs="Arial" w:eastAsia="Arial" w:hAnsi="Arial"/>
          <w:sz w:val="18"/>
          <w:szCs w:val="18"/>
          <w:color w:val="231F20"/>
        </w:rPr>
        <w:t xml:space="preserve"> ABSTAIN</w:t>
      </w:r>
    </w:p>
    <w:p>
      <w:pPr>
        <w:spacing w:after="0" w:line="10" w:lineRule="exact"/>
        <w:rPr>
          <w:rFonts w:ascii="MS PGothic" w:cs="MS PGothic" w:eastAsia="MS PGothic" w:hAnsi="MS PGothic"/>
          <w:sz w:val="18"/>
          <w:szCs w:val="18"/>
          <w:color w:val="231F20"/>
        </w:rPr>
      </w:pPr>
    </w:p>
    <w:p>
      <w:pPr>
        <w:ind w:left="126" w:right="140" w:hanging="126"/>
        <w:spacing w:after="0" w:line="254" w:lineRule="auto"/>
        <w:tabs>
          <w:tab w:leader="none" w:pos="175" w:val="left"/>
        </w:tabs>
        <w:numPr>
          <w:ilvl w:val="0"/>
          <w:numId w:val="99"/>
        </w:numPr>
        <w:rPr>
          <w:rFonts w:ascii="Arial" w:cs="Arial" w:eastAsia="Arial" w:hAnsi="Arial"/>
          <w:sz w:val="18"/>
          <w:szCs w:val="18"/>
          <w:color w:val="231F20"/>
        </w:rPr>
      </w:pPr>
      <w:r>
        <w:rPr>
          <w:rFonts w:ascii="Arial" w:cs="Arial" w:eastAsia="Arial" w:hAnsi="Arial"/>
          <w:sz w:val="18"/>
          <w:szCs w:val="18"/>
          <w:color w:val="231F20"/>
        </w:rPr>
        <w:t>In their discretion, the proxies are authorized to vote upon such other business as may properly come before the Meeting and any adjournment or postponement thereof.</w:t>
      </w:r>
    </w:p>
    <w:p>
      <w:pPr>
        <w:spacing w:after="0" w:line="200" w:lineRule="exact"/>
        <w:rPr>
          <w:sz w:val="20"/>
          <w:szCs w:val="20"/>
          <w:color w:val="auto"/>
        </w:rPr>
      </w:pPr>
    </w:p>
    <w:p>
      <w:pPr>
        <w:spacing w:after="0" w:line="242" w:lineRule="exact"/>
        <w:rPr>
          <w:sz w:val="20"/>
          <w:szCs w:val="20"/>
          <w:color w:val="auto"/>
        </w:rPr>
      </w:pPr>
    </w:p>
    <w:tbl>
      <w:tblPr>
        <w:tblLayout w:type="fixed"/>
        <w:tblInd w:w="6" w:type="dxa"/>
        <w:tblCellMar>
          <w:top w:w="0" w:type="dxa"/>
          <w:left w:w="0" w:type="dxa"/>
          <w:bottom w:w="0" w:type="dxa"/>
          <w:right w:w="0" w:type="dxa"/>
        </w:tblCellMar>
      </w:tblPr>
      <w:tr>
        <w:trPr>
          <w:trHeight w:val="283"/>
        </w:trPr>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20" w:type="dxa"/>
            <w:vAlign w:val="bottom"/>
            <w:gridSpan w:val="2"/>
          </w:tcPr>
          <w:p>
            <w:pPr>
              <w:jc w:val="right"/>
              <w:spacing w:after="0" w:line="207" w:lineRule="exact"/>
              <w:rPr>
                <w:sz w:val="20"/>
                <w:szCs w:val="20"/>
                <w:color w:val="auto"/>
              </w:rPr>
            </w:pPr>
            <w:r>
              <w:rPr>
                <w:rFonts w:ascii="Arial" w:cs="Arial" w:eastAsia="Arial" w:hAnsi="Arial"/>
                <w:sz w:val="18"/>
                <w:szCs w:val="18"/>
                <w:color w:val="231F20"/>
              </w:rPr>
              <w:t xml:space="preserve">WILL ATTEND THE MEETING </w:t>
            </w:r>
            <w:r>
              <w:rPr>
                <w:rFonts w:ascii="MS PGothic" w:cs="MS PGothic" w:eastAsia="MS PGothic" w:hAnsi="MS PGothic"/>
                <w:sz w:val="18"/>
                <w:szCs w:val="18"/>
                <w:color w:val="231F20"/>
              </w:rPr>
              <w:t>☐</w:t>
            </w:r>
          </w:p>
        </w:tc>
      </w:tr>
      <w:tr>
        <w:trPr>
          <w:trHeight w:val="615"/>
        </w:trPr>
        <w:tc>
          <w:tcPr>
            <w:tcW w:w="420" w:type="dxa"/>
            <w:vAlign w:val="bottom"/>
          </w:tcPr>
          <w:p>
            <w:pPr>
              <w:spacing w:after="0"/>
              <w:rPr>
                <w:sz w:val="20"/>
                <w:szCs w:val="20"/>
                <w:color w:val="auto"/>
              </w:rPr>
            </w:pPr>
            <w:r>
              <w:rPr>
                <w:rFonts w:ascii="Arial" w:cs="Arial" w:eastAsia="Arial" w:hAnsi="Arial"/>
                <w:sz w:val="18"/>
                <w:szCs w:val="18"/>
                <w:color w:val="231F20"/>
              </w:rPr>
              <w:t>Date</w:t>
            </w:r>
          </w:p>
        </w:tc>
        <w:tc>
          <w:tcPr>
            <w:tcW w:w="1440" w:type="dxa"/>
            <w:vAlign w:val="bottom"/>
          </w:tcPr>
          <w:p>
            <w:pPr>
              <w:spacing w:after="0"/>
              <w:rPr>
                <w:sz w:val="24"/>
                <w:szCs w:val="24"/>
                <w:color w:val="auto"/>
              </w:rPr>
            </w:pPr>
          </w:p>
        </w:tc>
        <w:tc>
          <w:tcPr>
            <w:tcW w:w="3820" w:type="dxa"/>
            <w:vAlign w:val="bottom"/>
            <w:gridSpan w:val="2"/>
          </w:tcPr>
          <w:p>
            <w:pPr>
              <w:jc w:val="right"/>
              <w:ind w:right="220"/>
              <w:spacing w:after="0"/>
              <w:rPr>
                <w:sz w:val="20"/>
                <w:szCs w:val="20"/>
                <w:color w:val="auto"/>
              </w:rPr>
            </w:pPr>
            <w:r>
              <w:rPr>
                <w:rFonts w:ascii="Arial" w:cs="Arial" w:eastAsia="Arial" w:hAnsi="Arial"/>
                <w:sz w:val="18"/>
                <w:szCs w:val="18"/>
                <w:color w:val="231F20"/>
              </w:rPr>
              <w:t>,</w:t>
            </w:r>
          </w:p>
        </w:tc>
      </w:tr>
      <w:tr>
        <w:trPr>
          <w:trHeight w:val="20"/>
        </w:trPr>
        <w:tc>
          <w:tcPr>
            <w:tcW w:w="420" w:type="dxa"/>
            <w:vAlign w:val="bottom"/>
          </w:tcPr>
          <w:p>
            <w:pPr>
              <w:spacing w:after="0" w:line="20" w:lineRule="exact"/>
              <w:rPr>
                <w:sz w:val="1"/>
                <w:szCs w:val="1"/>
                <w:color w:val="auto"/>
              </w:rPr>
            </w:pPr>
          </w:p>
        </w:tc>
        <w:tc>
          <w:tcPr>
            <w:tcW w:w="1440" w:type="dxa"/>
            <w:vAlign w:val="bottom"/>
            <w:shd w:val="clear" w:color="auto" w:fill="231F20"/>
          </w:tcPr>
          <w:p>
            <w:pPr>
              <w:spacing w:after="0" w:line="20" w:lineRule="exact"/>
              <w:rPr>
                <w:sz w:val="1"/>
                <w:szCs w:val="1"/>
                <w:color w:val="auto"/>
              </w:rPr>
            </w:pPr>
          </w:p>
        </w:tc>
        <w:tc>
          <w:tcPr>
            <w:tcW w:w="3560" w:type="dxa"/>
            <w:vAlign w:val="bottom"/>
            <w:shd w:val="clear" w:color="auto" w:fill="231F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7"/>
        </w:trPr>
        <w:tc>
          <w:tcPr>
            <w:tcW w:w="1860" w:type="dxa"/>
            <w:vAlign w:val="bottom"/>
            <w:gridSpan w:val="2"/>
          </w:tcPr>
          <w:p>
            <w:pPr>
              <w:jc w:val="right"/>
              <w:ind w:right="1380"/>
              <w:spacing w:after="0"/>
              <w:rPr>
                <w:sz w:val="20"/>
                <w:szCs w:val="20"/>
                <w:color w:val="auto"/>
              </w:rPr>
            </w:pPr>
            <w:r>
              <w:rPr>
                <w:rFonts w:ascii="Arial" w:cs="Arial" w:eastAsia="Arial" w:hAnsi="Arial"/>
                <w:sz w:val="18"/>
                <w:szCs w:val="18"/>
                <w:color w:val="231F20"/>
              </w:rPr>
              <w:t>2018</w:t>
            </w:r>
          </w:p>
        </w:tc>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432"/>
        </w:trPr>
        <w:tc>
          <w:tcPr>
            <w:tcW w:w="1860" w:type="dxa"/>
            <w:vAlign w:val="bottom"/>
            <w:gridSpan w:val="2"/>
          </w:tcPr>
          <w:p>
            <w:pPr>
              <w:spacing w:after="0"/>
              <w:rPr>
                <w:sz w:val="20"/>
                <w:szCs w:val="20"/>
                <w:color w:val="auto"/>
              </w:rPr>
            </w:pPr>
            <w:r>
              <w:rPr>
                <w:rFonts w:ascii="Arial" w:cs="Arial" w:eastAsia="Arial" w:hAnsi="Arial"/>
                <w:sz w:val="18"/>
                <w:szCs w:val="18"/>
                <w:color w:val="231F20"/>
              </w:rPr>
              <w:t>Signature</w:t>
            </w:r>
          </w:p>
        </w:tc>
        <w:tc>
          <w:tcPr>
            <w:tcW w:w="35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-565150</wp:posOffset>
            </wp:positionV>
            <wp:extent cx="7246620" cy="19894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9894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
        <w:spacing w:after="0"/>
        <w:rPr>
          <w:sz w:val="20"/>
          <w:szCs w:val="20"/>
          <w:color w:val="auto"/>
        </w:rPr>
      </w:pPr>
      <w:r>
        <w:rPr>
          <w:rFonts w:ascii="Arial" w:cs="Arial" w:eastAsia="Arial" w:hAnsi="Arial"/>
          <w:sz w:val="18"/>
          <w:szCs w:val="18"/>
          <w:color w:val="231F20"/>
        </w:rPr>
        <w:t>Signature</w:t>
      </w:r>
    </w:p>
    <w:p>
      <w:pPr>
        <w:spacing w:after="0" w:line="36" w:lineRule="exact"/>
        <w:rPr>
          <w:sz w:val="20"/>
          <w:szCs w:val="20"/>
          <w:color w:val="auto"/>
        </w:rPr>
      </w:pPr>
    </w:p>
    <w:p>
      <w:pPr>
        <w:ind w:left="6" w:right="140"/>
        <w:spacing w:after="0" w:line="257" w:lineRule="auto"/>
        <w:rPr>
          <w:sz w:val="20"/>
          <w:szCs w:val="20"/>
          <w:color w:val="auto"/>
        </w:rPr>
      </w:pPr>
      <w:r>
        <w:rPr>
          <w:rFonts w:ascii="Arial" w:cs="Arial" w:eastAsia="Arial" w:hAnsi="Arial"/>
          <w:sz w:val="18"/>
          <w:szCs w:val="18"/>
          <w:color w:val="231F20"/>
        </w:rPr>
        <w:t>Note: Please sign exactly as the name that appears on this card. Joint owners should each sign. When signing other than in an individual capacity, please fully describe such capacity. Each signatory hereby revokes all proxies heretofore given to vote at said Meeting and any adjournment or postponement thereof.</w:t>
      </w:r>
    </w:p>
    <w:p>
      <w:pPr>
        <w:spacing w:after="0" w:line="202" w:lineRule="exact"/>
        <w:rPr>
          <w:sz w:val="20"/>
          <w:szCs w:val="20"/>
          <w:color w:val="auto"/>
        </w:rPr>
      </w:pPr>
    </w:p>
    <w:p>
      <w:pPr>
        <w:ind w:left="6"/>
        <w:spacing w:after="0"/>
        <w:rPr>
          <w:sz w:val="20"/>
          <w:szCs w:val="20"/>
          <w:color w:val="auto"/>
        </w:rPr>
      </w:pPr>
      <w:r>
        <w:rPr>
          <w:rFonts w:ascii="Arial" w:cs="Arial" w:eastAsia="Arial" w:hAnsi="Arial"/>
          <w:sz w:val="18"/>
          <w:szCs w:val="18"/>
          <w:color w:val="231F20"/>
        </w:rPr>
        <w:t>Change of Address –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3610610" cy="3771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10610" cy="37719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5320" w:space="414"/>
            <w:col w:w="5686"/>
          </w:cols>
          <w:pgMar w:left="240" w:top="457" w:right="239" w:bottom="0" w:gutter="0" w:footer="0" w:header="0"/>
          <w:type w:val="continuous"/>
        </w:sectPr>
      </w:pPr>
    </w:p>
    <w:p>
      <w:pPr>
        <w:spacing w:after="0" w:line="38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9547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954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FOLD AND DETACH HERE AND READ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2794635</wp:posOffset>
            </wp:positionH>
            <wp:positionV relativeFrom="paragraph">
              <wp:posOffset>19685</wp:posOffset>
            </wp:positionV>
            <wp:extent cx="1444625" cy="167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44625" cy="167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231F20"/>
        </w:rPr>
        <w:t>PROXY VOTING INSTRUCTIONS</w:t>
      </w:r>
    </w:p>
    <w:p>
      <w:pPr>
        <w:spacing w:after="0" w:line="4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231F20"/>
        </w:rPr>
        <w:t>Please have your 11 digit control number ready when voting by Internet or Telephone.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790" w:type="dxa"/>
        <w:tblCellMar>
          <w:top w:w="0" w:type="dxa"/>
          <w:left w:w="0" w:type="dxa"/>
          <w:bottom w:w="0" w:type="dxa"/>
          <w:right w:w="0" w:type="dxa"/>
        </w:tblCellMar>
      </w:tblPr>
      <w:tr>
        <w:trPr>
          <w:trHeight w:val="1454"/>
        </w:trPr>
        <w:tc>
          <w:tcPr>
            <w:tcW w:w="1180" w:type="dxa"/>
            <w:vAlign w:val="bottom"/>
            <w:tcBorders>
              <w:top w:val="single" w:sz="8" w:color="auto"/>
              <w:left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2"/>
          </w:tcPr>
          <w:p>
            <w:pPr>
              <w:jc w:val="center"/>
              <w:ind w:left="915"/>
              <w:spacing w:after="0"/>
              <w:rPr>
                <w:sz w:val="20"/>
                <w:szCs w:val="20"/>
                <w:color w:val="auto"/>
              </w:rPr>
            </w:pPr>
            <w:r>
              <w:rPr>
                <w:rFonts w:ascii="Arial" w:cs="Arial" w:eastAsia="Arial" w:hAnsi="Arial"/>
                <w:sz w:val="108"/>
                <w:szCs w:val="108"/>
                <w:color w:val="231F20"/>
                <w:w w:val="99"/>
              </w:rPr>
              <w:t>(</w:t>
            </w:r>
          </w:p>
        </w:tc>
        <w:tc>
          <w:tcPr>
            <w:tcW w:w="1140" w:type="dxa"/>
            <w:vAlign w:val="bottom"/>
            <w:tcBorders>
              <w:top w:val="single" w:sz="8" w:color="auto"/>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580" w:type="dxa"/>
            <w:vAlign w:val="bottom"/>
            <w:tcBorders>
              <w:top w:val="single" w:sz="8" w:color="auto"/>
              <w:right w:val="single" w:sz="8" w:color="auto"/>
            </w:tcBorders>
          </w:tcPr>
          <w:p>
            <w:pPr>
              <w:spacing w:after="0"/>
              <w:rPr>
                <w:sz w:val="24"/>
                <w:szCs w:val="24"/>
                <w:color w:val="auto"/>
              </w:rPr>
            </w:pPr>
          </w:p>
        </w:tc>
      </w:tr>
      <w:tr>
        <w:trPr>
          <w:trHeight w:val="194"/>
        </w:trPr>
        <w:tc>
          <w:tcPr>
            <w:tcW w:w="1180" w:type="dxa"/>
            <w:vAlign w:val="bottom"/>
            <w:tcBorders>
              <w:left w:val="single" w:sz="8" w:color="auto"/>
            </w:tcBorders>
          </w:tcPr>
          <w:p>
            <w:pPr>
              <w:spacing w:after="0"/>
              <w:rPr>
                <w:sz w:val="16"/>
                <w:szCs w:val="16"/>
                <w:color w:val="auto"/>
              </w:rPr>
            </w:pPr>
          </w:p>
        </w:tc>
        <w:tc>
          <w:tcPr>
            <w:tcW w:w="940" w:type="dxa"/>
            <w:vAlign w:val="bottom"/>
          </w:tcPr>
          <w:p>
            <w:pPr>
              <w:jc w:val="center"/>
              <w:spacing w:after="0" w:line="194" w:lineRule="exact"/>
              <w:rPr>
                <w:sz w:val="20"/>
                <w:szCs w:val="20"/>
                <w:color w:val="auto"/>
              </w:rPr>
            </w:pPr>
            <w:r>
              <w:rPr>
                <w:rFonts w:ascii="Arial" w:cs="Arial" w:eastAsia="Arial" w:hAnsi="Arial"/>
                <w:sz w:val="18"/>
                <w:szCs w:val="18"/>
                <w:b w:val="1"/>
                <w:bCs w:val="1"/>
                <w:color w:val="231F20"/>
              </w:rPr>
              <w:t>INTERNET</w:t>
            </w:r>
          </w:p>
        </w:tc>
        <w:tc>
          <w:tcPr>
            <w:tcW w:w="800" w:type="dxa"/>
            <w:vAlign w:val="bottom"/>
            <w:tcBorders>
              <w:righ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gridSpan w:val="3"/>
          </w:tcPr>
          <w:p>
            <w:pPr>
              <w:jc w:val="center"/>
              <w:ind w:right="20"/>
              <w:spacing w:after="0" w:line="194" w:lineRule="exact"/>
              <w:rPr>
                <w:sz w:val="20"/>
                <w:szCs w:val="20"/>
                <w:color w:val="auto"/>
              </w:rPr>
            </w:pPr>
            <w:r>
              <w:rPr>
                <w:rFonts w:ascii="Arial" w:cs="Arial" w:eastAsia="Arial" w:hAnsi="Arial"/>
                <w:sz w:val="18"/>
                <w:szCs w:val="18"/>
                <w:b w:val="1"/>
                <w:bCs w:val="1"/>
                <w:color w:val="231F20"/>
              </w:rPr>
              <w:t>TELEPHONE</w:t>
            </w:r>
          </w:p>
        </w:tc>
        <w:tc>
          <w:tcPr>
            <w:tcW w:w="220" w:type="dxa"/>
            <w:vAlign w:val="bottom"/>
            <w:tcBorders>
              <w:right w:val="single" w:sz="8" w:color="auto"/>
            </w:tcBorders>
          </w:tcPr>
          <w:p>
            <w:pPr>
              <w:spacing w:after="0"/>
              <w:rPr>
                <w:sz w:val="16"/>
                <w:szCs w:val="16"/>
                <w:color w:val="auto"/>
              </w:rPr>
            </w:pPr>
          </w:p>
        </w:tc>
        <w:tc>
          <w:tcPr>
            <w:tcW w:w="3160" w:type="dxa"/>
            <w:vAlign w:val="bottom"/>
            <w:tcBorders>
              <w:right w:val="single" w:sz="8" w:color="auto"/>
            </w:tcBorders>
            <w:gridSpan w:val="3"/>
          </w:tcPr>
          <w:p>
            <w:pPr>
              <w:jc w:val="center"/>
              <w:ind w:right="500"/>
              <w:spacing w:after="0" w:line="194" w:lineRule="exact"/>
              <w:rPr>
                <w:sz w:val="20"/>
                <w:szCs w:val="20"/>
                <w:color w:val="auto"/>
              </w:rPr>
            </w:pPr>
            <w:r>
              <w:rPr>
                <w:rFonts w:ascii="Arial" w:cs="Arial" w:eastAsia="Arial" w:hAnsi="Arial"/>
                <w:sz w:val="18"/>
                <w:szCs w:val="18"/>
                <w:b w:val="1"/>
                <w:bCs w:val="1"/>
                <w:color w:val="231F20"/>
              </w:rPr>
              <w:t>MAIL</w:t>
            </w:r>
          </w:p>
        </w:tc>
      </w:tr>
      <w:tr>
        <w:trPr>
          <w:trHeight w:val="20"/>
        </w:trPr>
        <w:tc>
          <w:tcPr>
            <w:tcW w:w="1180" w:type="dxa"/>
            <w:vAlign w:val="bottom"/>
            <w:tcBorders>
              <w:left w:val="single" w:sz="8" w:color="auto"/>
            </w:tcBorders>
          </w:tcPr>
          <w:p>
            <w:pPr>
              <w:spacing w:after="0" w:line="20" w:lineRule="exact"/>
              <w:rPr>
                <w:sz w:val="1"/>
                <w:szCs w:val="1"/>
                <w:color w:val="auto"/>
              </w:rPr>
            </w:pPr>
          </w:p>
        </w:tc>
        <w:tc>
          <w:tcPr>
            <w:tcW w:w="940" w:type="dxa"/>
            <w:vAlign w:val="bottom"/>
            <w:shd w:val="clear" w:color="auto" w:fill="231F20"/>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shd w:val="clear" w:color="auto" w:fill="231F20"/>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shd w:val="clear" w:color="auto" w:fill="231F20"/>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r>
      <w:tr>
        <w:trPr>
          <w:trHeight w:val="218"/>
        </w:trPr>
        <w:tc>
          <w:tcPr>
            <w:tcW w:w="2920" w:type="dxa"/>
            <w:vAlign w:val="bottom"/>
            <w:tcBorders>
              <w:left w:val="single" w:sz="8" w:color="auto"/>
              <w:right w:val="single" w:sz="8" w:color="auto"/>
            </w:tcBorders>
            <w:gridSpan w:val="3"/>
          </w:tcPr>
          <w:p>
            <w:pPr>
              <w:jc w:val="center"/>
              <w:ind w:left="250"/>
              <w:spacing w:after="0"/>
              <w:rPr>
                <w:sz w:val="20"/>
                <w:szCs w:val="20"/>
                <w:color w:val="auto"/>
              </w:rPr>
            </w:pPr>
            <w:r>
              <w:rPr>
                <w:rFonts w:ascii="Arial" w:cs="Arial" w:eastAsia="Arial" w:hAnsi="Arial"/>
                <w:sz w:val="18"/>
                <w:szCs w:val="18"/>
                <w:b w:val="1"/>
                <w:bCs w:val="1"/>
                <w:color w:val="231F20"/>
                <w:w w:val="89"/>
              </w:rPr>
              <w:t>Vote Your Proxy on the</w:t>
            </w:r>
          </w:p>
        </w:tc>
        <w:tc>
          <w:tcPr>
            <w:tcW w:w="20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231F20"/>
                <w:w w:val="89"/>
              </w:rPr>
              <w:t>Vote Your Proxy by Phone:</w:t>
            </w:r>
          </w:p>
        </w:tc>
        <w:tc>
          <w:tcPr>
            <w:tcW w:w="22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gridSpan w:val="3"/>
          </w:tcPr>
          <w:p>
            <w:pPr>
              <w:jc w:val="center"/>
              <w:ind w:right="500"/>
              <w:spacing w:after="0"/>
              <w:rPr>
                <w:sz w:val="20"/>
                <w:szCs w:val="20"/>
                <w:color w:val="auto"/>
              </w:rPr>
            </w:pPr>
            <w:r>
              <w:rPr>
                <w:rFonts w:ascii="Arial" w:cs="Arial" w:eastAsia="Arial" w:hAnsi="Arial"/>
                <w:sz w:val="18"/>
                <w:szCs w:val="18"/>
                <w:b w:val="1"/>
                <w:bCs w:val="1"/>
                <w:color w:val="231F20"/>
                <w:w w:val="93"/>
              </w:rPr>
              <w:t>Vote Your Proxy by Mail:</w:t>
            </w:r>
          </w:p>
        </w:tc>
      </w:tr>
      <w:tr>
        <w:trPr>
          <w:trHeight w:val="216"/>
        </w:trPr>
        <w:tc>
          <w:tcPr>
            <w:tcW w:w="2920" w:type="dxa"/>
            <w:vAlign w:val="bottom"/>
            <w:tcBorders>
              <w:left w:val="single" w:sz="8" w:color="auto"/>
              <w:right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231F20"/>
                <w:w w:val="93"/>
              </w:rPr>
              <w:t>Internet: Go to</w:t>
            </w:r>
          </w:p>
        </w:tc>
        <w:tc>
          <w:tcPr>
            <w:tcW w:w="20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231F20"/>
                <w:w w:val="91"/>
              </w:rPr>
              <w:t>Call 1 (866) 804-9616</w:t>
            </w:r>
          </w:p>
        </w:tc>
        <w:tc>
          <w:tcPr>
            <w:tcW w:w="22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r>
      <w:tr>
        <w:trPr>
          <w:trHeight w:val="220"/>
        </w:trPr>
        <w:tc>
          <w:tcPr>
            <w:tcW w:w="2920" w:type="dxa"/>
            <w:vAlign w:val="bottom"/>
            <w:tcBorders>
              <w:left w:val="single" w:sz="8" w:color="auto"/>
              <w:right w:val="single" w:sz="8" w:color="auto"/>
            </w:tcBorders>
            <w:gridSpan w:val="3"/>
          </w:tcPr>
          <w:p>
            <w:pPr>
              <w:jc w:val="center"/>
              <w:ind w:left="250"/>
              <w:spacing w:after="0"/>
              <w:rPr>
                <w:sz w:val="20"/>
                <w:szCs w:val="20"/>
                <w:color w:val="auto"/>
              </w:rPr>
            </w:pPr>
            <w:r>
              <w:rPr>
                <w:rFonts w:ascii="Arial" w:cs="Arial" w:eastAsia="Arial" w:hAnsi="Arial"/>
                <w:sz w:val="18"/>
                <w:szCs w:val="18"/>
                <w:b w:val="1"/>
                <w:bCs w:val="1"/>
                <w:color w:val="231F20"/>
                <w:w w:val="93"/>
              </w:rPr>
              <w:t>www.AALvote.com/CIX</w:t>
            </w:r>
          </w:p>
        </w:tc>
        <w:tc>
          <w:tcPr>
            <w:tcW w:w="200" w:type="dxa"/>
            <w:vAlign w:val="bottom"/>
            <w:tcBorders>
              <w:right w:val="single" w:sz="8" w:color="auto"/>
            </w:tcBorders>
          </w:tcPr>
          <w:p>
            <w:pPr>
              <w:spacing w:after="0"/>
              <w:rPr>
                <w:sz w:val="19"/>
                <w:szCs w:val="19"/>
                <w:color w:val="auto"/>
              </w:rPr>
            </w:pPr>
          </w:p>
        </w:tc>
        <w:tc>
          <w:tcPr>
            <w:tcW w:w="33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231F20"/>
                <w:w w:val="90"/>
              </w:rPr>
              <w:t>Use any touch-tone telephone to vote your</w:t>
            </w:r>
          </w:p>
        </w:tc>
        <w:tc>
          <w:tcPr>
            <w:tcW w:w="220" w:type="dxa"/>
            <w:vAlign w:val="bottom"/>
            <w:tcBorders>
              <w:right w:val="single" w:sz="8" w:color="auto"/>
            </w:tcBorders>
          </w:tcPr>
          <w:p>
            <w:pPr>
              <w:spacing w:after="0"/>
              <w:rPr>
                <w:sz w:val="19"/>
                <w:szCs w:val="19"/>
                <w:color w:val="auto"/>
              </w:rPr>
            </w:pPr>
          </w:p>
        </w:tc>
        <w:tc>
          <w:tcPr>
            <w:tcW w:w="316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8"/>
                <w:szCs w:val="18"/>
                <w:color w:val="231F20"/>
                <w:w w:val="92"/>
              </w:rPr>
              <w:t>Mark, sign, and date your proxy</w:t>
            </w:r>
          </w:p>
        </w:tc>
      </w:tr>
      <w:tr>
        <w:trPr>
          <w:trHeight w:val="216"/>
        </w:trPr>
        <w:tc>
          <w:tcPr>
            <w:tcW w:w="2920" w:type="dxa"/>
            <w:vAlign w:val="bottom"/>
            <w:tcBorders>
              <w:left w:val="single" w:sz="8" w:color="auto"/>
              <w:right w:val="single" w:sz="8" w:color="auto"/>
            </w:tcBorders>
            <w:gridSpan w:val="3"/>
          </w:tcPr>
          <w:p>
            <w:pPr>
              <w:jc w:val="center"/>
              <w:ind w:left="290"/>
              <w:spacing w:after="0"/>
              <w:rPr>
                <w:sz w:val="20"/>
                <w:szCs w:val="20"/>
                <w:color w:val="auto"/>
              </w:rPr>
            </w:pPr>
            <w:r>
              <w:rPr>
                <w:rFonts w:ascii="Arial" w:cs="Arial" w:eastAsia="Arial" w:hAnsi="Arial"/>
                <w:sz w:val="18"/>
                <w:szCs w:val="18"/>
                <w:color w:val="231F20"/>
                <w:w w:val="92"/>
              </w:rPr>
              <w:t>Have your proxy card</w:t>
            </w:r>
          </w:p>
        </w:tc>
        <w:tc>
          <w:tcPr>
            <w:tcW w:w="20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2260" w:type="dxa"/>
            <w:vAlign w:val="bottom"/>
            <w:tcBorders>
              <w:right w:val="single" w:sz="8" w:color="auto"/>
            </w:tcBorders>
            <w:gridSpan w:val="2"/>
          </w:tcPr>
          <w:p>
            <w:pPr>
              <w:jc w:val="center"/>
              <w:ind w:right="1160"/>
              <w:spacing w:after="0"/>
              <w:rPr>
                <w:sz w:val="20"/>
                <w:szCs w:val="20"/>
                <w:color w:val="auto"/>
              </w:rPr>
            </w:pPr>
            <w:r>
              <w:rPr>
                <w:rFonts w:ascii="Arial" w:cs="Arial" w:eastAsia="Arial" w:hAnsi="Arial"/>
                <w:sz w:val="18"/>
                <w:szCs w:val="18"/>
                <w:color w:val="231F20"/>
                <w:w w:val="93"/>
              </w:rPr>
              <w:t>proxy.</w:t>
            </w:r>
          </w:p>
        </w:tc>
        <w:tc>
          <w:tcPr>
            <w:tcW w:w="22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8"/>
                <w:szCs w:val="18"/>
                <w:color w:val="231F20"/>
                <w:w w:val="90"/>
              </w:rPr>
              <w:t>card, then detach it, and return it in</w:t>
            </w:r>
          </w:p>
        </w:tc>
      </w:tr>
      <w:tr>
        <w:trPr>
          <w:trHeight w:val="216"/>
        </w:trPr>
        <w:tc>
          <w:tcPr>
            <w:tcW w:w="2920" w:type="dxa"/>
            <w:vAlign w:val="bottom"/>
            <w:tcBorders>
              <w:left w:val="single" w:sz="8" w:color="auto"/>
              <w:right w:val="single" w:sz="8" w:color="auto"/>
            </w:tcBorders>
            <w:gridSpan w:val="3"/>
          </w:tcPr>
          <w:p>
            <w:pPr>
              <w:jc w:val="center"/>
              <w:ind w:left="250"/>
              <w:spacing w:after="0"/>
              <w:rPr>
                <w:sz w:val="20"/>
                <w:szCs w:val="20"/>
                <w:color w:val="auto"/>
              </w:rPr>
            </w:pPr>
            <w:r>
              <w:rPr>
                <w:rFonts w:ascii="Arial" w:cs="Arial" w:eastAsia="Arial" w:hAnsi="Arial"/>
                <w:sz w:val="18"/>
                <w:szCs w:val="18"/>
                <w:color w:val="231F20"/>
                <w:w w:val="89"/>
              </w:rPr>
              <w:t>available when you access the</w:t>
            </w:r>
          </w:p>
        </w:tc>
        <w:tc>
          <w:tcPr>
            <w:tcW w:w="20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8"/>
                <w:szCs w:val="18"/>
                <w:color w:val="231F20"/>
                <w:w w:val="91"/>
              </w:rPr>
              <w:t>Have your proxy card available when you</w:t>
            </w:r>
          </w:p>
        </w:tc>
        <w:tc>
          <w:tcPr>
            <w:tcW w:w="220" w:type="dxa"/>
            <w:vAlign w:val="bottom"/>
            <w:tcBorders>
              <w:right w:val="single" w:sz="8" w:color="auto"/>
            </w:tcBorders>
          </w:tcPr>
          <w:p>
            <w:pPr>
              <w:spacing w:after="0"/>
              <w:rPr>
                <w:sz w:val="18"/>
                <w:szCs w:val="18"/>
                <w:color w:val="auto"/>
              </w:rPr>
            </w:pPr>
          </w:p>
        </w:tc>
        <w:tc>
          <w:tcPr>
            <w:tcW w:w="316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8"/>
                <w:szCs w:val="18"/>
                <w:color w:val="231F20"/>
                <w:w w:val="89"/>
              </w:rPr>
              <w:t>the postage-paid envelope provided.</w:t>
            </w:r>
          </w:p>
        </w:tc>
      </w:tr>
      <w:tr>
        <w:trPr>
          <w:trHeight w:val="230"/>
        </w:trPr>
        <w:tc>
          <w:tcPr>
            <w:tcW w:w="1180" w:type="dxa"/>
            <w:vAlign w:val="bottom"/>
            <w:tcBorders>
              <w:left w:val="single" w:sz="8" w:color="auto"/>
            </w:tcBorders>
          </w:tcPr>
          <w:p>
            <w:pPr>
              <w:spacing w:after="0"/>
              <w:rPr>
                <w:sz w:val="20"/>
                <w:szCs w:val="20"/>
                <w:color w:val="auto"/>
              </w:rPr>
            </w:pPr>
          </w:p>
        </w:tc>
        <w:tc>
          <w:tcPr>
            <w:tcW w:w="1740" w:type="dxa"/>
            <w:vAlign w:val="bottom"/>
            <w:tcBorders>
              <w:right w:val="single" w:sz="8" w:color="auto"/>
            </w:tcBorders>
            <w:gridSpan w:val="2"/>
          </w:tcPr>
          <w:p>
            <w:pPr>
              <w:jc w:val="center"/>
              <w:ind w:right="840"/>
              <w:spacing w:after="0"/>
              <w:rPr>
                <w:sz w:val="20"/>
                <w:szCs w:val="20"/>
                <w:color w:val="auto"/>
              </w:rPr>
            </w:pPr>
            <w:r>
              <w:rPr>
                <w:rFonts w:ascii="Arial" w:cs="Arial" w:eastAsia="Arial" w:hAnsi="Arial"/>
                <w:sz w:val="18"/>
                <w:szCs w:val="18"/>
                <w:color w:val="231F20"/>
                <w:w w:val="85"/>
              </w:rPr>
              <w:t>above</w:t>
            </w:r>
          </w:p>
        </w:tc>
        <w:tc>
          <w:tcPr>
            <w:tcW w:w="20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2260" w:type="dxa"/>
            <w:vAlign w:val="bottom"/>
            <w:tcBorders>
              <w:right w:val="single" w:sz="8" w:color="auto"/>
            </w:tcBorders>
            <w:gridSpan w:val="2"/>
          </w:tcPr>
          <w:p>
            <w:pPr>
              <w:jc w:val="center"/>
              <w:ind w:right="1160"/>
              <w:spacing w:after="0"/>
              <w:rPr>
                <w:sz w:val="20"/>
                <w:szCs w:val="20"/>
                <w:color w:val="auto"/>
              </w:rPr>
            </w:pPr>
            <w:r>
              <w:rPr>
                <w:rFonts w:ascii="Arial" w:cs="Arial" w:eastAsia="Arial" w:hAnsi="Arial"/>
                <w:sz w:val="18"/>
                <w:szCs w:val="18"/>
                <w:color w:val="231F20"/>
                <w:w w:val="93"/>
              </w:rPr>
              <w:t>call.</w:t>
            </w:r>
          </w:p>
        </w:tc>
        <w:tc>
          <w:tcPr>
            <w:tcW w:w="220" w:type="dxa"/>
            <w:vAlign w:val="bottom"/>
            <w:tcBorders>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r>
      <w:tr>
        <w:trPr>
          <w:trHeight w:val="111"/>
        </w:trPr>
        <w:tc>
          <w:tcPr>
            <w:tcW w:w="1180" w:type="dxa"/>
            <w:vAlign w:val="bottom"/>
            <w:tcBorders>
              <w:left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r>
    </w:tbl>
    <w:p>
      <w:pPr>
        <w:sectPr>
          <w:pgSz w:w="11900" w:h="16900" w:orient="portrait"/>
          <w:cols w:equalWidth="0" w:num="1">
            <w:col w:w="11420"/>
          </w:cols>
          <w:pgMar w:left="240" w:top="457" w:right="239" w:bottom="0" w:gutter="0" w:footer="0" w:header="0"/>
          <w:type w:val="continuous"/>
        </w:sectPr>
      </w:pPr>
    </w:p>
    <w:bookmarkStart w:id="53" w:name="page54"/>
    <w:bookmarkEnd w:id="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4899660</wp:posOffset>
            </wp:positionH>
            <wp:positionV relativeFrom="page">
              <wp:posOffset>88900</wp:posOffset>
            </wp:positionV>
            <wp:extent cx="2015490" cy="4286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15490" cy="42862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07"/>
        </w:trPr>
        <w:tc>
          <w:tcPr>
            <w:tcW w:w="2920" w:type="dxa"/>
            <w:vAlign w:val="bottom"/>
            <w:tcBorders>
              <w:left w:val="single" w:sz="8" w:color="auto"/>
              <w:right w:val="single" w:sz="8" w:color="auto"/>
            </w:tcBorders>
          </w:tcPr>
          <w:p>
            <w:pPr>
              <w:jc w:val="center"/>
              <w:ind w:left="290"/>
              <w:spacing w:after="0"/>
              <w:rPr>
                <w:sz w:val="20"/>
                <w:szCs w:val="20"/>
                <w:color w:val="auto"/>
              </w:rPr>
            </w:pPr>
            <w:r>
              <w:rPr>
                <w:rFonts w:ascii="Arial" w:cs="Arial" w:eastAsia="Arial" w:hAnsi="Arial"/>
                <w:sz w:val="18"/>
                <w:szCs w:val="18"/>
                <w:color w:val="231F20"/>
                <w:w w:val="91"/>
              </w:rPr>
              <w:t>website. Follow the prompts to</w:t>
            </w:r>
          </w:p>
        </w:tc>
        <w:tc>
          <w:tcPr>
            <w:tcW w:w="200" w:type="dxa"/>
            <w:vAlign w:val="bottom"/>
            <w:tcBorders>
              <w:right w:val="single" w:sz="8" w:color="auto"/>
            </w:tcBorders>
          </w:tcPr>
          <w:p>
            <w:pPr>
              <w:spacing w:after="0"/>
              <w:rPr>
                <w:sz w:val="17"/>
                <w:szCs w:val="17"/>
                <w:color w:val="auto"/>
              </w:rPr>
            </w:pP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231F20"/>
                <w:w w:val="93"/>
              </w:rPr>
              <w:t>Follow the voting instructions to vote your</w:t>
            </w:r>
          </w:p>
        </w:tc>
      </w:tr>
      <w:tr>
        <w:trPr>
          <w:trHeight w:val="230"/>
        </w:trPr>
        <w:tc>
          <w:tcPr>
            <w:tcW w:w="2920" w:type="dxa"/>
            <w:vAlign w:val="bottom"/>
            <w:tcBorders>
              <w:left w:val="single" w:sz="8" w:color="auto"/>
              <w:right w:val="single" w:sz="8" w:color="auto"/>
            </w:tcBorders>
          </w:tcPr>
          <w:p>
            <w:pPr>
              <w:jc w:val="center"/>
              <w:ind w:left="290"/>
              <w:spacing w:after="0"/>
              <w:rPr>
                <w:sz w:val="20"/>
                <w:szCs w:val="20"/>
                <w:color w:val="auto"/>
              </w:rPr>
            </w:pPr>
            <w:r>
              <w:rPr>
                <w:rFonts w:ascii="Arial" w:cs="Arial" w:eastAsia="Arial" w:hAnsi="Arial"/>
                <w:sz w:val="18"/>
                <w:szCs w:val="18"/>
                <w:color w:val="231F20"/>
                <w:w w:val="88"/>
              </w:rPr>
              <w:t>vote your shares.</w:t>
            </w:r>
          </w:p>
        </w:tc>
        <w:tc>
          <w:tcPr>
            <w:tcW w:w="200" w:type="dxa"/>
            <w:vAlign w:val="bottom"/>
            <w:tcBorders>
              <w:right w:val="single" w:sz="8" w:color="auto"/>
            </w:tcBorders>
          </w:tcPr>
          <w:p>
            <w:pPr>
              <w:spacing w:after="0"/>
              <w:rPr>
                <w:sz w:val="20"/>
                <w:szCs w:val="20"/>
                <w:color w:val="auto"/>
              </w:rPr>
            </w:pP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231F20"/>
                <w:w w:val="84"/>
              </w:rPr>
              <w:t>shares.</w:t>
            </w:r>
          </w:p>
        </w:tc>
      </w:tr>
      <w:tr>
        <w:trPr>
          <w:trHeight w:val="223"/>
        </w:trPr>
        <w:tc>
          <w:tcPr>
            <w:tcW w:w="2920" w:type="dxa"/>
            <w:vAlign w:val="bottom"/>
            <w:tcBorders>
              <w:left w:val="single" w:sz="8" w:color="auto"/>
              <w:bottom w:val="single" w:sz="8" w:color="auto"/>
              <w:right w:val="single" w:sz="8" w:color="auto"/>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9439"/>
      </w:cols>
      <w:pgMar w:left="1020" w:top="1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lvl w:ilvl="1">
      <w:lvlJc w:val="left"/>
      <w:lvlText w:val="%2)"/>
      <w:numFmt w:val="decimal"/>
      <w:start w:val="1"/>
    </w:lvl>
  </w:abstractNum>
  <w:abstractNum w:abstractNumId="4">
    <w:nsid w:val="75C6C33A"/>
    <w:multiLevelType w:val="hybridMultilevel"/>
    <w:lvl w:ilvl="0">
      <w:lvlJc w:val="left"/>
      <w:lvlText w:val="%1)"/>
      <w:numFmt w:val="decimal"/>
      <w:start w:val="4"/>
    </w:lvl>
  </w:abstractNum>
  <w:abstractNum w:abstractNumId="5">
    <w:nsid w:val="12E685FB"/>
    <w:multiLevelType w:val="hybridMultilevel"/>
    <w:lvl w:ilvl="0">
      <w:lvlJc w:val="left"/>
      <w:lvlText w:val="%1."/>
      <w:numFmt w:val="decimal"/>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1:"/>
      <w:numFmt w:val="upperLetter"/>
      <w:start w:val="17"/>
    </w:lvl>
  </w:abstractNum>
  <w:abstractNum w:abstractNumId="8">
    <w:nsid w:val="374A3FE6"/>
    <w:multiLevelType w:val="hybridMultilevel"/>
    <w:lvl w:ilvl="0">
      <w:lvlJc w:val="left"/>
      <w:lvlText w:val="%1:"/>
      <w:numFmt w:val="upperLetter"/>
      <w:start w:val="1"/>
    </w:lvl>
    <w:lvl w:ilvl="1">
      <w:lvlJc w:val="left"/>
      <w:lvlText w:val="·"/>
      <w:numFmt w:val="bullet"/>
      <w:start w:val="1"/>
    </w:lvl>
  </w:abstractNum>
  <w:abstractNum w:abstractNumId="9">
    <w:nsid w:val="4F4EF005"/>
    <w:multiLevelType w:val="hybridMultilevel"/>
    <w:lvl w:ilvl="0">
      <w:lvlJc w:val="left"/>
      <w:lvlText w:val="%1:"/>
      <w:numFmt w:val="upperLetter"/>
      <w:start w:val="17"/>
    </w:lvl>
  </w:abstractNum>
  <w:abstractNum w:abstractNumId="10">
    <w:nsid w:val="23F9C13C"/>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11">
    <w:nsid w:val="649BB77C"/>
    <w:multiLevelType w:val="hybridMultilevel"/>
    <w:lvl w:ilvl="0">
      <w:lvlJc w:val="left"/>
      <w:lvlText w:val="%1:"/>
      <w:numFmt w:val="upperLetter"/>
      <w:start w:val="17"/>
    </w:lvl>
  </w:abstractNum>
  <w:abstractNum w:abstractNumId="12">
    <w:nsid w:val="275AC794"/>
    <w:multiLevelType w:val="hybridMultilevel"/>
    <w:lvl w:ilvl="0">
      <w:lvlJc w:val="left"/>
      <w:lvlText w:val="%1:"/>
      <w:numFmt w:val="upperLetter"/>
      <w:start w:val="1"/>
    </w:lvl>
  </w:abstractNum>
  <w:abstractNum w:abstractNumId="13">
    <w:nsid w:val="39386575"/>
    <w:multiLevelType w:val="hybridMultilevel"/>
    <w:lvl w:ilvl="0">
      <w:lvlJc w:val="left"/>
      <w:lvlText w:val="%1:"/>
      <w:numFmt w:val="upperLetter"/>
      <w:start w:val="17"/>
    </w:lvl>
  </w:abstractNum>
  <w:abstractNum w:abstractNumId="14">
    <w:nsid w:val="1CF10FD8"/>
    <w:multiLevelType w:val="hybridMultilevel"/>
    <w:lvl w:ilvl="0">
      <w:lvlJc w:val="left"/>
      <w:lvlText w:val="%1:"/>
      <w:numFmt w:val="upperLetter"/>
      <w:start w:val="1"/>
    </w:lvl>
    <w:lvl w:ilvl="1">
      <w:lvlJc w:val="left"/>
      <w:lvlText w:val="·"/>
      <w:numFmt w:val="bullet"/>
      <w:start w:val="1"/>
    </w:lvl>
  </w:abstractNum>
  <w:abstractNum w:abstractNumId="15">
    <w:nsid w:val="180115BE"/>
    <w:multiLevelType w:val="hybridMultilevel"/>
    <w:lvl w:ilvl="0">
      <w:lvlJc w:val="left"/>
      <w:lvlText w:val="%1:"/>
      <w:numFmt w:val="upperLetter"/>
      <w:start w:val="17"/>
    </w:lvl>
  </w:abstractNum>
  <w:abstractNum w:abstractNumId="16">
    <w:nsid w:val="235BA861"/>
    <w:multiLevelType w:val="hybridMultilevel"/>
    <w:lvl w:ilvl="0">
      <w:lvlJc w:val="left"/>
      <w:lvlText w:val="%1:"/>
      <w:numFmt w:val="upperLetter"/>
      <w:start w:val="1"/>
    </w:lvl>
  </w:abstractNum>
  <w:abstractNum w:abstractNumId="17">
    <w:nsid w:val="47398C89"/>
    <w:multiLevelType w:val="hybridMultilevel"/>
    <w:lvl w:ilvl="0">
      <w:lvlJc w:val="left"/>
      <w:lvlText w:val="%1:"/>
      <w:numFmt w:val="upperLetter"/>
      <w:start w:val="17"/>
    </w:lvl>
  </w:abstractNum>
  <w:abstractNum w:abstractNumId="18">
    <w:nsid w:val="354FE9F9"/>
    <w:multiLevelType w:val="hybridMultilevel"/>
    <w:lvl w:ilvl="0">
      <w:lvlJc w:val="left"/>
      <w:lvlText w:val="%1:"/>
      <w:numFmt w:val="upperLetter"/>
      <w:start w:val="1"/>
    </w:lvl>
  </w:abstractNum>
  <w:abstractNum w:abstractNumId="19">
    <w:nsid w:val="15B5AF5C"/>
    <w:multiLevelType w:val="hybridMultilevel"/>
    <w:lvl w:ilvl="0">
      <w:lvlJc w:val="left"/>
      <w:lvlText w:val="%1:"/>
      <w:numFmt w:val="upperLetter"/>
      <w:start w:val="17"/>
    </w:lvl>
  </w:abstractNum>
  <w:abstractNum w:abstractNumId="20">
    <w:nsid w:val="741226BB"/>
    <w:multiLevelType w:val="hybridMultilevel"/>
    <w:lvl w:ilvl="0">
      <w:lvlJc w:val="left"/>
      <w:lvlText w:val="%1:"/>
      <w:numFmt w:val="upperLetter"/>
      <w:start w:val="1"/>
    </w:lvl>
  </w:abstractNum>
  <w:abstractNum w:abstractNumId="21">
    <w:nsid w:val="D34B6A8"/>
    <w:multiLevelType w:val="hybridMultilevel"/>
    <w:lvl w:ilvl="0">
      <w:lvlJc w:val="left"/>
      <w:lvlText w:val="%1:"/>
      <w:numFmt w:val="upperLetter"/>
      <w:start w:val="17"/>
    </w:lvl>
  </w:abstractNum>
  <w:abstractNum w:abstractNumId="22">
    <w:nsid w:val="10233C99"/>
    <w:multiLevelType w:val="hybridMultilevel"/>
    <w:lvl w:ilvl="0">
      <w:lvlJc w:val="left"/>
      <w:lvlText w:val="%1:"/>
      <w:numFmt w:val="upperLetter"/>
      <w:start w:val="1"/>
    </w:lvl>
    <w:lvl w:ilvl="1">
      <w:lvlJc w:val="left"/>
      <w:lvlText w:val="-"/>
      <w:numFmt w:val="bullet"/>
      <w:start w:val="1"/>
    </w:lvl>
  </w:abstractNum>
  <w:abstractNum w:abstractNumId="23">
    <w:nsid w:val="3F6AB60F"/>
    <w:multiLevelType w:val="hybridMultilevel"/>
    <w:lvl w:ilvl="0">
      <w:lvlJc w:val="left"/>
      <w:lvlText w:val="%1:"/>
      <w:numFmt w:val="upperLetter"/>
      <w:start w:val="17"/>
    </w:lvl>
  </w:abstractNum>
  <w:abstractNum w:abstractNumId="24">
    <w:nsid w:val="61574095"/>
    <w:multiLevelType w:val="hybridMultilevel"/>
    <w:lvl w:ilvl="0">
      <w:lvlJc w:val="left"/>
      <w:lvlText w:val="%1:"/>
      <w:numFmt w:val="upperLetter"/>
      <w:start w:val="1"/>
    </w:lvl>
  </w:abstractNum>
  <w:abstractNum w:abstractNumId="25">
    <w:nsid w:val="7E0C57B1"/>
    <w:multiLevelType w:val="hybridMultilevel"/>
    <w:lvl w:ilvl="0">
      <w:lvlJc w:val="left"/>
      <w:lvlText w:val="%1:"/>
      <w:numFmt w:val="upperLetter"/>
      <w:start w:val="17"/>
    </w:lvl>
  </w:abstractNum>
  <w:abstractNum w:abstractNumId="26">
    <w:nsid w:val="77AE35EB"/>
    <w:multiLevelType w:val="hybridMultilevel"/>
    <w:lvl w:ilvl="0">
      <w:lvlJc w:val="left"/>
      <w:lvlText w:val="%1:"/>
      <w:numFmt w:val="upperLetter"/>
      <w:start w:val="1"/>
    </w:lvl>
    <w:lvl w:ilvl="1">
      <w:lvlJc w:val="left"/>
      <w:lvlText w:val="·"/>
      <w:numFmt w:val="bullet"/>
      <w:start w:val="1"/>
    </w:lvl>
  </w:abstractNum>
  <w:abstractNum w:abstractNumId="27">
    <w:nsid w:val="579BE4F1"/>
    <w:multiLevelType w:val="hybridMultilevel"/>
    <w:lvl w:ilvl="0">
      <w:lvlJc w:val="left"/>
      <w:lvlText w:val="%1:"/>
      <w:numFmt w:val="upperLetter"/>
      <w:start w:val="17"/>
    </w:lvl>
  </w:abstractNum>
  <w:abstractNum w:abstractNumId="28">
    <w:nsid w:val="310C50B3"/>
    <w:multiLevelType w:val="hybridMultilevel"/>
    <w:lvl w:ilvl="0">
      <w:lvlJc w:val="left"/>
      <w:lvlText w:val="%1:"/>
      <w:numFmt w:val="upperLetter"/>
      <w:start w:val="1"/>
    </w:lvl>
  </w:abstractNum>
  <w:abstractNum w:abstractNumId="29">
    <w:nsid w:val="5FF87E05"/>
    <w:multiLevelType w:val="hybridMultilevel"/>
    <w:lvl w:ilvl="0">
      <w:lvlJc w:val="left"/>
      <w:lvlText w:val="%1:"/>
      <w:numFmt w:val="upperLetter"/>
      <w:start w:val="17"/>
    </w:lvl>
  </w:abstractNum>
  <w:abstractNum w:abstractNumId="30">
    <w:nsid w:val="2F305DEF"/>
    <w:multiLevelType w:val="hybridMultilevel"/>
    <w:lvl w:ilvl="0">
      <w:lvlJc w:val="left"/>
      <w:lvlText w:val="%1:"/>
      <w:numFmt w:val="upperLetter"/>
      <w:start w:val="1"/>
    </w:lvl>
  </w:abstractNum>
  <w:abstractNum w:abstractNumId="31">
    <w:nsid w:val="25A70BF7"/>
    <w:multiLevelType w:val="hybridMultilevel"/>
    <w:lvl w:ilvl="0">
      <w:lvlJc w:val="left"/>
      <w:lvlText w:val="%1:"/>
      <w:numFmt w:val="upperLetter"/>
      <w:start w:val="17"/>
    </w:lvl>
  </w:abstractNum>
  <w:abstractNum w:abstractNumId="32">
    <w:nsid w:val="1DBABF00"/>
    <w:multiLevelType w:val="hybridMultilevel"/>
    <w:lvl w:ilvl="0">
      <w:lvlJc w:val="left"/>
      <w:lvlText w:val="%1:"/>
      <w:numFmt w:val="upperLetter"/>
      <w:start w:val="1"/>
    </w:lvl>
    <w:lvl w:ilvl="1">
      <w:lvlJc w:val="left"/>
      <w:lvlText w:val="-"/>
      <w:numFmt w:val="bullet"/>
      <w:start w:val="1"/>
    </w:lvl>
  </w:abstractNum>
  <w:abstractNum w:abstractNumId="33">
    <w:nsid w:val="4AD084E9"/>
    <w:multiLevelType w:val="hybridMultilevel"/>
    <w:lvl w:ilvl="0">
      <w:lvlJc w:val="left"/>
      <w:lvlText w:val="%1:"/>
      <w:numFmt w:val="upperLetter"/>
      <w:start w:val="17"/>
    </w:lvl>
  </w:abstractNum>
  <w:abstractNum w:abstractNumId="34">
    <w:nsid w:val="1F48EAA1"/>
    <w:multiLevelType w:val="hybridMultilevel"/>
    <w:lvl w:ilvl="0">
      <w:lvlJc w:val="left"/>
      <w:lvlText w:val="%1:"/>
      <w:numFmt w:val="upperLetter"/>
      <w:start w:val="1"/>
    </w:lvl>
  </w:abstractNum>
  <w:abstractNum w:abstractNumId="35">
    <w:nsid w:val="1381823A"/>
    <w:multiLevelType w:val="hybridMultilevel"/>
    <w:lvl w:ilvl="0">
      <w:lvlJc w:val="left"/>
      <w:lvlText w:val="%1:"/>
      <w:numFmt w:val="upperLetter"/>
      <w:start w:val="17"/>
    </w:lvl>
  </w:abstractNum>
  <w:abstractNum w:abstractNumId="36">
    <w:nsid w:val="5DB70AE5"/>
    <w:multiLevelType w:val="hybridMultilevel"/>
    <w:lvl w:ilvl="0">
      <w:lvlJc w:val="left"/>
      <w:lvlText w:val="%1:"/>
      <w:numFmt w:val="upperLetter"/>
      <w:start w:val="1"/>
    </w:lvl>
  </w:abstractNum>
  <w:abstractNum w:abstractNumId="37">
    <w:nsid w:val="100F8FCA"/>
    <w:multiLevelType w:val="hybridMultilevel"/>
    <w:lvl w:ilvl="0">
      <w:lvlJc w:val="left"/>
      <w:lvlText w:val="%1:"/>
      <w:numFmt w:val="upperLetter"/>
      <w:start w:val="17"/>
    </w:lvl>
  </w:abstractNum>
  <w:abstractNum w:abstractNumId="38">
    <w:nsid w:val="6590700B"/>
    <w:multiLevelType w:val="hybridMultilevel"/>
    <w:lvl w:ilvl="0">
      <w:lvlJc w:val="left"/>
      <w:lvlText w:val="%1:"/>
      <w:numFmt w:val="upperLetter"/>
      <w:start w:val="1"/>
    </w:lvl>
  </w:abstractNum>
  <w:abstractNum w:abstractNumId="39">
    <w:nsid w:val="15014ACB"/>
    <w:multiLevelType w:val="hybridMultilevel"/>
    <w:lvl w:ilvl="0">
      <w:lvlJc w:val="left"/>
      <w:lvlText w:val="%1:"/>
      <w:numFmt w:val="upperLetter"/>
      <w:start w:val="17"/>
    </w:lvl>
  </w:abstractNum>
  <w:abstractNum w:abstractNumId="40">
    <w:nsid w:val="5F5E7FD0"/>
    <w:multiLevelType w:val="hybridMultilevel"/>
    <w:lvl w:ilvl="0">
      <w:lvlJc w:val="left"/>
      <w:lvlText w:val="%1:"/>
      <w:numFmt w:val="upperLetter"/>
      <w:start w:val="1"/>
    </w:lvl>
  </w:abstractNum>
  <w:abstractNum w:abstractNumId="41">
    <w:nsid w:val="98A3148"/>
    <w:multiLevelType w:val="hybridMultilevel"/>
    <w:lvl w:ilvl="0">
      <w:lvlJc w:val="left"/>
      <w:lvlText w:val="%1:"/>
      <w:numFmt w:val="upperLetter"/>
      <w:start w:val="17"/>
    </w:lvl>
  </w:abstractNum>
  <w:abstractNum w:abstractNumId="42">
    <w:nsid w:val="799D0247"/>
    <w:multiLevelType w:val="hybridMultilevel"/>
    <w:lvl w:ilvl="0">
      <w:lvlJc w:val="left"/>
      <w:lvlText w:val="%1:"/>
      <w:numFmt w:val="upperLetter"/>
      <w:start w:val="1"/>
    </w:lvl>
    <w:lvl w:ilvl="1">
      <w:lvlJc w:val="left"/>
      <w:lvlText w:val="-"/>
      <w:numFmt w:val="bullet"/>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1)"/>
      <w:numFmt w:val="decimal"/>
      <w:start w:val="1"/>
    </w:lvl>
  </w:abstractNum>
  <w:abstractNum w:abstractNumId="45">
    <w:nsid w:val="168E121F"/>
    <w:multiLevelType w:val="hybridMultilevel"/>
    <w:lvl w:ilvl="0">
      <w:lvlJc w:val="left"/>
      <w:lvlText w:val="(%1)"/>
      <w:numFmt w:val="decimal"/>
      <w:start w:val="2"/>
    </w:lvl>
  </w:abstractNum>
  <w:abstractNum w:abstractNumId="46">
    <w:nsid w:val="1EBA5D23"/>
    <w:multiLevelType w:val="hybridMultilevel"/>
    <w:lvl w:ilvl="0">
      <w:lvlJc w:val="left"/>
      <w:lvlText w:val="(%1)"/>
      <w:numFmt w:val="lowerLetter"/>
      <w:start w:val="1"/>
    </w:lvl>
  </w:abstractNum>
  <w:abstractNum w:abstractNumId="47">
    <w:nsid w:val="661E3F1E"/>
    <w:multiLevelType w:val="hybridMultilevel"/>
    <w:lvl w:ilvl="0">
      <w:lvlJc w:val="left"/>
      <w:lvlText w:val="·"/>
      <w:numFmt w:val="bullet"/>
      <w:start w:val="1"/>
    </w:lvl>
    <w:lvl w:ilvl="1">
      <w:lvlJc w:val="left"/>
      <w:lvlText w:val="-"/>
      <w:numFmt w:val="bullet"/>
      <w:start w:val="1"/>
    </w:lvl>
  </w:abstractNum>
  <w:abstractNum w:abstractNumId="48">
    <w:nsid w:val="5DC79EA8"/>
    <w:multiLevelType w:val="hybridMultilevel"/>
    <w:lvl w:ilvl="0">
      <w:lvlJc w:val="left"/>
      <w:lvlText w:val="(%1)"/>
      <w:numFmt w:val="decimal"/>
      <w:start w:val="4"/>
    </w:lvl>
  </w:abstractNum>
  <w:abstractNum w:abstractNumId="49">
    <w:nsid w:val="540A471C"/>
    <w:multiLevelType w:val="hybridMultilevel"/>
    <w:lvl w:ilvl="0">
      <w:lvlJc w:val="left"/>
      <w:lvlText w:val="(%1)"/>
      <w:numFmt w:val="decimal"/>
      <w:start w:val="5"/>
    </w:lvl>
  </w:abstractNum>
  <w:abstractNum w:abstractNumId="50">
    <w:nsid w:val="7BD3EE7B"/>
    <w:multiLevelType w:val="hybridMultilevel"/>
    <w:lvl w:ilvl="0">
      <w:lvlJc w:val="left"/>
      <w:lvlText w:val="(%1)"/>
      <w:numFmt w:val="decimal"/>
      <w:start w:val="7"/>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1)"/>
      <w:numFmt w:val="decimal"/>
      <w:start w:val="1"/>
    </w:lvl>
    <w:lvl w:ilvl="1">
      <w:lvlJc w:val="left"/>
      <w:lvlText w:val="-"/>
      <w:numFmt w:val="bullet"/>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
      <w:numFmt w:val="bullet"/>
      <w:start w:val="1"/>
    </w:lvl>
    <w:lvl w:ilvl="1">
      <w:lvlJc w:val="left"/>
      <w:lvlText w:val="-"/>
      <w:numFmt w:val="bullet"/>
      <w:start w:val="1"/>
    </w:lvl>
  </w:abstractNum>
  <w:abstractNum w:abstractNumId="55">
    <w:nsid w:val="42963E5A"/>
    <w:multiLevelType w:val="hybridMultilevel"/>
    <w:lvl w:ilvl="0">
      <w:lvlJc w:val="left"/>
      <w:lvlText w:val="·"/>
      <w:numFmt w:val="bullet"/>
      <w:start w:val="1"/>
    </w:lvl>
  </w:abstractNum>
  <w:abstractNum w:abstractNumId="56">
    <w:nsid w:val="A0382C5"/>
    <w:multiLevelType w:val="hybridMultilevel"/>
    <w:lvl w:ilvl="0">
      <w:lvlJc w:val="left"/>
      <w:lvlText w:val="·"/>
      <w:numFmt w:val="bullet"/>
      <w:start w:val="1"/>
    </w:lvl>
  </w:abstractNum>
  <w:abstractNum w:abstractNumId="57">
    <w:nsid w:val="8F2B15E"/>
    <w:multiLevelType w:val="hybridMultilevel"/>
    <w:lvl w:ilvl="0">
      <w:lvlJc w:val="left"/>
      <w:lvlText w:val="·"/>
      <w:numFmt w:val="bullet"/>
      <w:start w:val="1"/>
    </w:lvl>
  </w:abstractNum>
  <w:abstractNum w:abstractNumId="58">
    <w:nsid w:val="1A32234B"/>
    <w:multiLevelType w:val="hybridMultilevel"/>
    <w:lvl w:ilvl="0">
      <w:lvlJc w:val="left"/>
      <w:lvlText w:val="·"/>
      <w:numFmt w:val="bullet"/>
      <w:start w:val="1"/>
    </w:lvl>
  </w:abstractNum>
  <w:abstractNum w:abstractNumId="59">
    <w:nsid w:val="3B0FD379"/>
    <w:multiLevelType w:val="hybridMultilevel"/>
    <w:lvl w:ilvl="0">
      <w:lvlJc w:val="left"/>
      <w:lvlText w:val="(%1)"/>
      <w:numFmt w:val="decimal"/>
      <w:start w:val="1"/>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
      <w:numFmt w:val="bullet"/>
      <w:start w:val="1"/>
    </w:lvl>
  </w:abstractNum>
  <w:abstractNum w:abstractNumId="64">
    <w:nsid w:val="14330624"/>
    <w:multiLevelType w:val="hybridMultilevel"/>
    <w:lvl w:ilvl="0">
      <w:lvlJc w:val="left"/>
      <w:lvlText w:val="·"/>
      <w:numFmt w:val="bullet"/>
      <w:start w:val="1"/>
    </w:lvl>
  </w:abstractNum>
  <w:abstractNum w:abstractNumId="65">
    <w:nsid w:val="7FFFCA11"/>
    <w:multiLevelType w:val="hybridMultilevel"/>
    <w:lvl w:ilvl="0">
      <w:lvlJc w:val="left"/>
      <w:lvlText w:val="o"/>
      <w:numFmt w:val="bullet"/>
      <w:start w:val="1"/>
    </w:lvl>
  </w:abstractNum>
  <w:abstractNum w:abstractNumId="66">
    <w:nsid w:val="1A27709E"/>
    <w:multiLevelType w:val="hybridMultilevel"/>
    <w:lvl w:ilvl="0">
      <w:lvlJc w:val="left"/>
      <w:lvlText w:val="(%1)"/>
      <w:numFmt w:val="decimal"/>
      <w:start w:val="1"/>
    </w:lvl>
  </w:abstractNum>
  <w:abstractNum w:abstractNumId="67">
    <w:nsid w:val="71EA1109"/>
    <w:multiLevelType w:val="hybridMultilevel"/>
    <w:lvl w:ilvl="0">
      <w:lvlJc w:val="left"/>
      <w:lvlText w:val="(%1)"/>
      <w:numFmt w:val="decimal"/>
      <w:start w:val="4"/>
    </w:lvl>
  </w:abstractNum>
  <w:abstractNum w:abstractNumId="68">
    <w:nsid w:val="100F59DC"/>
    <w:multiLevelType w:val="hybridMultilevel"/>
    <w:lvl w:ilvl="0">
      <w:lvlJc w:val="left"/>
      <w:lvlText w:val="(%1)"/>
      <w:numFmt w:val="decimal"/>
      <w:start w:val="5"/>
    </w:lvl>
  </w:abstractNum>
  <w:abstractNum w:abstractNumId="69">
    <w:nsid w:val="7FB7E0AA"/>
    <w:multiLevelType w:val="hybridMultilevel"/>
    <w:lvl w:ilvl="0">
      <w:lvlJc w:val="left"/>
      <w:lvlText w:val="(%1)"/>
      <w:numFmt w:val="decimal"/>
      <w:start w:val="1"/>
    </w:lvl>
    <w:lvl w:ilvl="1">
      <w:lvlJc w:val="left"/>
      <w:lvlText w:val="-"/>
      <w:numFmt w:val="bullet"/>
      <w:start w:val="1"/>
    </w:lvl>
  </w:abstractNum>
  <w:abstractNum w:abstractNumId="70">
    <w:nsid w:val="6EB5BD4"/>
    <w:multiLevelType w:val="hybridMultilevel"/>
    <w:lvl w:ilvl="0">
      <w:lvlJc w:val="left"/>
      <w:lvlText w:val="(%1)"/>
      <w:numFmt w:val="decimal"/>
      <w:start w:val="1"/>
    </w:lvl>
    <w:lvl w:ilvl="1">
      <w:lvlJc w:val="left"/>
      <w:lvlText w:val="-"/>
      <w:numFmt w:val="bullet"/>
      <w:start w:val="1"/>
    </w:lvl>
  </w:abstractNum>
  <w:abstractNum w:abstractNumId="71">
    <w:nsid w:val="6F6DD9AC"/>
    <w:multiLevelType w:val="hybridMultilevel"/>
    <w:lvl w:ilvl="0">
      <w:lvlJc w:val="left"/>
      <w:lvlText w:val="·"/>
      <w:numFmt w:val="bullet"/>
      <w:start w:val="1"/>
    </w:lvl>
  </w:abstractNum>
  <w:abstractNum w:abstractNumId="72">
    <w:nsid w:val="94211F2"/>
    <w:multiLevelType w:val="hybridMultilevel"/>
    <w:lvl w:ilvl="0">
      <w:lvlJc w:val="left"/>
      <w:lvlText w:val="·"/>
      <w:numFmt w:val="bullet"/>
      <w:start w:val="1"/>
    </w:lvl>
    <w:lvl w:ilvl="1">
      <w:lvlJc w:val="left"/>
      <w:lvlText w:val="o"/>
      <w:numFmt w:val="bullet"/>
      <w:start w:val="1"/>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
      <w:numFmt w:val="bullet"/>
      <w:start w:val="1"/>
    </w:lvl>
  </w:abstractNum>
  <w:abstractNum w:abstractNumId="75">
    <w:nsid w:val="4C04A8AF"/>
    <w:multiLevelType w:val="hybridMultilevel"/>
    <w:lvl w:ilvl="0">
      <w:lvlJc w:val="left"/>
      <w:lvlText w:val="·"/>
      <w:numFmt w:val="bullet"/>
      <w:start w:val="1"/>
    </w:lvl>
  </w:abstractNum>
  <w:abstractNum w:abstractNumId="76">
    <w:nsid w:val="1716703B"/>
    <w:multiLevelType w:val="hybridMultilevel"/>
    <w:lvl w:ilvl="0">
      <w:lvlJc w:val="left"/>
      <w:lvlText w:val="·"/>
      <w:numFmt w:val="bullet"/>
      <w:start w:val="1"/>
    </w:lvl>
  </w:abstractNum>
  <w:abstractNum w:abstractNumId="77">
    <w:nsid w:val="14E17E33"/>
    <w:multiLevelType w:val="hybridMultilevel"/>
    <w:lvl w:ilvl="0">
      <w:lvlJc w:val="left"/>
      <w:lvlText w:val="·"/>
      <w:numFmt w:val="bullet"/>
      <w:start w:val="1"/>
    </w:lvl>
  </w:abstractNum>
  <w:abstractNum w:abstractNumId="78">
    <w:nsid w:val="3222E7CD"/>
    <w:multiLevelType w:val="hybridMultilevel"/>
    <w:lvl w:ilvl="0">
      <w:lvlJc w:val="left"/>
      <w:lvlText w:val="·"/>
      <w:numFmt w:val="bullet"/>
      <w:start w:val="1"/>
    </w:lvl>
  </w:abstractNum>
  <w:abstractNum w:abstractNumId="79">
    <w:nsid w:val="74DE0EE3"/>
    <w:multiLevelType w:val="hybridMultilevel"/>
    <w:lvl w:ilvl="0">
      <w:lvlJc w:val="left"/>
      <w:lvlText w:val="(%1)"/>
      <w:numFmt w:val="decimal"/>
      <w:start w:val="1"/>
    </w:lvl>
    <w:lvl w:ilvl="1">
      <w:lvlJc w:val="left"/>
      <w:lvlText w:val="(%2)"/>
      <w:numFmt w:val="lowerLetter"/>
      <w:start w:val="1"/>
    </w:lvl>
  </w:abstractNum>
  <w:abstractNum w:abstractNumId="80">
    <w:nsid w:val="68EBC550"/>
    <w:multiLevelType w:val="hybridMultilevel"/>
    <w:lvl w:ilvl="0">
      <w:lvlJc w:val="left"/>
      <w:lvlText w:val="·"/>
      <w:numFmt w:val="bullet"/>
      <w:start w:val="1"/>
    </w:lvl>
    <w:lvl w:ilvl="1">
      <w:lvlJc w:val="left"/>
      <w:lvlText w:val="-"/>
      <w:numFmt w:val="bullet"/>
      <w:start w:val="1"/>
    </w:lvl>
  </w:abstractNum>
  <w:abstractNum w:abstractNumId="81">
    <w:nsid w:val="2DF6D648"/>
    <w:multiLevelType w:val="hybridMultilevel"/>
    <w:lvl w:ilvl="0">
      <w:lvlJc w:val="left"/>
      <w:lvlText w:val="·"/>
      <w:numFmt w:val="bullet"/>
      <w:start w:val="1"/>
    </w:lvl>
  </w:abstractNum>
  <w:abstractNum w:abstractNumId="82">
    <w:nsid w:val="46B7D447"/>
    <w:multiLevelType w:val="hybridMultilevel"/>
    <w:lvl w:ilvl="0">
      <w:lvlJc w:val="left"/>
      <w:lvlText w:val="·"/>
      <w:numFmt w:val="bullet"/>
      <w:start w:val="1"/>
    </w:lvl>
  </w:abstractNum>
  <w:abstractNum w:abstractNumId="83">
    <w:nsid w:val="4A2AC315"/>
    <w:multiLevelType w:val="hybridMultilevel"/>
    <w:lvl w:ilvl="0">
      <w:lvlJc w:val="left"/>
      <w:lvlText w:val="·"/>
      <w:numFmt w:val="bullet"/>
      <w:start w:val="1"/>
    </w:lvl>
  </w:abstractNum>
  <w:abstractNum w:abstractNumId="84">
    <w:nsid w:val="39EE015C"/>
    <w:multiLevelType w:val="hybridMultilevel"/>
    <w:lvl w:ilvl="0">
      <w:lvlJc w:val="left"/>
      <w:lvlText w:val="·"/>
      <w:numFmt w:val="bullet"/>
      <w:start w:val="1"/>
    </w:lvl>
  </w:abstractNum>
  <w:abstractNum w:abstractNumId="85">
    <w:nsid w:val="57FC4FBB"/>
    <w:multiLevelType w:val="hybridMultilevel"/>
    <w:lvl w:ilvl="0">
      <w:lvlJc w:val="left"/>
      <w:lvlText w:val="(%1)"/>
      <w:numFmt w:val="upperLetter"/>
      <w:start w:val="1"/>
    </w:lvl>
    <w:lvl w:ilvl="1">
      <w:lvlJc w:val="left"/>
      <w:lvlText w:val="(%2)"/>
      <w:numFmt w:val="lowerRoman"/>
      <w:start w:val="1"/>
    </w:lvl>
  </w:abstractNum>
  <w:abstractNum w:abstractNumId="86">
    <w:nsid w:val="CC1016F"/>
    <w:multiLevelType w:val="hybridMultilevel"/>
    <w:lvl w:ilvl="0">
      <w:lvlJc w:val="left"/>
      <w:lvlText w:val="%1"/>
      <w:numFmt w:val="lowerRoman"/>
      <w:start w:val="1"/>
    </w:lvl>
    <w:lvl w:ilvl="1">
      <w:lvlJc w:val="left"/>
      <w:lvlText w:val="(%2)"/>
      <w:numFmt w:val="lowerLetter"/>
      <w:start w:val="2"/>
    </w:lvl>
  </w:abstractNum>
  <w:abstractNum w:abstractNumId="87">
    <w:nsid w:val="43F18422"/>
    <w:multiLevelType w:val="hybridMultilevel"/>
    <w:lvl w:ilvl="0">
      <w:lvlJc w:val="left"/>
      <w:lvlText w:val="(%1)"/>
      <w:numFmt w:val="lowerRoman"/>
      <w:start w:val="4"/>
    </w:lvl>
    <w:lvl w:ilvl="1">
      <w:lvlJc w:val="left"/>
      <w:lvlText w:val="%2"/>
      <w:numFmt w:val="lowerLetter"/>
      <w:start w:val="1"/>
    </w:lvl>
  </w:abstractNum>
  <w:abstractNum w:abstractNumId="88">
    <w:nsid w:val="60EF0119"/>
    <w:multiLevelType w:val="hybridMultilevel"/>
    <w:lvl w:ilvl="0">
      <w:lvlJc w:val="left"/>
      <w:lvlText w:val="(%1)"/>
      <w:numFmt w:val="lowerLetter"/>
      <w:start w:val="2"/>
    </w:lvl>
  </w:abstractNum>
  <w:abstractNum w:abstractNumId="89">
    <w:nsid w:val="26F324BA"/>
    <w:multiLevelType w:val="hybridMultilevel"/>
    <w:lvl w:ilvl="0">
      <w:lvlJc w:val="left"/>
      <w:lvlText w:val="(%1)"/>
      <w:numFmt w:val="decimal"/>
      <w:start w:val="1"/>
    </w:lvl>
    <w:lvl w:ilvl="1">
      <w:lvlJc w:val="left"/>
      <w:lvlText w:val="(%2)"/>
      <w:numFmt w:val="lowerLetter"/>
      <w:start w:val="3"/>
    </w:lvl>
  </w:abstractNum>
  <w:abstractNum w:abstractNumId="90">
    <w:nsid w:val="7F01579B"/>
    <w:multiLevelType w:val="hybridMultilevel"/>
    <w:lvl w:ilvl="0">
      <w:lvlJc w:val="left"/>
      <w:lvlText w:val="%1"/>
      <w:numFmt w:val="decimal"/>
      <w:start w:val="1"/>
    </w:lvl>
    <w:lvl w:ilvl="1">
      <w:lvlJc w:val="left"/>
      <w:lvlText w:val="(%2)"/>
      <w:numFmt w:val="lowerLetter"/>
      <w:start w:val="4"/>
    </w:lvl>
  </w:abstractNum>
  <w:abstractNum w:abstractNumId="91">
    <w:nsid w:val="49DA307D"/>
    <w:multiLevelType w:val="hybridMultilevel"/>
    <w:lvl w:ilvl="0">
      <w:lvlJc w:val="left"/>
      <w:lvlText w:val="(%1)"/>
      <w:numFmt w:val="decimal"/>
      <w:start w:val="1"/>
    </w:lvl>
    <w:lvl w:ilvl="1">
      <w:lvlJc w:val="left"/>
      <w:lvlText w:val="%2"/>
      <w:numFmt w:val="lowerLetter"/>
      <w:start w:val="1"/>
    </w:lvl>
  </w:abstractNum>
  <w:abstractNum w:abstractNumId="92">
    <w:nsid w:val="7055A5F5"/>
    <w:multiLevelType w:val="hybridMultilevel"/>
    <w:lvl w:ilvl="0">
      <w:lvlJc w:val="left"/>
      <w:lvlText w:val="(%1)"/>
      <w:numFmt w:val="lowerLetter"/>
      <w:start w:val="5"/>
    </w:lvl>
  </w:abstractNum>
  <w:abstractNum w:abstractNumId="93">
    <w:nsid w:val="5FB8370B"/>
    <w:multiLevelType w:val="hybridMultilevel"/>
    <w:lvl w:ilvl="0">
      <w:lvlJc w:val="left"/>
      <w:lvlText w:val="%1"/>
      <w:numFmt w:val="decimal"/>
      <w:start w:val="1"/>
    </w:lvl>
    <w:lvl w:ilvl="1">
      <w:lvlJc w:val="left"/>
      <w:lvlText w:val="(%2)"/>
      <w:numFmt w:val="lowerLetter"/>
      <w:start w:val="6"/>
    </w:lvl>
  </w:abstractNum>
  <w:abstractNum w:abstractNumId="94">
    <w:nsid w:val="50801EE1"/>
    <w:multiLevelType w:val="hybridMultilevel"/>
    <w:lvl w:ilvl="0">
      <w:lvlJc w:val="left"/>
      <w:lvlText w:val="(%1)"/>
      <w:numFmt w:val="decimal"/>
      <w:start w:val="1"/>
    </w:lvl>
    <w:lvl w:ilvl="1">
      <w:lvlJc w:val="left"/>
      <w:lvlText w:val="(%2)"/>
      <w:numFmt w:val="lowerLetter"/>
      <w:start w:val="9"/>
    </w:lvl>
  </w:abstractNum>
  <w:abstractNum w:abstractNumId="95">
    <w:nsid w:val="488AC1A"/>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0"/>
    </w:lvl>
  </w:abstractNum>
  <w:abstractNum w:abstractNumId="96">
    <w:nsid w:val="5FB8011C"/>
    <w:multiLevelType w:val="hybridMultilevel"/>
    <w:lvl w:ilvl="0">
      <w:lvlJc w:val="left"/>
      <w:lvlText w:val="%1"/>
      <w:numFmt w:val="upperLetter"/>
      <w:start w:val="1"/>
    </w:lvl>
    <w:lvl w:ilvl="1">
      <w:lvlJc w:val="left"/>
      <w:lvlText w:val="(%2)"/>
      <w:numFmt w:val="lowerRoman"/>
      <w:start w:val="6"/>
    </w:lvl>
    <w:lvl w:ilvl="2">
      <w:lvlJc w:val="left"/>
      <w:lvlText w:val="%3"/>
      <w:numFmt w:val="lowerLetter"/>
      <w:start w:val="1"/>
    </w:lvl>
  </w:abstractNum>
  <w:abstractNum w:abstractNumId="97">
    <w:nsid w:val="6AA78F7F"/>
    <w:multiLevelType w:val="hybridMultilevel"/>
    <w:lvl w:ilvl="0">
      <w:lvlJc w:val="left"/>
      <w:lvlText w:val="(%1)"/>
      <w:numFmt w:val="upperLetter"/>
      <w:start w:val="3"/>
    </w:lvl>
    <w:lvl w:ilvl="1">
      <w:lvlJc w:val="left"/>
      <w:lvlText w:val="%2"/>
      <w:numFmt w:val="lowerRoman"/>
      <w:start w:val="1"/>
    </w:lvl>
    <w:lvl w:ilvl="2">
      <w:lvlJc w:val="left"/>
      <w:lvlText w:val="%3"/>
      <w:numFmt w:val="lowerLetter"/>
      <w:start w:val="1"/>
    </w:lvl>
  </w:abstractNum>
  <w:abstractNum w:abstractNumId="98">
    <w:nsid w:val="7672BD23"/>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2019-12-06T11:38:53Z</dcterms:created>
  <dcterms:modified xsi:type="dcterms:W3CDTF">2019-12-06T11:38:53Z</dcterms:modified>
</cp:coreProperties>
</file>