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color w:val="auto"/>
        </w:rPr>
        <w:t>UNITED STATES</w:t>
      </w:r>
    </w:p>
    <w:p>
      <w:pPr>
        <w:jc w:val="center"/>
        <w:spacing w:after="0" w:line="238" w:lineRule="auto"/>
        <w:rPr>
          <w:sz w:val="20"/>
          <w:szCs w:val="20"/>
          <w:color w:val="auto"/>
        </w:rPr>
      </w:pPr>
      <w:r>
        <w:rPr>
          <w:rFonts w:ascii="Arial" w:cs="Arial" w:eastAsia="Arial" w:hAnsi="Arial"/>
          <w:sz w:val="22"/>
          <w:szCs w:val="22"/>
          <w:color w:val="auto"/>
        </w:rPr>
        <w:t>SECURITIES AND EXCHANGE COMMISSION</w:t>
      </w:r>
    </w:p>
    <w:p>
      <w:pPr>
        <w:jc w:val="center"/>
        <w:spacing w:after="0"/>
        <w:rPr>
          <w:sz w:val="20"/>
          <w:szCs w:val="20"/>
          <w:color w:val="auto"/>
        </w:rPr>
      </w:pPr>
      <w:r>
        <w:rPr>
          <w:rFonts w:ascii="Arial" w:cs="Arial" w:eastAsia="Arial" w:hAnsi="Arial"/>
          <w:sz w:val="22"/>
          <w:szCs w:val="22"/>
          <w:color w:val="auto"/>
        </w:rPr>
        <w:t>Washington, D.C. 20549</w:t>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SCHEDULE 13D</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Under the Securities Exchange Act of 1934</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(Amendment No. 31)*</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w:t>
      </w:r>
      <w:r>
        <w:rPr>
          <w:rFonts w:ascii="Arial" w:cs="Arial" w:eastAsia="Arial" w:hAnsi="Arial"/>
          <w:sz w:val="22"/>
          <w:szCs w:val="22"/>
          <w:b w:val="1"/>
          <w:bCs w:val="1"/>
          <w:color w:val="auto"/>
        </w:rPr>
        <w:t>OMP</w:t>
      </w:r>
      <w:r>
        <w:rPr>
          <w:rFonts w:ascii="Arial" w:cs="Arial" w:eastAsia="Arial" w:hAnsi="Arial"/>
          <w:sz w:val="32"/>
          <w:szCs w:val="32"/>
          <w:b w:val="1"/>
          <w:bCs w:val="1"/>
          <w:color w:val="auto"/>
        </w:rPr>
        <w:t>X I</w:t>
      </w:r>
      <w:r>
        <w:rPr>
          <w:rFonts w:ascii="Arial" w:cs="Arial" w:eastAsia="Arial" w:hAnsi="Arial"/>
          <w:sz w:val="22"/>
          <w:szCs w:val="22"/>
          <w:b w:val="1"/>
          <w:bCs w:val="1"/>
          <w:color w:val="auto"/>
        </w:rPr>
        <w:t>NTERNATIONAL</w:t>
      </w:r>
      <w:r>
        <w:rPr>
          <w:rFonts w:ascii="Arial" w:cs="Arial" w:eastAsia="Arial" w:hAnsi="Arial"/>
          <w:sz w:val="32"/>
          <w:szCs w:val="32"/>
          <w:b w:val="1"/>
          <w:bCs w:val="1"/>
          <w:color w:val="auto"/>
        </w:rPr>
        <w:t xml:space="preserve"> I</w:t>
      </w:r>
      <w:r>
        <w:rPr>
          <w:rFonts w:ascii="Arial" w:cs="Arial" w:eastAsia="Arial" w:hAnsi="Arial"/>
          <w:sz w:val="22"/>
          <w:szCs w:val="22"/>
          <w:b w:val="1"/>
          <w:bCs w:val="1"/>
          <w:color w:val="auto"/>
        </w:rPr>
        <w:t>NC</w:t>
      </w:r>
      <w:r>
        <w:rPr>
          <w:rFonts w:ascii="Arial" w:cs="Arial" w:eastAsia="Arial" w:hAnsi="Arial"/>
          <w:sz w:val="32"/>
          <w:szCs w:val="32"/>
          <w:b w:val="1"/>
          <w:bCs w:val="1"/>
          <w:color w:val="auto"/>
        </w:rPr>
        <w:t>.</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(Name of Issuer)</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Class A Common Stock, par value $0.01 per share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(Title of Class of Securities)</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20563P 10 1</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(CUSIP Number)</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w:t>
      </w:r>
      <w:r>
        <w:rPr>
          <w:rFonts w:ascii="Arial" w:cs="Arial" w:eastAsia="Arial" w:hAnsi="Arial"/>
          <w:sz w:val="14"/>
          <w:szCs w:val="14"/>
          <w:b w:val="1"/>
          <w:bCs w:val="1"/>
          <w:color w:val="auto"/>
        </w:rPr>
        <w:t>OBERT</w:t>
      </w:r>
      <w:r>
        <w:rPr>
          <w:rFonts w:ascii="Arial" w:cs="Arial" w:eastAsia="Arial" w:hAnsi="Arial"/>
          <w:sz w:val="22"/>
          <w:szCs w:val="22"/>
          <w:b w:val="1"/>
          <w:bCs w:val="1"/>
          <w:color w:val="auto"/>
        </w:rPr>
        <w:t xml:space="preserve"> D. G</w:t>
      </w:r>
      <w:r>
        <w:rPr>
          <w:rFonts w:ascii="Arial" w:cs="Arial" w:eastAsia="Arial" w:hAnsi="Arial"/>
          <w:sz w:val="14"/>
          <w:szCs w:val="14"/>
          <w:b w:val="1"/>
          <w:bCs w:val="1"/>
          <w:color w:val="auto"/>
        </w:rPr>
        <w:t>RAHAM</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w:t>
      </w:r>
      <w:r>
        <w:rPr>
          <w:rFonts w:ascii="Arial" w:cs="Arial" w:eastAsia="Arial" w:hAnsi="Arial"/>
          <w:sz w:val="14"/>
          <w:szCs w:val="14"/>
          <w:b w:val="1"/>
          <w:bCs w:val="1"/>
          <w:color w:val="auto"/>
        </w:rPr>
        <w:t>HREE</w:t>
      </w:r>
      <w:r>
        <w:rPr>
          <w:rFonts w:ascii="Arial" w:cs="Arial" w:eastAsia="Arial" w:hAnsi="Arial"/>
          <w:sz w:val="22"/>
          <w:szCs w:val="22"/>
          <w:b w:val="1"/>
          <w:bCs w:val="1"/>
          <w:color w:val="auto"/>
        </w:rPr>
        <w:t xml:space="preserve"> L</w:t>
      </w:r>
      <w:r>
        <w:rPr>
          <w:rFonts w:ascii="Arial" w:cs="Arial" w:eastAsia="Arial" w:hAnsi="Arial"/>
          <w:sz w:val="14"/>
          <w:szCs w:val="14"/>
          <w:b w:val="1"/>
          <w:bCs w:val="1"/>
          <w:color w:val="auto"/>
        </w:rPr>
        <w:t>INCOLN</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ENTRE</w:t>
      </w:r>
    </w:p>
    <w:p>
      <w:pPr>
        <w:jc w:val="center"/>
        <w:spacing w:after="0" w:line="230" w:lineRule="auto"/>
        <w:rPr>
          <w:sz w:val="20"/>
          <w:szCs w:val="20"/>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UITE</w:t>
      </w:r>
      <w:r>
        <w:rPr>
          <w:rFonts w:ascii="Arial" w:cs="Arial" w:eastAsia="Arial" w:hAnsi="Arial"/>
          <w:sz w:val="22"/>
          <w:szCs w:val="22"/>
          <w:b w:val="1"/>
          <w:bCs w:val="1"/>
          <w:color w:val="auto"/>
        </w:rPr>
        <w:t xml:space="preserve"> 1700</w:t>
      </w:r>
    </w:p>
    <w:p>
      <w:pPr>
        <w:jc w:val="center"/>
        <w:spacing w:after="0" w:line="231" w:lineRule="auto"/>
        <w:rPr>
          <w:sz w:val="20"/>
          <w:szCs w:val="20"/>
          <w:color w:val="auto"/>
        </w:rPr>
      </w:pPr>
      <w:r>
        <w:rPr>
          <w:rFonts w:ascii="Arial" w:cs="Arial" w:eastAsia="Arial" w:hAnsi="Arial"/>
          <w:sz w:val="22"/>
          <w:szCs w:val="22"/>
          <w:b w:val="1"/>
          <w:bCs w:val="1"/>
          <w:color w:val="auto"/>
        </w:rPr>
        <w:t>5430 LBJ F</w:t>
      </w:r>
      <w:r>
        <w:rPr>
          <w:rFonts w:ascii="Arial" w:cs="Arial" w:eastAsia="Arial" w:hAnsi="Arial"/>
          <w:sz w:val="14"/>
          <w:szCs w:val="14"/>
          <w:b w:val="1"/>
          <w:bCs w:val="1"/>
          <w:color w:val="auto"/>
        </w:rPr>
        <w:t>REEWAY</w:t>
      </w:r>
    </w:p>
    <w:p>
      <w:pPr>
        <w:jc w:val="center"/>
        <w:spacing w:after="0" w:line="230" w:lineRule="auto"/>
        <w:rPr>
          <w:sz w:val="20"/>
          <w:szCs w:val="20"/>
          <w:color w:val="auto"/>
        </w:rPr>
      </w:pPr>
      <w:r>
        <w:rPr>
          <w:rFonts w:ascii="Arial" w:cs="Arial" w:eastAsia="Arial" w:hAnsi="Arial"/>
          <w:sz w:val="22"/>
          <w:szCs w:val="22"/>
          <w:b w:val="1"/>
          <w:bCs w:val="1"/>
          <w:color w:val="auto"/>
        </w:rPr>
        <w:t>D</w:t>
      </w:r>
      <w:r>
        <w:rPr>
          <w:rFonts w:ascii="Arial" w:cs="Arial" w:eastAsia="Arial" w:hAnsi="Arial"/>
          <w:sz w:val="14"/>
          <w:szCs w:val="14"/>
          <w:b w:val="1"/>
          <w:bCs w:val="1"/>
          <w:color w:val="auto"/>
        </w:rPr>
        <w:t>ALLAS</w:t>
      </w:r>
      <w:r>
        <w:rPr>
          <w:rFonts w:ascii="Arial" w:cs="Arial" w:eastAsia="Arial" w:hAnsi="Arial"/>
          <w:sz w:val="22"/>
          <w:szCs w:val="22"/>
          <w:b w:val="1"/>
          <w:bCs w:val="1"/>
          <w:color w:val="auto"/>
        </w:rPr>
        <w:t>, T</w:t>
      </w:r>
      <w:r>
        <w:rPr>
          <w:rFonts w:ascii="Arial" w:cs="Arial" w:eastAsia="Arial" w:hAnsi="Arial"/>
          <w:sz w:val="14"/>
          <w:szCs w:val="14"/>
          <w:b w:val="1"/>
          <w:bCs w:val="1"/>
          <w:color w:val="auto"/>
        </w:rPr>
        <w:t>EXAS</w:t>
      </w:r>
      <w:r>
        <w:rPr>
          <w:rFonts w:ascii="Arial" w:cs="Arial" w:eastAsia="Arial" w:hAnsi="Arial"/>
          <w:sz w:val="22"/>
          <w:szCs w:val="22"/>
          <w:b w:val="1"/>
          <w:bCs w:val="1"/>
          <w:color w:val="auto"/>
        </w:rPr>
        <w:t xml:space="preserve">  75240-2620</w:t>
      </w:r>
    </w:p>
    <w:p>
      <w:pPr>
        <w:jc w:val="center"/>
        <w:spacing w:after="0" w:line="231" w:lineRule="auto"/>
        <w:rPr>
          <w:sz w:val="20"/>
          <w:szCs w:val="20"/>
          <w:color w:val="auto"/>
        </w:rPr>
      </w:pPr>
      <w:r>
        <w:rPr>
          <w:rFonts w:ascii="Arial" w:cs="Arial" w:eastAsia="Arial" w:hAnsi="Arial"/>
          <w:sz w:val="22"/>
          <w:szCs w:val="22"/>
          <w:b w:val="1"/>
          <w:bCs w:val="1"/>
          <w:color w:val="auto"/>
        </w:rPr>
        <w:t>(972) 233-1700</w:t>
      </w:r>
    </w:p>
    <w:p>
      <w:pPr>
        <w:jc w:val="center"/>
        <w:spacing w:after="0" w:line="230" w:lineRule="auto"/>
        <w:rPr>
          <w:sz w:val="20"/>
          <w:szCs w:val="20"/>
          <w:color w:val="auto"/>
        </w:rPr>
      </w:pPr>
      <w:r>
        <w:rPr>
          <w:rFonts w:ascii="Arial" w:cs="Arial" w:eastAsia="Arial" w:hAnsi="Arial"/>
          <w:sz w:val="22"/>
          <w:szCs w:val="22"/>
          <w:color w:val="auto"/>
        </w:rPr>
        <w:t>(Name, Address and Telephone Number of Person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Authorized to Receive Notices and Communications)</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April 22, 2020</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Event which requires Filing</w:t>
      </w:r>
    </w:p>
    <w:p>
      <w:pPr>
        <w:jc w:val="center"/>
        <w:spacing w:after="0"/>
        <w:rPr>
          <w:sz w:val="20"/>
          <w:szCs w:val="20"/>
          <w:color w:val="auto"/>
        </w:rPr>
      </w:pPr>
      <w:r>
        <w:rPr>
          <w:rFonts w:ascii="Arial" w:cs="Arial" w:eastAsia="Arial" w:hAnsi="Arial"/>
          <w:sz w:val="22"/>
          <w:szCs w:val="22"/>
          <w:color w:val="auto"/>
        </w:rPr>
        <w:t>of this Statement)</w:t>
      </w:r>
    </w:p>
    <w:p>
      <w:pPr>
        <w:spacing w:after="0" w:line="215" w:lineRule="exact"/>
        <w:rPr>
          <w:sz w:val="24"/>
          <w:szCs w:val="24"/>
          <w:color w:val="auto"/>
        </w:rPr>
      </w:pPr>
    </w:p>
    <w:p>
      <w:pPr>
        <w:jc w:val="both"/>
        <w:ind w:right="20"/>
        <w:spacing w:after="0" w:line="281" w:lineRule="auto"/>
        <w:rPr>
          <w:sz w:val="20"/>
          <w:szCs w:val="20"/>
          <w:color w:val="auto"/>
        </w:rPr>
      </w:pPr>
      <w:r>
        <w:rPr>
          <w:rFonts w:ascii="Arial" w:cs="Arial" w:eastAsia="Arial" w:hAnsi="Arial"/>
          <w:sz w:val="19"/>
          <w:szCs w:val="19"/>
          <w:color w:val="auto"/>
        </w:rPr>
        <w:t>If the filing person has previously filed a statement on Schedule 13G to report the acquisition that is the subject of this Schedule 13D, and is filing this schedule because of sections 240.13d-1(e), 240.13d-1(f) or 240.13d-1(g),</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check the following box. </w:t>
      </w:r>
      <w:r>
        <w:rPr>
          <w:rFonts w:ascii="Arial" w:cs="Arial" w:eastAsia="Arial" w:hAnsi="Arial"/>
          <w:sz w:val="25"/>
          <w:szCs w:val="25"/>
          <w:color w:val="auto"/>
        </w:rPr>
        <w:t>□</w:t>
      </w:r>
    </w:p>
    <w:p>
      <w:pPr>
        <w:spacing w:after="0" w:line="226" w:lineRule="exact"/>
        <w:rPr>
          <w:sz w:val="24"/>
          <w:szCs w:val="24"/>
          <w:color w:val="auto"/>
        </w:rPr>
      </w:pPr>
    </w:p>
    <w:p>
      <w:pPr>
        <w:jc w:val="both"/>
        <w:ind w:right="20"/>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13" w:lineRule="exact"/>
        <w:rPr>
          <w:sz w:val="24"/>
          <w:szCs w:val="24"/>
          <w:color w:val="auto"/>
        </w:rPr>
      </w:pPr>
    </w:p>
    <w:p>
      <w:pPr>
        <w:jc w:val="both"/>
        <w:spacing w:after="0" w:line="257" w:lineRule="auto"/>
        <w:rPr>
          <w:sz w:val="20"/>
          <w:szCs w:val="20"/>
          <w:color w:val="auto"/>
        </w:rPr>
      </w:pPr>
      <w:r>
        <w:rPr>
          <w:rFonts w:ascii="Arial" w:cs="Arial" w:eastAsia="Arial" w:hAnsi="Arial"/>
          <w:sz w:val="21"/>
          <w:szCs w:val="21"/>
          <w:color w:val="auto"/>
        </w:rPr>
        <w:t xml:space="preserve">The information required on the remainder of this cover page shall not be deemed to be “filed” for the purpose of Section 18 of the Securities Exchange Act of 1934 (“ </w:t>
      </w:r>
      <w:r>
        <w:rPr>
          <w:rFonts w:ascii="Arial" w:cs="Arial" w:eastAsia="Arial" w:hAnsi="Arial"/>
          <w:sz w:val="21"/>
          <w:szCs w:val="21"/>
          <w:i w:val="1"/>
          <w:iCs w:val="1"/>
          <w:color w:val="auto"/>
        </w:rPr>
        <w:t>Act</w:t>
      </w:r>
      <w:r>
        <w:rPr>
          <w:rFonts w:ascii="Arial" w:cs="Arial" w:eastAsia="Arial" w:hAnsi="Arial"/>
          <w:sz w:val="21"/>
          <w:szCs w:val="21"/>
          <w:color w:val="auto"/>
        </w:rPr>
        <w:t xml:space="preserve"> ”) or otherwise subject to the liabilities of that section of the Act but shall be subject to all other provisions of the Act (however, see the Notes).</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(Continued on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118745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40"/>
          </w:cols>
          <w:pgMar w:left="980" w:top="226" w:right="97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 xml:space="preserve">CUSIP No. </w:t>
      </w:r>
      <w:r>
        <w:rPr>
          <w:rFonts w:ascii="Arial" w:cs="Arial" w:eastAsia="Arial" w:hAnsi="Arial"/>
          <w:sz w:val="22"/>
          <w:szCs w:val="22"/>
          <w:b w:val="1"/>
          <w:bCs w:val="1"/>
          <w:color w:val="auto"/>
        </w:rPr>
        <w:t>20563P 10 1</w:t>
      </w:r>
    </w:p>
    <w:p>
      <w:pPr>
        <w:spacing w:after="0" w:line="246" w:lineRule="exact"/>
        <w:rPr>
          <w:sz w:val="20"/>
          <w:szCs w:val="20"/>
          <w:color w:val="auto"/>
        </w:rPr>
      </w:pPr>
    </w:p>
    <w:p>
      <w:pPr>
        <w:ind w:left="1200" w:hanging="643"/>
        <w:spacing w:after="0"/>
        <w:tabs>
          <w:tab w:leader="none" w:pos="1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b w:val="1"/>
          <w:bCs w:val="1"/>
          <w:color w:val="auto"/>
        </w:rPr>
        <w:t>NL Industries,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 w:lineRule="exact"/>
        <w:rPr>
          <w:sz w:val="20"/>
          <w:szCs w:val="20"/>
          <w:color w:val="auto"/>
        </w:rPr>
      </w:pPr>
    </w:p>
    <w:p>
      <w:pPr>
        <w:ind w:left="1200" w:hanging="643"/>
        <w:spacing w:after="0"/>
        <w:tabs>
          <w:tab w:leader="none" w:pos="12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480" w:hanging="284"/>
        <w:spacing w:after="0"/>
        <w:tabs>
          <w:tab w:leader="none" w:pos="1480" w:val="left"/>
        </w:tabs>
        <w:numPr>
          <w:ilvl w:val="1"/>
          <w:numId w:val="2"/>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500" w:hanging="304"/>
        <w:spacing w:after="0"/>
        <w:tabs>
          <w:tab w:leader="none" w:pos="1500" w:val="left"/>
        </w:tabs>
        <w:numPr>
          <w:ilvl w:val="1"/>
          <w:numId w:val="2"/>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 w:lineRule="exact"/>
        <w:rPr>
          <w:sz w:val="20"/>
          <w:szCs w:val="20"/>
          <w:color w:val="auto"/>
        </w:rPr>
      </w:pPr>
    </w:p>
    <w:p>
      <w:pPr>
        <w:ind w:left="1200" w:hanging="643"/>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1200" w:hanging="643"/>
        <w:spacing w:after="0"/>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1200" w:right="4720" w:hanging="643"/>
        <w:spacing w:after="0" w:line="277" w:lineRule="auto"/>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7" w:lineRule="exact"/>
        <w:rPr>
          <w:sz w:val="20"/>
          <w:szCs w:val="20"/>
          <w:color w:val="auto"/>
        </w:rPr>
      </w:pPr>
    </w:p>
    <w:p>
      <w:pPr>
        <w:ind w:left="1200" w:hanging="643"/>
        <w:spacing w:after="0"/>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b w:val="1"/>
          <w:bCs w:val="1"/>
          <w:color w:val="auto"/>
        </w:rPr>
        <w:t>New Jersey</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NUMBER OF</w:t>
            </w:r>
          </w:p>
        </w:tc>
        <w:tc>
          <w:tcPr>
            <w:tcW w:w="1060" w:type="dxa"/>
            <w:vAlign w:val="bottom"/>
            <w:tcBorders>
              <w:top w:val="single" w:sz="8" w:color="auto"/>
            </w:tcBorders>
          </w:tcPr>
          <w:p>
            <w:pPr>
              <w:jc w:val="center"/>
              <w:ind w:left="190"/>
              <w:spacing w:after="0"/>
              <w:rPr>
                <w:sz w:val="20"/>
                <w:szCs w:val="20"/>
                <w:color w:val="auto"/>
              </w:rPr>
            </w:pPr>
            <w:r>
              <w:rPr>
                <w:rFonts w:ascii="Arial" w:cs="Arial" w:eastAsia="Arial" w:hAnsi="Arial"/>
                <w:sz w:val="18"/>
                <w:szCs w:val="18"/>
                <w:color w:val="auto"/>
                <w:w w:val="99"/>
              </w:rPr>
              <w:t>7</w:t>
            </w:r>
          </w:p>
        </w:tc>
        <w:tc>
          <w:tcPr>
            <w:tcW w:w="764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7"/>
        </w:trPr>
        <w:tc>
          <w:tcPr>
            <w:tcW w:w="254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1060" w:type="dxa"/>
            <w:vAlign w:val="bottom"/>
            <w:tcBorders>
              <w:bottom w:val="single" w:sz="8" w:color="auto"/>
            </w:tcBorders>
          </w:tcPr>
          <w:p>
            <w:pPr>
              <w:spacing w:after="0"/>
              <w:rPr>
                <w:sz w:val="20"/>
                <w:szCs w:val="20"/>
                <w:color w:val="auto"/>
              </w:rPr>
            </w:pPr>
          </w:p>
        </w:tc>
        <w:tc>
          <w:tcPr>
            <w:tcW w:w="7640" w:type="dxa"/>
            <w:vAlign w:val="bottom"/>
            <w:tcBorders>
              <w:bottom w:val="single" w:sz="8" w:color="auto"/>
            </w:tcBorders>
          </w:tcPr>
          <w:p>
            <w:pPr>
              <w:ind w:left="14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98"/>
        </w:trPr>
        <w:tc>
          <w:tcPr>
            <w:tcW w:w="2540" w:type="dxa"/>
            <w:vAlign w:val="bottom"/>
          </w:tcPr>
          <w:p>
            <w:pPr>
              <w:jc w:val="center"/>
              <w:spacing w:after="0" w:line="198" w:lineRule="exact"/>
              <w:rPr>
                <w:sz w:val="20"/>
                <w:szCs w:val="20"/>
                <w:color w:val="auto"/>
              </w:rPr>
            </w:pPr>
            <w:r>
              <w:rPr>
                <w:rFonts w:ascii="Arial" w:cs="Arial" w:eastAsia="Arial" w:hAnsi="Arial"/>
                <w:sz w:val="18"/>
                <w:szCs w:val="18"/>
                <w:color w:val="auto"/>
                <w:w w:val="99"/>
              </w:rPr>
              <w:t>BENEFICIALLY</w:t>
            </w:r>
          </w:p>
        </w:tc>
        <w:tc>
          <w:tcPr>
            <w:tcW w:w="1060" w:type="dxa"/>
            <w:vAlign w:val="bottom"/>
          </w:tcPr>
          <w:p>
            <w:pPr>
              <w:jc w:val="center"/>
              <w:ind w:left="190"/>
              <w:spacing w:after="0" w:line="198" w:lineRule="exact"/>
              <w:rPr>
                <w:sz w:val="20"/>
                <w:szCs w:val="20"/>
                <w:color w:val="auto"/>
              </w:rPr>
            </w:pPr>
            <w:r>
              <w:rPr>
                <w:rFonts w:ascii="Arial" w:cs="Arial" w:eastAsia="Arial" w:hAnsi="Arial"/>
                <w:sz w:val="18"/>
                <w:szCs w:val="18"/>
                <w:color w:val="auto"/>
                <w:w w:val="99"/>
              </w:rPr>
              <w:t>8</w:t>
            </w:r>
          </w:p>
        </w:tc>
        <w:tc>
          <w:tcPr>
            <w:tcW w:w="7640" w:type="dxa"/>
            <w:vAlign w:val="bottom"/>
          </w:tcPr>
          <w:p>
            <w:pPr>
              <w:ind w:left="300"/>
              <w:spacing w:after="0" w:line="198"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41"/>
        </w:trPr>
        <w:tc>
          <w:tcPr>
            <w:tcW w:w="254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1060" w:type="dxa"/>
            <w:vAlign w:val="bottom"/>
            <w:tcBorders>
              <w:bottom w:val="single" w:sz="8" w:color="auto"/>
            </w:tcBorders>
          </w:tcPr>
          <w:p>
            <w:pPr>
              <w:spacing w:after="0"/>
              <w:rPr>
                <w:sz w:val="20"/>
                <w:szCs w:val="20"/>
                <w:color w:val="auto"/>
              </w:rPr>
            </w:pPr>
          </w:p>
        </w:tc>
        <w:tc>
          <w:tcPr>
            <w:tcW w:w="7640" w:type="dxa"/>
            <w:vAlign w:val="bottom"/>
            <w:tcBorders>
              <w:bottom w:val="single" w:sz="8" w:color="auto"/>
            </w:tcBorders>
          </w:tcPr>
          <w:p>
            <w:pPr>
              <w:ind w:left="940"/>
              <w:spacing w:after="0"/>
              <w:rPr>
                <w:sz w:val="20"/>
                <w:szCs w:val="20"/>
                <w:color w:val="auto"/>
              </w:rPr>
            </w:pPr>
            <w:r>
              <w:rPr>
                <w:rFonts w:ascii="Arial" w:cs="Arial" w:eastAsia="Arial" w:hAnsi="Arial"/>
                <w:sz w:val="18"/>
                <w:szCs w:val="18"/>
                <w:b w:val="1"/>
                <w:bCs w:val="1"/>
                <w:color w:val="auto"/>
              </w:rPr>
              <w:t>10,758,104</w:t>
            </w:r>
          </w:p>
        </w:tc>
        <w:tc>
          <w:tcPr>
            <w:tcW w:w="0" w:type="dxa"/>
            <w:vAlign w:val="bottom"/>
          </w:tcPr>
          <w:p>
            <w:pPr>
              <w:spacing w:after="0"/>
              <w:rPr>
                <w:sz w:val="1"/>
                <w:szCs w:val="1"/>
                <w:color w:val="auto"/>
              </w:rPr>
            </w:pPr>
          </w:p>
        </w:tc>
      </w:tr>
      <w:tr>
        <w:trPr>
          <w:trHeight w:val="188"/>
        </w:trPr>
        <w:tc>
          <w:tcPr>
            <w:tcW w:w="2540" w:type="dxa"/>
            <w:vAlign w:val="bottom"/>
          </w:tcPr>
          <w:p>
            <w:pPr>
              <w:jc w:val="center"/>
              <w:spacing w:after="0" w:line="189" w:lineRule="exact"/>
              <w:rPr>
                <w:sz w:val="20"/>
                <w:szCs w:val="20"/>
                <w:color w:val="auto"/>
              </w:rPr>
            </w:pPr>
            <w:r>
              <w:rPr>
                <w:rFonts w:ascii="Arial" w:cs="Arial" w:eastAsia="Arial" w:hAnsi="Arial"/>
                <w:sz w:val="18"/>
                <w:szCs w:val="18"/>
                <w:color w:val="auto"/>
                <w:w w:val="99"/>
              </w:rPr>
              <w:t>EACH</w:t>
            </w:r>
          </w:p>
        </w:tc>
        <w:tc>
          <w:tcPr>
            <w:tcW w:w="1060" w:type="dxa"/>
            <w:vAlign w:val="bottom"/>
          </w:tcPr>
          <w:p>
            <w:pPr>
              <w:jc w:val="center"/>
              <w:ind w:left="190"/>
              <w:spacing w:after="0" w:line="189" w:lineRule="exact"/>
              <w:rPr>
                <w:sz w:val="20"/>
                <w:szCs w:val="20"/>
                <w:color w:val="auto"/>
              </w:rPr>
            </w:pPr>
            <w:r>
              <w:rPr>
                <w:rFonts w:ascii="Arial" w:cs="Arial" w:eastAsia="Arial" w:hAnsi="Arial"/>
                <w:sz w:val="18"/>
                <w:szCs w:val="18"/>
                <w:color w:val="auto"/>
                <w:w w:val="99"/>
              </w:rPr>
              <w:t>9</w:t>
            </w:r>
          </w:p>
        </w:tc>
        <w:tc>
          <w:tcPr>
            <w:tcW w:w="7640" w:type="dxa"/>
            <w:vAlign w:val="bottom"/>
          </w:tcPr>
          <w:p>
            <w:pPr>
              <w:ind w:left="300"/>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2540" w:type="dxa"/>
            <w:vAlign w:val="bottom"/>
          </w:tcPr>
          <w:p>
            <w:pPr>
              <w:jc w:val="center"/>
              <w:spacing w:after="0"/>
              <w:rPr>
                <w:sz w:val="20"/>
                <w:szCs w:val="20"/>
                <w:color w:val="auto"/>
              </w:rPr>
            </w:pPr>
            <w:r>
              <w:rPr>
                <w:rFonts w:ascii="Arial" w:cs="Arial" w:eastAsia="Arial" w:hAnsi="Arial"/>
                <w:sz w:val="18"/>
                <w:szCs w:val="18"/>
                <w:color w:val="auto"/>
                <w:w w:val="91"/>
              </w:rPr>
              <w:t>REPORTING</w:t>
            </w:r>
          </w:p>
        </w:tc>
        <w:tc>
          <w:tcPr>
            <w:tcW w:w="1060" w:type="dxa"/>
            <w:vAlign w:val="bottom"/>
          </w:tcPr>
          <w:p>
            <w:pPr>
              <w:spacing w:after="0"/>
              <w:rPr>
                <w:sz w:val="18"/>
                <w:szCs w:val="18"/>
                <w:color w:val="auto"/>
              </w:rPr>
            </w:pPr>
          </w:p>
        </w:tc>
        <w:tc>
          <w:tcPr>
            <w:tcW w:w="7640" w:type="dxa"/>
            <w:vAlign w:val="bottom"/>
          </w:tcPr>
          <w:p>
            <w:pPr>
              <w:ind w:left="14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35"/>
        </w:trPr>
        <w:tc>
          <w:tcPr>
            <w:tcW w:w="2540" w:type="dxa"/>
            <w:vAlign w:val="bottom"/>
            <w:vMerge w:val="restart"/>
          </w:tcPr>
          <w:p>
            <w:pPr>
              <w:jc w:val="center"/>
              <w:spacing w:after="0"/>
              <w:rPr>
                <w:sz w:val="20"/>
                <w:szCs w:val="20"/>
                <w:color w:val="auto"/>
              </w:rPr>
            </w:pPr>
            <w:r>
              <w:rPr>
                <w:rFonts w:ascii="Arial" w:cs="Arial" w:eastAsia="Arial" w:hAnsi="Arial"/>
                <w:sz w:val="18"/>
                <w:szCs w:val="18"/>
                <w:color w:val="auto"/>
                <w:w w:val="92"/>
              </w:rPr>
              <w:t>PERSON</w:t>
            </w:r>
          </w:p>
        </w:tc>
        <w:tc>
          <w:tcPr>
            <w:tcW w:w="1060" w:type="dxa"/>
            <w:vAlign w:val="bottom"/>
            <w:tcBorders>
              <w:bottom w:val="single" w:sz="8" w:color="auto"/>
            </w:tcBorders>
          </w:tcPr>
          <w:p>
            <w:pPr>
              <w:spacing w:after="0"/>
              <w:rPr>
                <w:sz w:val="3"/>
                <w:szCs w:val="3"/>
                <w:color w:val="auto"/>
              </w:rPr>
            </w:pPr>
          </w:p>
        </w:tc>
        <w:tc>
          <w:tcPr>
            <w:tcW w:w="7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540" w:type="dxa"/>
            <w:vAlign w:val="bottom"/>
            <w:vMerge w:val="continue"/>
          </w:tcPr>
          <w:p>
            <w:pPr>
              <w:spacing w:after="0"/>
              <w:rPr>
                <w:sz w:val="14"/>
                <w:szCs w:val="14"/>
                <w:color w:val="auto"/>
              </w:rPr>
            </w:pPr>
          </w:p>
        </w:tc>
        <w:tc>
          <w:tcPr>
            <w:tcW w:w="1060" w:type="dxa"/>
            <w:vAlign w:val="bottom"/>
          </w:tcPr>
          <w:p>
            <w:pPr>
              <w:jc w:val="center"/>
              <w:ind w:left="190"/>
              <w:spacing w:after="0" w:line="162" w:lineRule="exact"/>
              <w:rPr>
                <w:sz w:val="20"/>
                <w:szCs w:val="20"/>
                <w:color w:val="auto"/>
              </w:rPr>
            </w:pPr>
            <w:r>
              <w:rPr>
                <w:rFonts w:ascii="Arial" w:cs="Arial" w:eastAsia="Arial" w:hAnsi="Arial"/>
                <w:sz w:val="18"/>
                <w:szCs w:val="18"/>
                <w:color w:val="auto"/>
                <w:w w:val="89"/>
              </w:rPr>
              <w:t>10</w:t>
            </w:r>
          </w:p>
        </w:tc>
        <w:tc>
          <w:tcPr>
            <w:tcW w:w="7640" w:type="dxa"/>
            <w:vAlign w:val="bottom"/>
          </w:tcPr>
          <w:p>
            <w:pPr>
              <w:ind w:left="300"/>
              <w:spacing w:after="0" w:line="162" w:lineRule="exact"/>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70"/>
        </w:trPr>
        <w:tc>
          <w:tcPr>
            <w:tcW w:w="2540" w:type="dxa"/>
            <w:vAlign w:val="bottom"/>
          </w:tcPr>
          <w:p>
            <w:pPr>
              <w:jc w:val="center"/>
              <w:spacing w:after="0"/>
              <w:rPr>
                <w:sz w:val="20"/>
                <w:szCs w:val="20"/>
                <w:color w:val="auto"/>
              </w:rPr>
            </w:pPr>
            <w:r>
              <w:rPr>
                <w:rFonts w:ascii="Arial" w:cs="Arial" w:eastAsia="Arial" w:hAnsi="Arial"/>
                <w:sz w:val="18"/>
                <w:szCs w:val="18"/>
                <w:color w:val="auto"/>
                <w:w w:val="99"/>
              </w:rPr>
              <w:t>WITH</w:t>
            </w:r>
          </w:p>
        </w:tc>
        <w:tc>
          <w:tcPr>
            <w:tcW w:w="1060" w:type="dxa"/>
            <w:vAlign w:val="bottom"/>
          </w:tcPr>
          <w:p>
            <w:pPr>
              <w:spacing w:after="0"/>
              <w:rPr>
                <w:sz w:val="23"/>
                <w:szCs w:val="23"/>
                <w:color w:val="auto"/>
              </w:rPr>
            </w:pPr>
          </w:p>
        </w:tc>
        <w:tc>
          <w:tcPr>
            <w:tcW w:w="7640" w:type="dxa"/>
            <w:vAlign w:val="bottom"/>
          </w:tcPr>
          <w:p>
            <w:pPr>
              <w:ind w:left="940"/>
              <w:spacing w:after="0"/>
              <w:rPr>
                <w:sz w:val="20"/>
                <w:szCs w:val="20"/>
                <w:color w:val="auto"/>
              </w:rPr>
            </w:pPr>
            <w:r>
              <w:rPr>
                <w:rFonts w:ascii="Arial" w:cs="Arial" w:eastAsia="Arial" w:hAnsi="Arial"/>
                <w:sz w:val="18"/>
                <w:szCs w:val="18"/>
                <w:b w:val="1"/>
                <w:bCs w:val="1"/>
                <w:color w:val="auto"/>
              </w:rPr>
              <w:t>10,758,104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1200" w:hanging="685"/>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b w:val="1"/>
          <w:bCs w:val="1"/>
          <w:color w:val="auto"/>
        </w:rPr>
        <w:t>10,758,104</w:t>
      </w:r>
    </w:p>
    <w:p>
      <w:pPr>
        <w:spacing w:after="0" w:line="21" w:lineRule="exact"/>
        <w:rPr>
          <w:rFonts w:ascii="Arial" w:cs="Arial" w:eastAsia="Arial" w:hAnsi="Arial"/>
          <w:sz w:val="18"/>
          <w:szCs w:val="18"/>
          <w:color w:val="auto"/>
        </w:rPr>
      </w:pPr>
    </w:p>
    <w:p>
      <w:pPr>
        <w:ind w:left="1200" w:hanging="688"/>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 □</w:t>
      </w:r>
    </w:p>
    <w:p>
      <w:pPr>
        <w:spacing w:after="0" w:line="252" w:lineRule="exact"/>
        <w:rPr>
          <w:rFonts w:ascii="Arial" w:cs="Arial" w:eastAsia="Arial" w:hAnsi="Arial"/>
          <w:sz w:val="18"/>
          <w:szCs w:val="18"/>
          <w:color w:val="auto"/>
        </w:rPr>
      </w:pPr>
    </w:p>
    <w:p>
      <w:pPr>
        <w:ind w:left="1200" w:hanging="688"/>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86.5%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 w:lineRule="exact"/>
        <w:rPr>
          <w:sz w:val="20"/>
          <w:szCs w:val="20"/>
          <w:color w:val="auto"/>
        </w:rPr>
      </w:pPr>
    </w:p>
    <w:p>
      <w:pPr>
        <w:ind w:left="1200" w:hanging="688"/>
        <w:spacing w:after="0"/>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 w:name="page3"/>
    <w:bookmarkEnd w:id="2"/>
    <w:p>
      <w:pPr>
        <w:ind w:left="1200" w:hanging="643"/>
        <w:spacing w:after="0"/>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b w:val="1"/>
          <w:bCs w:val="1"/>
          <w:color w:val="auto"/>
        </w:rPr>
        <w:t>Kronos Worldwide,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 w:lineRule="exact"/>
        <w:rPr>
          <w:sz w:val="20"/>
          <w:szCs w:val="20"/>
          <w:color w:val="auto"/>
        </w:rPr>
      </w:pPr>
    </w:p>
    <w:p>
      <w:pPr>
        <w:ind w:left="1200" w:hanging="643"/>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480" w:hanging="284"/>
        <w:spacing w:after="0"/>
        <w:tabs>
          <w:tab w:leader="none" w:pos="14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500" w:hanging="304"/>
        <w:spacing w:after="0"/>
        <w:tabs>
          <w:tab w:leader="none" w:pos="15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 w:lineRule="exact"/>
        <w:rPr>
          <w:sz w:val="20"/>
          <w:szCs w:val="20"/>
          <w:color w:val="auto"/>
        </w:rPr>
      </w:pPr>
    </w:p>
    <w:p>
      <w:pPr>
        <w:ind w:left="1200" w:hanging="643"/>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1200" w:hanging="643"/>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1200" w:right="4720" w:hanging="643"/>
        <w:spacing w:after="0" w:line="277" w:lineRule="auto"/>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7" w:lineRule="exact"/>
        <w:rPr>
          <w:sz w:val="20"/>
          <w:szCs w:val="20"/>
          <w:color w:val="auto"/>
        </w:rPr>
      </w:pPr>
    </w:p>
    <w:p>
      <w:pPr>
        <w:ind w:left="1200" w:hanging="643"/>
        <w:spacing w:after="0"/>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b w:val="1"/>
          <w:bCs w:val="1"/>
          <w:color w:val="auto"/>
        </w:rPr>
        <w:t>Delaware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NUMBER OF</w:t>
            </w:r>
          </w:p>
        </w:tc>
        <w:tc>
          <w:tcPr>
            <w:tcW w:w="1060" w:type="dxa"/>
            <w:vAlign w:val="bottom"/>
            <w:tcBorders>
              <w:top w:val="single" w:sz="8" w:color="auto"/>
            </w:tcBorders>
          </w:tcPr>
          <w:p>
            <w:pPr>
              <w:jc w:val="center"/>
              <w:ind w:left="190"/>
              <w:spacing w:after="0"/>
              <w:rPr>
                <w:sz w:val="20"/>
                <w:szCs w:val="20"/>
                <w:color w:val="auto"/>
              </w:rPr>
            </w:pPr>
            <w:r>
              <w:rPr>
                <w:rFonts w:ascii="Arial" w:cs="Arial" w:eastAsia="Arial" w:hAnsi="Arial"/>
                <w:sz w:val="18"/>
                <w:szCs w:val="18"/>
                <w:color w:val="auto"/>
                <w:w w:val="99"/>
              </w:rPr>
              <w:t>7</w:t>
            </w:r>
          </w:p>
        </w:tc>
        <w:tc>
          <w:tcPr>
            <w:tcW w:w="764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7"/>
        </w:trPr>
        <w:tc>
          <w:tcPr>
            <w:tcW w:w="254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1060" w:type="dxa"/>
            <w:vAlign w:val="bottom"/>
            <w:tcBorders>
              <w:bottom w:val="single" w:sz="8" w:color="auto"/>
            </w:tcBorders>
          </w:tcPr>
          <w:p>
            <w:pPr>
              <w:spacing w:after="0"/>
              <w:rPr>
                <w:sz w:val="20"/>
                <w:szCs w:val="20"/>
                <w:color w:val="auto"/>
              </w:rPr>
            </w:pPr>
          </w:p>
        </w:tc>
        <w:tc>
          <w:tcPr>
            <w:tcW w:w="7640" w:type="dxa"/>
            <w:vAlign w:val="bottom"/>
            <w:tcBorders>
              <w:bottom w:val="single" w:sz="8" w:color="auto"/>
            </w:tcBorders>
          </w:tcPr>
          <w:p>
            <w:pPr>
              <w:ind w:left="14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98"/>
        </w:trPr>
        <w:tc>
          <w:tcPr>
            <w:tcW w:w="2540" w:type="dxa"/>
            <w:vAlign w:val="bottom"/>
          </w:tcPr>
          <w:p>
            <w:pPr>
              <w:jc w:val="center"/>
              <w:spacing w:after="0" w:line="198" w:lineRule="exact"/>
              <w:rPr>
                <w:sz w:val="20"/>
                <w:szCs w:val="20"/>
                <w:color w:val="auto"/>
              </w:rPr>
            </w:pPr>
            <w:r>
              <w:rPr>
                <w:rFonts w:ascii="Arial" w:cs="Arial" w:eastAsia="Arial" w:hAnsi="Arial"/>
                <w:sz w:val="18"/>
                <w:szCs w:val="18"/>
                <w:color w:val="auto"/>
                <w:w w:val="99"/>
              </w:rPr>
              <w:t>BENEFICIALLY</w:t>
            </w:r>
          </w:p>
        </w:tc>
        <w:tc>
          <w:tcPr>
            <w:tcW w:w="1060" w:type="dxa"/>
            <w:vAlign w:val="bottom"/>
          </w:tcPr>
          <w:p>
            <w:pPr>
              <w:jc w:val="center"/>
              <w:ind w:left="190"/>
              <w:spacing w:after="0" w:line="198" w:lineRule="exact"/>
              <w:rPr>
                <w:sz w:val="20"/>
                <w:szCs w:val="20"/>
                <w:color w:val="auto"/>
              </w:rPr>
            </w:pPr>
            <w:r>
              <w:rPr>
                <w:rFonts w:ascii="Arial" w:cs="Arial" w:eastAsia="Arial" w:hAnsi="Arial"/>
                <w:sz w:val="18"/>
                <w:szCs w:val="18"/>
                <w:color w:val="auto"/>
                <w:w w:val="99"/>
              </w:rPr>
              <w:t>8</w:t>
            </w:r>
          </w:p>
        </w:tc>
        <w:tc>
          <w:tcPr>
            <w:tcW w:w="7640" w:type="dxa"/>
            <w:vAlign w:val="bottom"/>
          </w:tcPr>
          <w:p>
            <w:pPr>
              <w:ind w:left="300"/>
              <w:spacing w:after="0" w:line="198"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41"/>
        </w:trPr>
        <w:tc>
          <w:tcPr>
            <w:tcW w:w="254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1060" w:type="dxa"/>
            <w:vAlign w:val="bottom"/>
            <w:tcBorders>
              <w:bottom w:val="single" w:sz="8" w:color="auto"/>
            </w:tcBorders>
          </w:tcPr>
          <w:p>
            <w:pPr>
              <w:spacing w:after="0"/>
              <w:rPr>
                <w:sz w:val="20"/>
                <w:szCs w:val="20"/>
                <w:color w:val="auto"/>
              </w:rPr>
            </w:pPr>
          </w:p>
        </w:tc>
        <w:tc>
          <w:tcPr>
            <w:tcW w:w="7640" w:type="dxa"/>
            <w:vAlign w:val="bottom"/>
            <w:tcBorders>
              <w:bottom w:val="single" w:sz="8" w:color="auto"/>
            </w:tcBorders>
          </w:tcPr>
          <w:p>
            <w:pPr>
              <w:ind w:left="940"/>
              <w:spacing w:after="0"/>
              <w:rPr>
                <w:sz w:val="20"/>
                <w:szCs w:val="20"/>
                <w:color w:val="auto"/>
              </w:rPr>
            </w:pPr>
            <w:r>
              <w:rPr>
                <w:rFonts w:ascii="Arial" w:cs="Arial" w:eastAsia="Arial" w:hAnsi="Arial"/>
                <w:sz w:val="18"/>
                <w:szCs w:val="18"/>
                <w:b w:val="1"/>
                <w:bCs w:val="1"/>
                <w:color w:val="auto"/>
              </w:rPr>
              <w:t>10,758,104</w:t>
            </w:r>
          </w:p>
        </w:tc>
        <w:tc>
          <w:tcPr>
            <w:tcW w:w="0" w:type="dxa"/>
            <w:vAlign w:val="bottom"/>
          </w:tcPr>
          <w:p>
            <w:pPr>
              <w:spacing w:after="0"/>
              <w:rPr>
                <w:sz w:val="1"/>
                <w:szCs w:val="1"/>
                <w:color w:val="auto"/>
              </w:rPr>
            </w:pPr>
          </w:p>
        </w:tc>
      </w:tr>
      <w:tr>
        <w:trPr>
          <w:trHeight w:val="188"/>
        </w:trPr>
        <w:tc>
          <w:tcPr>
            <w:tcW w:w="2540" w:type="dxa"/>
            <w:vAlign w:val="bottom"/>
          </w:tcPr>
          <w:p>
            <w:pPr>
              <w:jc w:val="center"/>
              <w:spacing w:after="0" w:line="189" w:lineRule="exact"/>
              <w:rPr>
                <w:sz w:val="20"/>
                <w:szCs w:val="20"/>
                <w:color w:val="auto"/>
              </w:rPr>
            </w:pPr>
            <w:r>
              <w:rPr>
                <w:rFonts w:ascii="Arial" w:cs="Arial" w:eastAsia="Arial" w:hAnsi="Arial"/>
                <w:sz w:val="18"/>
                <w:szCs w:val="18"/>
                <w:color w:val="auto"/>
                <w:w w:val="99"/>
              </w:rPr>
              <w:t>EACH</w:t>
            </w:r>
          </w:p>
        </w:tc>
        <w:tc>
          <w:tcPr>
            <w:tcW w:w="1060" w:type="dxa"/>
            <w:vAlign w:val="bottom"/>
          </w:tcPr>
          <w:p>
            <w:pPr>
              <w:jc w:val="center"/>
              <w:ind w:left="190"/>
              <w:spacing w:after="0" w:line="189" w:lineRule="exact"/>
              <w:rPr>
                <w:sz w:val="20"/>
                <w:szCs w:val="20"/>
                <w:color w:val="auto"/>
              </w:rPr>
            </w:pPr>
            <w:r>
              <w:rPr>
                <w:rFonts w:ascii="Arial" w:cs="Arial" w:eastAsia="Arial" w:hAnsi="Arial"/>
                <w:sz w:val="18"/>
                <w:szCs w:val="18"/>
                <w:color w:val="auto"/>
                <w:w w:val="99"/>
              </w:rPr>
              <w:t>9</w:t>
            </w:r>
          </w:p>
        </w:tc>
        <w:tc>
          <w:tcPr>
            <w:tcW w:w="7640" w:type="dxa"/>
            <w:vAlign w:val="bottom"/>
          </w:tcPr>
          <w:p>
            <w:pPr>
              <w:ind w:left="300"/>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2540" w:type="dxa"/>
            <w:vAlign w:val="bottom"/>
          </w:tcPr>
          <w:p>
            <w:pPr>
              <w:jc w:val="center"/>
              <w:spacing w:after="0"/>
              <w:rPr>
                <w:sz w:val="20"/>
                <w:szCs w:val="20"/>
                <w:color w:val="auto"/>
              </w:rPr>
            </w:pPr>
            <w:r>
              <w:rPr>
                <w:rFonts w:ascii="Arial" w:cs="Arial" w:eastAsia="Arial" w:hAnsi="Arial"/>
                <w:sz w:val="18"/>
                <w:szCs w:val="18"/>
                <w:color w:val="auto"/>
                <w:w w:val="91"/>
              </w:rPr>
              <w:t>REPORTING</w:t>
            </w:r>
          </w:p>
        </w:tc>
        <w:tc>
          <w:tcPr>
            <w:tcW w:w="1060" w:type="dxa"/>
            <w:vAlign w:val="bottom"/>
          </w:tcPr>
          <w:p>
            <w:pPr>
              <w:spacing w:after="0"/>
              <w:rPr>
                <w:sz w:val="18"/>
                <w:szCs w:val="18"/>
                <w:color w:val="auto"/>
              </w:rPr>
            </w:pPr>
          </w:p>
        </w:tc>
        <w:tc>
          <w:tcPr>
            <w:tcW w:w="7640" w:type="dxa"/>
            <w:vAlign w:val="bottom"/>
          </w:tcPr>
          <w:p>
            <w:pPr>
              <w:ind w:left="14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35"/>
        </w:trPr>
        <w:tc>
          <w:tcPr>
            <w:tcW w:w="2540" w:type="dxa"/>
            <w:vAlign w:val="bottom"/>
            <w:vMerge w:val="restart"/>
          </w:tcPr>
          <w:p>
            <w:pPr>
              <w:jc w:val="center"/>
              <w:spacing w:after="0"/>
              <w:rPr>
                <w:sz w:val="20"/>
                <w:szCs w:val="20"/>
                <w:color w:val="auto"/>
              </w:rPr>
            </w:pPr>
            <w:r>
              <w:rPr>
                <w:rFonts w:ascii="Arial" w:cs="Arial" w:eastAsia="Arial" w:hAnsi="Arial"/>
                <w:sz w:val="18"/>
                <w:szCs w:val="18"/>
                <w:color w:val="auto"/>
                <w:w w:val="92"/>
              </w:rPr>
              <w:t>PERSON</w:t>
            </w:r>
          </w:p>
        </w:tc>
        <w:tc>
          <w:tcPr>
            <w:tcW w:w="1060" w:type="dxa"/>
            <w:vAlign w:val="bottom"/>
            <w:tcBorders>
              <w:bottom w:val="single" w:sz="8" w:color="auto"/>
            </w:tcBorders>
          </w:tcPr>
          <w:p>
            <w:pPr>
              <w:spacing w:after="0"/>
              <w:rPr>
                <w:sz w:val="3"/>
                <w:szCs w:val="3"/>
                <w:color w:val="auto"/>
              </w:rPr>
            </w:pPr>
          </w:p>
        </w:tc>
        <w:tc>
          <w:tcPr>
            <w:tcW w:w="7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540" w:type="dxa"/>
            <w:vAlign w:val="bottom"/>
            <w:vMerge w:val="continue"/>
          </w:tcPr>
          <w:p>
            <w:pPr>
              <w:spacing w:after="0"/>
              <w:rPr>
                <w:sz w:val="14"/>
                <w:szCs w:val="14"/>
                <w:color w:val="auto"/>
              </w:rPr>
            </w:pPr>
          </w:p>
        </w:tc>
        <w:tc>
          <w:tcPr>
            <w:tcW w:w="1060" w:type="dxa"/>
            <w:vAlign w:val="bottom"/>
          </w:tcPr>
          <w:p>
            <w:pPr>
              <w:jc w:val="center"/>
              <w:ind w:left="190"/>
              <w:spacing w:after="0" w:line="162" w:lineRule="exact"/>
              <w:rPr>
                <w:sz w:val="20"/>
                <w:szCs w:val="20"/>
                <w:color w:val="auto"/>
              </w:rPr>
            </w:pPr>
            <w:r>
              <w:rPr>
                <w:rFonts w:ascii="Arial" w:cs="Arial" w:eastAsia="Arial" w:hAnsi="Arial"/>
                <w:sz w:val="18"/>
                <w:szCs w:val="18"/>
                <w:color w:val="auto"/>
                <w:w w:val="89"/>
              </w:rPr>
              <w:t>10</w:t>
            </w:r>
          </w:p>
        </w:tc>
        <w:tc>
          <w:tcPr>
            <w:tcW w:w="7640" w:type="dxa"/>
            <w:vAlign w:val="bottom"/>
          </w:tcPr>
          <w:p>
            <w:pPr>
              <w:ind w:left="300"/>
              <w:spacing w:after="0" w:line="162" w:lineRule="exact"/>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70"/>
        </w:trPr>
        <w:tc>
          <w:tcPr>
            <w:tcW w:w="2540" w:type="dxa"/>
            <w:vAlign w:val="bottom"/>
          </w:tcPr>
          <w:p>
            <w:pPr>
              <w:jc w:val="center"/>
              <w:spacing w:after="0"/>
              <w:rPr>
                <w:sz w:val="20"/>
                <w:szCs w:val="20"/>
                <w:color w:val="auto"/>
              </w:rPr>
            </w:pPr>
            <w:r>
              <w:rPr>
                <w:rFonts w:ascii="Arial" w:cs="Arial" w:eastAsia="Arial" w:hAnsi="Arial"/>
                <w:sz w:val="18"/>
                <w:szCs w:val="18"/>
                <w:color w:val="auto"/>
                <w:w w:val="99"/>
              </w:rPr>
              <w:t>WITH</w:t>
            </w:r>
          </w:p>
        </w:tc>
        <w:tc>
          <w:tcPr>
            <w:tcW w:w="1060" w:type="dxa"/>
            <w:vAlign w:val="bottom"/>
          </w:tcPr>
          <w:p>
            <w:pPr>
              <w:spacing w:after="0"/>
              <w:rPr>
                <w:sz w:val="23"/>
                <w:szCs w:val="23"/>
                <w:color w:val="auto"/>
              </w:rPr>
            </w:pPr>
          </w:p>
        </w:tc>
        <w:tc>
          <w:tcPr>
            <w:tcW w:w="7640" w:type="dxa"/>
            <w:vAlign w:val="bottom"/>
          </w:tcPr>
          <w:p>
            <w:pPr>
              <w:ind w:left="940"/>
              <w:spacing w:after="0"/>
              <w:rPr>
                <w:sz w:val="20"/>
                <w:szCs w:val="20"/>
                <w:color w:val="auto"/>
              </w:rPr>
            </w:pPr>
            <w:r>
              <w:rPr>
                <w:rFonts w:ascii="Arial" w:cs="Arial" w:eastAsia="Arial" w:hAnsi="Arial"/>
                <w:sz w:val="18"/>
                <w:szCs w:val="18"/>
                <w:b w:val="1"/>
                <w:bCs w:val="1"/>
                <w:color w:val="auto"/>
              </w:rPr>
              <w:t>10,758,104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1200" w:hanging="685"/>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b w:val="1"/>
          <w:bCs w:val="1"/>
          <w:color w:val="auto"/>
        </w:rPr>
        <w:t>10,758,104</w:t>
      </w:r>
    </w:p>
    <w:p>
      <w:pPr>
        <w:spacing w:after="0" w:line="21" w:lineRule="exact"/>
        <w:rPr>
          <w:rFonts w:ascii="Arial" w:cs="Arial" w:eastAsia="Arial" w:hAnsi="Arial"/>
          <w:sz w:val="18"/>
          <w:szCs w:val="18"/>
          <w:color w:val="auto"/>
        </w:rPr>
      </w:pPr>
    </w:p>
    <w:p>
      <w:pPr>
        <w:ind w:left="1200" w:hanging="688"/>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 □</w:t>
      </w:r>
    </w:p>
    <w:p>
      <w:pPr>
        <w:spacing w:after="0" w:line="252" w:lineRule="exact"/>
        <w:rPr>
          <w:rFonts w:ascii="Arial" w:cs="Arial" w:eastAsia="Arial" w:hAnsi="Arial"/>
          <w:sz w:val="18"/>
          <w:szCs w:val="18"/>
          <w:color w:val="auto"/>
        </w:rPr>
      </w:pPr>
    </w:p>
    <w:p>
      <w:pPr>
        <w:ind w:left="1200" w:hanging="688"/>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86.5%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 w:lineRule="exact"/>
        <w:rPr>
          <w:sz w:val="20"/>
          <w:szCs w:val="20"/>
          <w:color w:val="auto"/>
        </w:rPr>
      </w:pPr>
    </w:p>
    <w:p>
      <w:pPr>
        <w:ind w:left="1200" w:hanging="688"/>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 w:name="page4"/>
    <w:bookmarkEnd w:id="3"/>
    <w:p>
      <w:pPr>
        <w:spacing w:after="0"/>
        <w:rPr>
          <w:sz w:val="20"/>
          <w:szCs w:val="20"/>
          <w:color w:val="auto"/>
        </w:rPr>
      </w:pPr>
      <w:r>
        <w:rPr>
          <w:rFonts w:ascii="Arial" w:cs="Arial" w:eastAsia="Arial" w:hAnsi="Arial"/>
          <w:sz w:val="22"/>
          <w:szCs w:val="22"/>
          <w:color w:val="auto"/>
        </w:rPr>
        <w:t xml:space="preserve">CUSIP No. </w:t>
      </w:r>
      <w:r>
        <w:rPr>
          <w:rFonts w:ascii="Arial" w:cs="Arial" w:eastAsia="Arial" w:hAnsi="Arial"/>
          <w:sz w:val="22"/>
          <w:szCs w:val="22"/>
          <w:b w:val="1"/>
          <w:bCs w:val="1"/>
          <w:color w:val="auto"/>
        </w:rPr>
        <w:t>20563P 10 1</w:t>
      </w:r>
    </w:p>
    <w:p>
      <w:pPr>
        <w:spacing w:after="0" w:line="247" w:lineRule="exact"/>
        <w:rPr>
          <w:sz w:val="20"/>
          <w:szCs w:val="20"/>
          <w:color w:val="auto"/>
        </w:rPr>
      </w:pPr>
    </w:p>
    <w:p>
      <w:pPr>
        <w:ind w:left="1200" w:hanging="643"/>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b w:val="1"/>
          <w:bCs w:val="1"/>
          <w:color w:val="auto"/>
        </w:rPr>
        <w:t>Valhi,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 w:lineRule="exact"/>
        <w:rPr>
          <w:sz w:val="20"/>
          <w:szCs w:val="20"/>
          <w:color w:val="auto"/>
        </w:rPr>
      </w:pPr>
    </w:p>
    <w:p>
      <w:pPr>
        <w:ind w:left="1200" w:hanging="643"/>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480" w:hanging="284"/>
        <w:spacing w:after="0"/>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500" w:hanging="304"/>
        <w:spacing w:after="0"/>
        <w:tabs>
          <w:tab w:leader="none" w:pos="15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 w:lineRule="exact"/>
        <w:rPr>
          <w:sz w:val="20"/>
          <w:szCs w:val="20"/>
          <w:color w:val="auto"/>
        </w:rPr>
      </w:pPr>
    </w:p>
    <w:p>
      <w:pPr>
        <w:ind w:left="1200" w:hanging="643"/>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1200" w:hanging="643"/>
        <w:spacing w:after="0"/>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1200" w:right="4720" w:hanging="643"/>
        <w:spacing w:after="0" w:line="277" w:lineRule="auto"/>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7" w:lineRule="exact"/>
        <w:rPr>
          <w:sz w:val="20"/>
          <w:szCs w:val="20"/>
          <w:color w:val="auto"/>
        </w:rPr>
      </w:pPr>
    </w:p>
    <w:p>
      <w:pPr>
        <w:ind w:left="1200" w:hanging="643"/>
        <w:spacing w:after="0"/>
        <w:tabs>
          <w:tab w:leader="none" w:pos="1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b w:val="1"/>
          <w:bCs w:val="1"/>
          <w:color w:val="auto"/>
        </w:rPr>
        <w:t>Delaware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NUMBER OF</w:t>
            </w:r>
          </w:p>
        </w:tc>
        <w:tc>
          <w:tcPr>
            <w:tcW w:w="1060" w:type="dxa"/>
            <w:vAlign w:val="bottom"/>
            <w:tcBorders>
              <w:top w:val="single" w:sz="8" w:color="auto"/>
            </w:tcBorders>
          </w:tcPr>
          <w:p>
            <w:pPr>
              <w:jc w:val="center"/>
              <w:ind w:left="190"/>
              <w:spacing w:after="0"/>
              <w:rPr>
                <w:sz w:val="20"/>
                <w:szCs w:val="20"/>
                <w:color w:val="auto"/>
              </w:rPr>
            </w:pPr>
            <w:r>
              <w:rPr>
                <w:rFonts w:ascii="Arial" w:cs="Arial" w:eastAsia="Arial" w:hAnsi="Arial"/>
                <w:sz w:val="18"/>
                <w:szCs w:val="18"/>
                <w:color w:val="auto"/>
                <w:w w:val="99"/>
              </w:rPr>
              <w:t>7</w:t>
            </w:r>
          </w:p>
        </w:tc>
        <w:tc>
          <w:tcPr>
            <w:tcW w:w="764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7"/>
        </w:trPr>
        <w:tc>
          <w:tcPr>
            <w:tcW w:w="254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1060" w:type="dxa"/>
            <w:vAlign w:val="bottom"/>
            <w:tcBorders>
              <w:bottom w:val="single" w:sz="8" w:color="auto"/>
            </w:tcBorders>
          </w:tcPr>
          <w:p>
            <w:pPr>
              <w:spacing w:after="0"/>
              <w:rPr>
                <w:sz w:val="20"/>
                <w:szCs w:val="20"/>
                <w:color w:val="auto"/>
              </w:rPr>
            </w:pPr>
          </w:p>
        </w:tc>
        <w:tc>
          <w:tcPr>
            <w:tcW w:w="7640" w:type="dxa"/>
            <w:vAlign w:val="bottom"/>
            <w:tcBorders>
              <w:bottom w:val="single" w:sz="8" w:color="auto"/>
            </w:tcBorders>
          </w:tcPr>
          <w:p>
            <w:pPr>
              <w:ind w:left="14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98"/>
        </w:trPr>
        <w:tc>
          <w:tcPr>
            <w:tcW w:w="2540" w:type="dxa"/>
            <w:vAlign w:val="bottom"/>
          </w:tcPr>
          <w:p>
            <w:pPr>
              <w:jc w:val="center"/>
              <w:spacing w:after="0" w:line="198" w:lineRule="exact"/>
              <w:rPr>
                <w:sz w:val="20"/>
                <w:szCs w:val="20"/>
                <w:color w:val="auto"/>
              </w:rPr>
            </w:pPr>
            <w:r>
              <w:rPr>
                <w:rFonts w:ascii="Arial" w:cs="Arial" w:eastAsia="Arial" w:hAnsi="Arial"/>
                <w:sz w:val="18"/>
                <w:szCs w:val="18"/>
                <w:color w:val="auto"/>
                <w:w w:val="99"/>
              </w:rPr>
              <w:t>BENEFICIALLY</w:t>
            </w:r>
          </w:p>
        </w:tc>
        <w:tc>
          <w:tcPr>
            <w:tcW w:w="1060" w:type="dxa"/>
            <w:vAlign w:val="bottom"/>
          </w:tcPr>
          <w:p>
            <w:pPr>
              <w:jc w:val="center"/>
              <w:ind w:left="190"/>
              <w:spacing w:after="0" w:line="198" w:lineRule="exact"/>
              <w:rPr>
                <w:sz w:val="20"/>
                <w:szCs w:val="20"/>
                <w:color w:val="auto"/>
              </w:rPr>
            </w:pPr>
            <w:r>
              <w:rPr>
                <w:rFonts w:ascii="Arial" w:cs="Arial" w:eastAsia="Arial" w:hAnsi="Arial"/>
                <w:sz w:val="18"/>
                <w:szCs w:val="18"/>
                <w:color w:val="auto"/>
                <w:w w:val="99"/>
              </w:rPr>
              <w:t>8</w:t>
            </w:r>
          </w:p>
        </w:tc>
        <w:tc>
          <w:tcPr>
            <w:tcW w:w="7640" w:type="dxa"/>
            <w:vAlign w:val="bottom"/>
          </w:tcPr>
          <w:p>
            <w:pPr>
              <w:ind w:left="300"/>
              <w:spacing w:after="0" w:line="198"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41"/>
        </w:trPr>
        <w:tc>
          <w:tcPr>
            <w:tcW w:w="254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1060" w:type="dxa"/>
            <w:vAlign w:val="bottom"/>
            <w:tcBorders>
              <w:bottom w:val="single" w:sz="8" w:color="auto"/>
            </w:tcBorders>
          </w:tcPr>
          <w:p>
            <w:pPr>
              <w:spacing w:after="0"/>
              <w:rPr>
                <w:sz w:val="20"/>
                <w:szCs w:val="20"/>
                <w:color w:val="auto"/>
              </w:rPr>
            </w:pPr>
          </w:p>
        </w:tc>
        <w:tc>
          <w:tcPr>
            <w:tcW w:w="7640" w:type="dxa"/>
            <w:vAlign w:val="bottom"/>
            <w:tcBorders>
              <w:bottom w:val="single" w:sz="8" w:color="auto"/>
            </w:tcBorders>
          </w:tcPr>
          <w:p>
            <w:pPr>
              <w:ind w:left="940"/>
              <w:spacing w:after="0"/>
              <w:rPr>
                <w:sz w:val="20"/>
                <w:szCs w:val="20"/>
                <w:color w:val="auto"/>
              </w:rPr>
            </w:pPr>
            <w:r>
              <w:rPr>
                <w:rFonts w:ascii="Arial" w:cs="Arial" w:eastAsia="Arial" w:hAnsi="Arial"/>
                <w:sz w:val="18"/>
                <w:szCs w:val="18"/>
                <w:b w:val="1"/>
                <w:bCs w:val="1"/>
                <w:color w:val="auto"/>
              </w:rPr>
              <w:t>10,758,104</w:t>
            </w:r>
          </w:p>
        </w:tc>
        <w:tc>
          <w:tcPr>
            <w:tcW w:w="0" w:type="dxa"/>
            <w:vAlign w:val="bottom"/>
          </w:tcPr>
          <w:p>
            <w:pPr>
              <w:spacing w:after="0"/>
              <w:rPr>
                <w:sz w:val="1"/>
                <w:szCs w:val="1"/>
                <w:color w:val="auto"/>
              </w:rPr>
            </w:pPr>
          </w:p>
        </w:tc>
      </w:tr>
      <w:tr>
        <w:trPr>
          <w:trHeight w:val="188"/>
        </w:trPr>
        <w:tc>
          <w:tcPr>
            <w:tcW w:w="2540" w:type="dxa"/>
            <w:vAlign w:val="bottom"/>
          </w:tcPr>
          <w:p>
            <w:pPr>
              <w:jc w:val="center"/>
              <w:spacing w:after="0" w:line="189" w:lineRule="exact"/>
              <w:rPr>
                <w:sz w:val="20"/>
                <w:szCs w:val="20"/>
                <w:color w:val="auto"/>
              </w:rPr>
            </w:pPr>
            <w:r>
              <w:rPr>
                <w:rFonts w:ascii="Arial" w:cs="Arial" w:eastAsia="Arial" w:hAnsi="Arial"/>
                <w:sz w:val="18"/>
                <w:szCs w:val="18"/>
                <w:color w:val="auto"/>
                <w:w w:val="99"/>
              </w:rPr>
              <w:t>EACH</w:t>
            </w:r>
          </w:p>
        </w:tc>
        <w:tc>
          <w:tcPr>
            <w:tcW w:w="1060" w:type="dxa"/>
            <w:vAlign w:val="bottom"/>
          </w:tcPr>
          <w:p>
            <w:pPr>
              <w:jc w:val="center"/>
              <w:ind w:left="190"/>
              <w:spacing w:after="0" w:line="189" w:lineRule="exact"/>
              <w:rPr>
                <w:sz w:val="20"/>
                <w:szCs w:val="20"/>
                <w:color w:val="auto"/>
              </w:rPr>
            </w:pPr>
            <w:r>
              <w:rPr>
                <w:rFonts w:ascii="Arial" w:cs="Arial" w:eastAsia="Arial" w:hAnsi="Arial"/>
                <w:sz w:val="18"/>
                <w:szCs w:val="18"/>
                <w:color w:val="auto"/>
                <w:w w:val="99"/>
              </w:rPr>
              <w:t>9</w:t>
            </w:r>
          </w:p>
        </w:tc>
        <w:tc>
          <w:tcPr>
            <w:tcW w:w="7640" w:type="dxa"/>
            <w:vAlign w:val="bottom"/>
          </w:tcPr>
          <w:p>
            <w:pPr>
              <w:ind w:left="300"/>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2540" w:type="dxa"/>
            <w:vAlign w:val="bottom"/>
          </w:tcPr>
          <w:p>
            <w:pPr>
              <w:jc w:val="center"/>
              <w:spacing w:after="0"/>
              <w:rPr>
                <w:sz w:val="20"/>
                <w:szCs w:val="20"/>
                <w:color w:val="auto"/>
              </w:rPr>
            </w:pPr>
            <w:r>
              <w:rPr>
                <w:rFonts w:ascii="Arial" w:cs="Arial" w:eastAsia="Arial" w:hAnsi="Arial"/>
                <w:sz w:val="18"/>
                <w:szCs w:val="18"/>
                <w:color w:val="auto"/>
                <w:w w:val="91"/>
              </w:rPr>
              <w:t>REPORTING</w:t>
            </w:r>
          </w:p>
        </w:tc>
        <w:tc>
          <w:tcPr>
            <w:tcW w:w="1060" w:type="dxa"/>
            <w:vAlign w:val="bottom"/>
          </w:tcPr>
          <w:p>
            <w:pPr>
              <w:spacing w:after="0"/>
              <w:rPr>
                <w:sz w:val="18"/>
                <w:szCs w:val="18"/>
                <w:color w:val="auto"/>
              </w:rPr>
            </w:pPr>
          </w:p>
        </w:tc>
        <w:tc>
          <w:tcPr>
            <w:tcW w:w="7640" w:type="dxa"/>
            <w:vAlign w:val="bottom"/>
          </w:tcPr>
          <w:p>
            <w:pPr>
              <w:ind w:left="14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35"/>
        </w:trPr>
        <w:tc>
          <w:tcPr>
            <w:tcW w:w="2540" w:type="dxa"/>
            <w:vAlign w:val="bottom"/>
            <w:vMerge w:val="restart"/>
          </w:tcPr>
          <w:p>
            <w:pPr>
              <w:jc w:val="center"/>
              <w:spacing w:after="0"/>
              <w:rPr>
                <w:sz w:val="20"/>
                <w:szCs w:val="20"/>
                <w:color w:val="auto"/>
              </w:rPr>
            </w:pPr>
            <w:r>
              <w:rPr>
                <w:rFonts w:ascii="Arial" w:cs="Arial" w:eastAsia="Arial" w:hAnsi="Arial"/>
                <w:sz w:val="18"/>
                <w:szCs w:val="18"/>
                <w:color w:val="auto"/>
                <w:w w:val="92"/>
              </w:rPr>
              <w:t>PERSON</w:t>
            </w:r>
          </w:p>
        </w:tc>
        <w:tc>
          <w:tcPr>
            <w:tcW w:w="1060" w:type="dxa"/>
            <w:vAlign w:val="bottom"/>
            <w:tcBorders>
              <w:bottom w:val="single" w:sz="8" w:color="auto"/>
            </w:tcBorders>
          </w:tcPr>
          <w:p>
            <w:pPr>
              <w:spacing w:after="0"/>
              <w:rPr>
                <w:sz w:val="3"/>
                <w:szCs w:val="3"/>
                <w:color w:val="auto"/>
              </w:rPr>
            </w:pPr>
          </w:p>
        </w:tc>
        <w:tc>
          <w:tcPr>
            <w:tcW w:w="7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540" w:type="dxa"/>
            <w:vAlign w:val="bottom"/>
            <w:vMerge w:val="continue"/>
          </w:tcPr>
          <w:p>
            <w:pPr>
              <w:spacing w:after="0"/>
              <w:rPr>
                <w:sz w:val="14"/>
                <w:szCs w:val="14"/>
                <w:color w:val="auto"/>
              </w:rPr>
            </w:pPr>
          </w:p>
        </w:tc>
        <w:tc>
          <w:tcPr>
            <w:tcW w:w="1060" w:type="dxa"/>
            <w:vAlign w:val="bottom"/>
          </w:tcPr>
          <w:p>
            <w:pPr>
              <w:jc w:val="center"/>
              <w:ind w:left="190"/>
              <w:spacing w:after="0" w:line="162" w:lineRule="exact"/>
              <w:rPr>
                <w:sz w:val="20"/>
                <w:szCs w:val="20"/>
                <w:color w:val="auto"/>
              </w:rPr>
            </w:pPr>
            <w:r>
              <w:rPr>
                <w:rFonts w:ascii="Arial" w:cs="Arial" w:eastAsia="Arial" w:hAnsi="Arial"/>
                <w:sz w:val="18"/>
                <w:szCs w:val="18"/>
                <w:color w:val="auto"/>
                <w:w w:val="89"/>
              </w:rPr>
              <w:t>10</w:t>
            </w:r>
          </w:p>
        </w:tc>
        <w:tc>
          <w:tcPr>
            <w:tcW w:w="7640" w:type="dxa"/>
            <w:vAlign w:val="bottom"/>
          </w:tcPr>
          <w:p>
            <w:pPr>
              <w:ind w:left="300"/>
              <w:spacing w:after="0" w:line="162" w:lineRule="exact"/>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70"/>
        </w:trPr>
        <w:tc>
          <w:tcPr>
            <w:tcW w:w="2540" w:type="dxa"/>
            <w:vAlign w:val="bottom"/>
          </w:tcPr>
          <w:p>
            <w:pPr>
              <w:jc w:val="center"/>
              <w:spacing w:after="0"/>
              <w:rPr>
                <w:sz w:val="20"/>
                <w:szCs w:val="20"/>
                <w:color w:val="auto"/>
              </w:rPr>
            </w:pPr>
            <w:r>
              <w:rPr>
                <w:rFonts w:ascii="Arial" w:cs="Arial" w:eastAsia="Arial" w:hAnsi="Arial"/>
                <w:sz w:val="18"/>
                <w:szCs w:val="18"/>
                <w:color w:val="auto"/>
                <w:w w:val="99"/>
              </w:rPr>
              <w:t>WITH</w:t>
            </w:r>
          </w:p>
        </w:tc>
        <w:tc>
          <w:tcPr>
            <w:tcW w:w="1060" w:type="dxa"/>
            <w:vAlign w:val="bottom"/>
          </w:tcPr>
          <w:p>
            <w:pPr>
              <w:spacing w:after="0"/>
              <w:rPr>
                <w:sz w:val="23"/>
                <w:szCs w:val="23"/>
                <w:color w:val="auto"/>
              </w:rPr>
            </w:pPr>
          </w:p>
        </w:tc>
        <w:tc>
          <w:tcPr>
            <w:tcW w:w="7640" w:type="dxa"/>
            <w:vAlign w:val="bottom"/>
          </w:tcPr>
          <w:p>
            <w:pPr>
              <w:ind w:left="940"/>
              <w:spacing w:after="0"/>
              <w:rPr>
                <w:sz w:val="20"/>
                <w:szCs w:val="20"/>
                <w:color w:val="auto"/>
              </w:rPr>
            </w:pPr>
            <w:r>
              <w:rPr>
                <w:rFonts w:ascii="Arial" w:cs="Arial" w:eastAsia="Arial" w:hAnsi="Arial"/>
                <w:sz w:val="18"/>
                <w:szCs w:val="18"/>
                <w:b w:val="1"/>
                <w:bCs w:val="1"/>
                <w:color w:val="auto"/>
              </w:rPr>
              <w:t>10,758,104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1200" w:hanging="685"/>
        <w:spacing w:after="0"/>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b w:val="1"/>
          <w:bCs w:val="1"/>
          <w:color w:val="auto"/>
        </w:rPr>
        <w:t>10,758,104</w:t>
      </w:r>
    </w:p>
    <w:p>
      <w:pPr>
        <w:spacing w:after="0" w:line="21" w:lineRule="exact"/>
        <w:rPr>
          <w:rFonts w:ascii="Arial" w:cs="Arial" w:eastAsia="Arial" w:hAnsi="Arial"/>
          <w:sz w:val="18"/>
          <w:szCs w:val="18"/>
          <w:color w:val="auto"/>
        </w:rPr>
      </w:pPr>
    </w:p>
    <w:p>
      <w:pPr>
        <w:ind w:left="1200" w:hanging="688"/>
        <w:spacing w:after="0"/>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 □</w:t>
      </w:r>
    </w:p>
    <w:p>
      <w:pPr>
        <w:spacing w:after="0" w:line="252" w:lineRule="exact"/>
        <w:rPr>
          <w:rFonts w:ascii="Arial" w:cs="Arial" w:eastAsia="Arial" w:hAnsi="Arial"/>
          <w:sz w:val="18"/>
          <w:szCs w:val="18"/>
          <w:color w:val="auto"/>
        </w:rPr>
      </w:pPr>
    </w:p>
    <w:p>
      <w:pPr>
        <w:ind w:left="1200" w:hanging="688"/>
        <w:spacing w:after="0"/>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86.5%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 w:lineRule="exact"/>
        <w:rPr>
          <w:sz w:val="20"/>
          <w:szCs w:val="20"/>
          <w:color w:val="auto"/>
        </w:rPr>
      </w:pPr>
    </w:p>
    <w:p>
      <w:pPr>
        <w:ind w:left="1200" w:hanging="688"/>
        <w:spacing w:after="0"/>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 xml:space="preserve">CUSIP No. </w:t>
      </w:r>
      <w:r>
        <w:rPr>
          <w:rFonts w:ascii="Arial" w:cs="Arial" w:eastAsia="Arial" w:hAnsi="Arial"/>
          <w:sz w:val="22"/>
          <w:szCs w:val="22"/>
          <w:b w:val="1"/>
          <w:bCs w:val="1"/>
          <w:color w:val="auto"/>
        </w:rPr>
        <w:t>20563P 10 1</w:t>
      </w:r>
    </w:p>
    <w:p>
      <w:pPr>
        <w:spacing w:after="0" w:line="246" w:lineRule="exact"/>
        <w:rPr>
          <w:sz w:val="20"/>
          <w:szCs w:val="20"/>
          <w:color w:val="auto"/>
        </w:rPr>
      </w:pPr>
    </w:p>
    <w:p>
      <w:pPr>
        <w:ind w:left="1200" w:hanging="643"/>
        <w:spacing w:after="0"/>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b w:val="1"/>
          <w:bCs w:val="1"/>
          <w:color w:val="auto"/>
        </w:rPr>
        <w:t>Dixie Rice Agricultural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 w:lineRule="exact"/>
        <w:rPr>
          <w:sz w:val="20"/>
          <w:szCs w:val="20"/>
          <w:color w:val="auto"/>
        </w:rPr>
      </w:pPr>
    </w:p>
    <w:p>
      <w:pPr>
        <w:ind w:left="1200" w:hanging="643"/>
        <w:spacing w:after="0"/>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480" w:hanging="284"/>
        <w:spacing w:after="0"/>
        <w:tabs>
          <w:tab w:leader="none" w:pos="14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500" w:hanging="304"/>
        <w:spacing w:after="0"/>
        <w:tabs>
          <w:tab w:leader="none" w:pos="15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 w:lineRule="exact"/>
        <w:rPr>
          <w:sz w:val="20"/>
          <w:szCs w:val="20"/>
          <w:color w:val="auto"/>
        </w:rPr>
      </w:pPr>
    </w:p>
    <w:p>
      <w:pPr>
        <w:ind w:left="1200" w:hanging="643"/>
        <w:spacing w:after="0"/>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1200" w:hanging="643"/>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1200" w:right="4720" w:hanging="643"/>
        <w:spacing w:after="0" w:line="277" w:lineRule="auto"/>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7" w:lineRule="exact"/>
        <w:rPr>
          <w:sz w:val="20"/>
          <w:szCs w:val="20"/>
          <w:color w:val="auto"/>
        </w:rPr>
      </w:pPr>
    </w:p>
    <w:p>
      <w:pPr>
        <w:ind w:left="1200" w:hanging="643"/>
        <w:spacing w:after="0"/>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b w:val="1"/>
          <w:bCs w:val="1"/>
          <w:color w:val="auto"/>
        </w:rPr>
        <w:t>Louisiana</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NUMBER OF</w:t>
            </w:r>
          </w:p>
        </w:tc>
        <w:tc>
          <w:tcPr>
            <w:tcW w:w="1060" w:type="dxa"/>
            <w:vAlign w:val="bottom"/>
            <w:tcBorders>
              <w:top w:val="single" w:sz="8" w:color="auto"/>
            </w:tcBorders>
          </w:tcPr>
          <w:p>
            <w:pPr>
              <w:jc w:val="center"/>
              <w:ind w:left="190"/>
              <w:spacing w:after="0"/>
              <w:rPr>
                <w:sz w:val="20"/>
                <w:szCs w:val="20"/>
                <w:color w:val="auto"/>
              </w:rPr>
            </w:pPr>
            <w:r>
              <w:rPr>
                <w:rFonts w:ascii="Arial" w:cs="Arial" w:eastAsia="Arial" w:hAnsi="Arial"/>
                <w:sz w:val="18"/>
                <w:szCs w:val="18"/>
                <w:color w:val="auto"/>
                <w:w w:val="99"/>
              </w:rPr>
              <w:t>7</w:t>
            </w:r>
          </w:p>
        </w:tc>
        <w:tc>
          <w:tcPr>
            <w:tcW w:w="764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7"/>
        </w:trPr>
        <w:tc>
          <w:tcPr>
            <w:tcW w:w="254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1060" w:type="dxa"/>
            <w:vAlign w:val="bottom"/>
            <w:tcBorders>
              <w:bottom w:val="single" w:sz="8" w:color="auto"/>
            </w:tcBorders>
          </w:tcPr>
          <w:p>
            <w:pPr>
              <w:spacing w:after="0"/>
              <w:rPr>
                <w:sz w:val="20"/>
                <w:szCs w:val="20"/>
                <w:color w:val="auto"/>
              </w:rPr>
            </w:pPr>
          </w:p>
        </w:tc>
        <w:tc>
          <w:tcPr>
            <w:tcW w:w="7640" w:type="dxa"/>
            <w:vAlign w:val="bottom"/>
            <w:tcBorders>
              <w:bottom w:val="single" w:sz="8" w:color="auto"/>
            </w:tcBorders>
          </w:tcPr>
          <w:p>
            <w:pPr>
              <w:ind w:left="14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98"/>
        </w:trPr>
        <w:tc>
          <w:tcPr>
            <w:tcW w:w="2540" w:type="dxa"/>
            <w:vAlign w:val="bottom"/>
          </w:tcPr>
          <w:p>
            <w:pPr>
              <w:jc w:val="center"/>
              <w:spacing w:after="0" w:line="198" w:lineRule="exact"/>
              <w:rPr>
                <w:sz w:val="20"/>
                <w:szCs w:val="20"/>
                <w:color w:val="auto"/>
              </w:rPr>
            </w:pPr>
            <w:r>
              <w:rPr>
                <w:rFonts w:ascii="Arial" w:cs="Arial" w:eastAsia="Arial" w:hAnsi="Arial"/>
                <w:sz w:val="18"/>
                <w:szCs w:val="18"/>
                <w:color w:val="auto"/>
                <w:w w:val="99"/>
              </w:rPr>
              <w:t>BENEFICIALLY</w:t>
            </w:r>
          </w:p>
        </w:tc>
        <w:tc>
          <w:tcPr>
            <w:tcW w:w="1060" w:type="dxa"/>
            <w:vAlign w:val="bottom"/>
          </w:tcPr>
          <w:p>
            <w:pPr>
              <w:jc w:val="center"/>
              <w:ind w:left="190"/>
              <w:spacing w:after="0" w:line="198" w:lineRule="exact"/>
              <w:rPr>
                <w:sz w:val="20"/>
                <w:szCs w:val="20"/>
                <w:color w:val="auto"/>
              </w:rPr>
            </w:pPr>
            <w:r>
              <w:rPr>
                <w:rFonts w:ascii="Arial" w:cs="Arial" w:eastAsia="Arial" w:hAnsi="Arial"/>
                <w:sz w:val="18"/>
                <w:szCs w:val="18"/>
                <w:color w:val="auto"/>
                <w:w w:val="99"/>
              </w:rPr>
              <w:t>8</w:t>
            </w:r>
          </w:p>
        </w:tc>
        <w:tc>
          <w:tcPr>
            <w:tcW w:w="7640" w:type="dxa"/>
            <w:vAlign w:val="bottom"/>
          </w:tcPr>
          <w:p>
            <w:pPr>
              <w:ind w:left="300"/>
              <w:spacing w:after="0" w:line="198"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41"/>
        </w:trPr>
        <w:tc>
          <w:tcPr>
            <w:tcW w:w="254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1060" w:type="dxa"/>
            <w:vAlign w:val="bottom"/>
            <w:tcBorders>
              <w:bottom w:val="single" w:sz="8" w:color="auto"/>
            </w:tcBorders>
          </w:tcPr>
          <w:p>
            <w:pPr>
              <w:spacing w:after="0"/>
              <w:rPr>
                <w:sz w:val="20"/>
                <w:szCs w:val="20"/>
                <w:color w:val="auto"/>
              </w:rPr>
            </w:pPr>
          </w:p>
        </w:tc>
        <w:tc>
          <w:tcPr>
            <w:tcW w:w="7640" w:type="dxa"/>
            <w:vAlign w:val="bottom"/>
            <w:tcBorders>
              <w:bottom w:val="single" w:sz="8" w:color="auto"/>
            </w:tcBorders>
          </w:tcPr>
          <w:p>
            <w:pPr>
              <w:ind w:left="940"/>
              <w:spacing w:after="0"/>
              <w:rPr>
                <w:sz w:val="20"/>
                <w:szCs w:val="20"/>
                <w:color w:val="auto"/>
              </w:rPr>
            </w:pPr>
            <w:r>
              <w:rPr>
                <w:rFonts w:ascii="Arial" w:cs="Arial" w:eastAsia="Arial" w:hAnsi="Arial"/>
                <w:sz w:val="18"/>
                <w:szCs w:val="18"/>
                <w:b w:val="1"/>
                <w:bCs w:val="1"/>
                <w:color w:val="auto"/>
              </w:rPr>
              <w:t>10,758,104</w:t>
            </w:r>
          </w:p>
        </w:tc>
        <w:tc>
          <w:tcPr>
            <w:tcW w:w="0" w:type="dxa"/>
            <w:vAlign w:val="bottom"/>
          </w:tcPr>
          <w:p>
            <w:pPr>
              <w:spacing w:after="0"/>
              <w:rPr>
                <w:sz w:val="1"/>
                <w:szCs w:val="1"/>
                <w:color w:val="auto"/>
              </w:rPr>
            </w:pPr>
          </w:p>
        </w:tc>
      </w:tr>
      <w:tr>
        <w:trPr>
          <w:trHeight w:val="188"/>
        </w:trPr>
        <w:tc>
          <w:tcPr>
            <w:tcW w:w="2540" w:type="dxa"/>
            <w:vAlign w:val="bottom"/>
          </w:tcPr>
          <w:p>
            <w:pPr>
              <w:jc w:val="center"/>
              <w:spacing w:after="0" w:line="189" w:lineRule="exact"/>
              <w:rPr>
                <w:sz w:val="20"/>
                <w:szCs w:val="20"/>
                <w:color w:val="auto"/>
              </w:rPr>
            </w:pPr>
            <w:r>
              <w:rPr>
                <w:rFonts w:ascii="Arial" w:cs="Arial" w:eastAsia="Arial" w:hAnsi="Arial"/>
                <w:sz w:val="18"/>
                <w:szCs w:val="18"/>
                <w:color w:val="auto"/>
                <w:w w:val="99"/>
              </w:rPr>
              <w:t>EACH</w:t>
            </w:r>
          </w:p>
        </w:tc>
        <w:tc>
          <w:tcPr>
            <w:tcW w:w="1060" w:type="dxa"/>
            <w:vAlign w:val="bottom"/>
          </w:tcPr>
          <w:p>
            <w:pPr>
              <w:jc w:val="center"/>
              <w:ind w:left="190"/>
              <w:spacing w:after="0" w:line="189" w:lineRule="exact"/>
              <w:rPr>
                <w:sz w:val="20"/>
                <w:szCs w:val="20"/>
                <w:color w:val="auto"/>
              </w:rPr>
            </w:pPr>
            <w:r>
              <w:rPr>
                <w:rFonts w:ascii="Arial" w:cs="Arial" w:eastAsia="Arial" w:hAnsi="Arial"/>
                <w:sz w:val="18"/>
                <w:szCs w:val="18"/>
                <w:color w:val="auto"/>
                <w:w w:val="99"/>
              </w:rPr>
              <w:t>9</w:t>
            </w:r>
          </w:p>
        </w:tc>
        <w:tc>
          <w:tcPr>
            <w:tcW w:w="7640" w:type="dxa"/>
            <w:vAlign w:val="bottom"/>
          </w:tcPr>
          <w:p>
            <w:pPr>
              <w:ind w:left="300"/>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2540" w:type="dxa"/>
            <w:vAlign w:val="bottom"/>
          </w:tcPr>
          <w:p>
            <w:pPr>
              <w:jc w:val="center"/>
              <w:spacing w:after="0"/>
              <w:rPr>
                <w:sz w:val="20"/>
                <w:szCs w:val="20"/>
                <w:color w:val="auto"/>
              </w:rPr>
            </w:pPr>
            <w:r>
              <w:rPr>
                <w:rFonts w:ascii="Arial" w:cs="Arial" w:eastAsia="Arial" w:hAnsi="Arial"/>
                <w:sz w:val="18"/>
                <w:szCs w:val="18"/>
                <w:color w:val="auto"/>
                <w:w w:val="91"/>
              </w:rPr>
              <w:t>REPORTING</w:t>
            </w:r>
          </w:p>
        </w:tc>
        <w:tc>
          <w:tcPr>
            <w:tcW w:w="1060" w:type="dxa"/>
            <w:vAlign w:val="bottom"/>
          </w:tcPr>
          <w:p>
            <w:pPr>
              <w:spacing w:after="0"/>
              <w:rPr>
                <w:sz w:val="18"/>
                <w:szCs w:val="18"/>
                <w:color w:val="auto"/>
              </w:rPr>
            </w:pPr>
          </w:p>
        </w:tc>
        <w:tc>
          <w:tcPr>
            <w:tcW w:w="7640" w:type="dxa"/>
            <w:vAlign w:val="bottom"/>
          </w:tcPr>
          <w:p>
            <w:pPr>
              <w:ind w:left="14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35"/>
        </w:trPr>
        <w:tc>
          <w:tcPr>
            <w:tcW w:w="2540" w:type="dxa"/>
            <w:vAlign w:val="bottom"/>
            <w:vMerge w:val="restart"/>
          </w:tcPr>
          <w:p>
            <w:pPr>
              <w:jc w:val="center"/>
              <w:spacing w:after="0"/>
              <w:rPr>
                <w:sz w:val="20"/>
                <w:szCs w:val="20"/>
                <w:color w:val="auto"/>
              </w:rPr>
            </w:pPr>
            <w:r>
              <w:rPr>
                <w:rFonts w:ascii="Arial" w:cs="Arial" w:eastAsia="Arial" w:hAnsi="Arial"/>
                <w:sz w:val="18"/>
                <w:szCs w:val="18"/>
                <w:color w:val="auto"/>
                <w:w w:val="92"/>
              </w:rPr>
              <w:t>PERSON</w:t>
            </w:r>
          </w:p>
        </w:tc>
        <w:tc>
          <w:tcPr>
            <w:tcW w:w="1060" w:type="dxa"/>
            <w:vAlign w:val="bottom"/>
            <w:tcBorders>
              <w:bottom w:val="single" w:sz="8" w:color="auto"/>
            </w:tcBorders>
          </w:tcPr>
          <w:p>
            <w:pPr>
              <w:spacing w:after="0"/>
              <w:rPr>
                <w:sz w:val="3"/>
                <w:szCs w:val="3"/>
                <w:color w:val="auto"/>
              </w:rPr>
            </w:pPr>
          </w:p>
        </w:tc>
        <w:tc>
          <w:tcPr>
            <w:tcW w:w="7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540" w:type="dxa"/>
            <w:vAlign w:val="bottom"/>
            <w:vMerge w:val="continue"/>
          </w:tcPr>
          <w:p>
            <w:pPr>
              <w:spacing w:after="0"/>
              <w:rPr>
                <w:sz w:val="14"/>
                <w:szCs w:val="14"/>
                <w:color w:val="auto"/>
              </w:rPr>
            </w:pPr>
          </w:p>
        </w:tc>
        <w:tc>
          <w:tcPr>
            <w:tcW w:w="1060" w:type="dxa"/>
            <w:vAlign w:val="bottom"/>
          </w:tcPr>
          <w:p>
            <w:pPr>
              <w:jc w:val="center"/>
              <w:ind w:left="190"/>
              <w:spacing w:after="0" w:line="162" w:lineRule="exact"/>
              <w:rPr>
                <w:sz w:val="20"/>
                <w:szCs w:val="20"/>
                <w:color w:val="auto"/>
              </w:rPr>
            </w:pPr>
            <w:r>
              <w:rPr>
                <w:rFonts w:ascii="Arial" w:cs="Arial" w:eastAsia="Arial" w:hAnsi="Arial"/>
                <w:sz w:val="18"/>
                <w:szCs w:val="18"/>
                <w:color w:val="auto"/>
                <w:w w:val="89"/>
              </w:rPr>
              <w:t>10</w:t>
            </w:r>
          </w:p>
        </w:tc>
        <w:tc>
          <w:tcPr>
            <w:tcW w:w="7640" w:type="dxa"/>
            <w:vAlign w:val="bottom"/>
          </w:tcPr>
          <w:p>
            <w:pPr>
              <w:ind w:left="300"/>
              <w:spacing w:after="0" w:line="162" w:lineRule="exact"/>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70"/>
        </w:trPr>
        <w:tc>
          <w:tcPr>
            <w:tcW w:w="2540" w:type="dxa"/>
            <w:vAlign w:val="bottom"/>
          </w:tcPr>
          <w:p>
            <w:pPr>
              <w:jc w:val="center"/>
              <w:spacing w:after="0"/>
              <w:rPr>
                <w:sz w:val="20"/>
                <w:szCs w:val="20"/>
                <w:color w:val="auto"/>
              </w:rPr>
            </w:pPr>
            <w:r>
              <w:rPr>
                <w:rFonts w:ascii="Arial" w:cs="Arial" w:eastAsia="Arial" w:hAnsi="Arial"/>
                <w:sz w:val="18"/>
                <w:szCs w:val="18"/>
                <w:color w:val="auto"/>
                <w:w w:val="99"/>
              </w:rPr>
              <w:t>WITH</w:t>
            </w:r>
          </w:p>
        </w:tc>
        <w:tc>
          <w:tcPr>
            <w:tcW w:w="1060" w:type="dxa"/>
            <w:vAlign w:val="bottom"/>
          </w:tcPr>
          <w:p>
            <w:pPr>
              <w:spacing w:after="0"/>
              <w:rPr>
                <w:sz w:val="23"/>
                <w:szCs w:val="23"/>
                <w:color w:val="auto"/>
              </w:rPr>
            </w:pPr>
          </w:p>
        </w:tc>
        <w:tc>
          <w:tcPr>
            <w:tcW w:w="7640" w:type="dxa"/>
            <w:vAlign w:val="bottom"/>
          </w:tcPr>
          <w:p>
            <w:pPr>
              <w:ind w:left="940"/>
              <w:spacing w:after="0"/>
              <w:rPr>
                <w:sz w:val="20"/>
                <w:szCs w:val="20"/>
                <w:color w:val="auto"/>
              </w:rPr>
            </w:pPr>
            <w:r>
              <w:rPr>
                <w:rFonts w:ascii="Arial" w:cs="Arial" w:eastAsia="Arial" w:hAnsi="Arial"/>
                <w:sz w:val="18"/>
                <w:szCs w:val="18"/>
                <w:b w:val="1"/>
                <w:bCs w:val="1"/>
                <w:color w:val="auto"/>
              </w:rPr>
              <w:t>10,758,104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1200" w:hanging="685"/>
        <w:spacing w:after="0"/>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b w:val="1"/>
          <w:bCs w:val="1"/>
          <w:color w:val="auto"/>
        </w:rPr>
        <w:t>10,758,104</w:t>
      </w:r>
    </w:p>
    <w:p>
      <w:pPr>
        <w:spacing w:after="0" w:line="21" w:lineRule="exact"/>
        <w:rPr>
          <w:rFonts w:ascii="Arial" w:cs="Arial" w:eastAsia="Arial" w:hAnsi="Arial"/>
          <w:sz w:val="18"/>
          <w:szCs w:val="18"/>
          <w:color w:val="auto"/>
        </w:rPr>
      </w:pPr>
    </w:p>
    <w:p>
      <w:pPr>
        <w:ind w:left="1200" w:hanging="688"/>
        <w:spacing w:after="0"/>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 □</w:t>
      </w:r>
    </w:p>
    <w:p>
      <w:pPr>
        <w:spacing w:after="0" w:line="252" w:lineRule="exact"/>
        <w:rPr>
          <w:rFonts w:ascii="Arial" w:cs="Arial" w:eastAsia="Arial" w:hAnsi="Arial"/>
          <w:sz w:val="18"/>
          <w:szCs w:val="18"/>
          <w:color w:val="auto"/>
        </w:rPr>
      </w:pPr>
    </w:p>
    <w:p>
      <w:pPr>
        <w:ind w:left="1200" w:hanging="688"/>
        <w:spacing w:after="0"/>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86.5%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 w:lineRule="exact"/>
        <w:rPr>
          <w:sz w:val="20"/>
          <w:szCs w:val="20"/>
          <w:color w:val="auto"/>
        </w:rPr>
      </w:pPr>
    </w:p>
    <w:p>
      <w:pPr>
        <w:ind w:left="1200" w:hanging="688"/>
        <w:spacing w:after="0"/>
        <w:tabs>
          <w:tab w:leader="none" w:pos="12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b w:val="1"/>
          <w:bCs w:val="1"/>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 w:name="page6"/>
    <w:bookmarkEnd w:id="5"/>
    <w:p>
      <w:pPr>
        <w:spacing w:after="0"/>
        <w:rPr>
          <w:sz w:val="20"/>
          <w:szCs w:val="20"/>
          <w:color w:val="auto"/>
        </w:rPr>
      </w:pPr>
      <w:r>
        <w:rPr>
          <w:rFonts w:ascii="Arial" w:cs="Arial" w:eastAsia="Arial" w:hAnsi="Arial"/>
          <w:sz w:val="22"/>
          <w:szCs w:val="22"/>
          <w:color w:val="auto"/>
        </w:rPr>
        <w:t xml:space="preserve">CUSIP No. </w:t>
      </w:r>
      <w:r>
        <w:rPr>
          <w:rFonts w:ascii="Arial" w:cs="Arial" w:eastAsia="Arial" w:hAnsi="Arial"/>
          <w:sz w:val="22"/>
          <w:szCs w:val="22"/>
          <w:b w:val="1"/>
          <w:bCs w:val="1"/>
          <w:color w:val="auto"/>
        </w:rPr>
        <w:t>20563P 10 1</w:t>
      </w:r>
    </w:p>
    <w:p>
      <w:pPr>
        <w:spacing w:after="0" w:line="247" w:lineRule="exact"/>
        <w:rPr>
          <w:sz w:val="20"/>
          <w:szCs w:val="20"/>
          <w:color w:val="auto"/>
        </w:rPr>
      </w:pPr>
    </w:p>
    <w:p>
      <w:pPr>
        <w:ind w:left="1200" w:hanging="643"/>
        <w:spacing w:after="0"/>
        <w:tabs>
          <w:tab w:leader="none" w:pos="12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b w:val="1"/>
          <w:bCs w:val="1"/>
          <w:color w:val="auto"/>
        </w:rPr>
        <w:t>Contran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 w:lineRule="exact"/>
        <w:rPr>
          <w:sz w:val="20"/>
          <w:szCs w:val="20"/>
          <w:color w:val="auto"/>
        </w:rPr>
      </w:pPr>
    </w:p>
    <w:p>
      <w:pPr>
        <w:ind w:left="1200" w:hanging="643"/>
        <w:spacing w:after="0"/>
        <w:tabs>
          <w:tab w:leader="none" w:pos="1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480" w:hanging="284"/>
        <w:spacing w:after="0"/>
        <w:tabs>
          <w:tab w:leader="none" w:pos="14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500" w:hanging="304"/>
        <w:spacing w:after="0"/>
        <w:tabs>
          <w:tab w:leader="none" w:pos="15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 w:lineRule="exact"/>
        <w:rPr>
          <w:sz w:val="20"/>
          <w:szCs w:val="20"/>
          <w:color w:val="auto"/>
        </w:rPr>
      </w:pPr>
    </w:p>
    <w:p>
      <w:pPr>
        <w:ind w:left="1200" w:hanging="643"/>
        <w:spacing w:after="0"/>
        <w:tabs>
          <w:tab w:leader="none" w:pos="12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1200" w:hanging="643"/>
        <w:spacing w:after="0"/>
        <w:tabs>
          <w:tab w:leader="none" w:pos="12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1200" w:right="4720" w:hanging="643"/>
        <w:spacing w:after="0" w:line="277" w:lineRule="auto"/>
        <w:tabs>
          <w:tab w:leader="none" w:pos="1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7" w:lineRule="exact"/>
        <w:rPr>
          <w:sz w:val="20"/>
          <w:szCs w:val="20"/>
          <w:color w:val="auto"/>
        </w:rPr>
      </w:pPr>
    </w:p>
    <w:p>
      <w:pPr>
        <w:ind w:left="1200" w:hanging="643"/>
        <w:spacing w:after="0"/>
        <w:tabs>
          <w:tab w:leader="none" w:pos="12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b w:val="1"/>
          <w:bCs w:val="1"/>
          <w:color w:val="auto"/>
        </w:rPr>
        <w:t>Delaware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NUMBER OF</w:t>
            </w:r>
          </w:p>
        </w:tc>
        <w:tc>
          <w:tcPr>
            <w:tcW w:w="1060" w:type="dxa"/>
            <w:vAlign w:val="bottom"/>
            <w:tcBorders>
              <w:top w:val="single" w:sz="8" w:color="auto"/>
            </w:tcBorders>
          </w:tcPr>
          <w:p>
            <w:pPr>
              <w:jc w:val="center"/>
              <w:ind w:left="190"/>
              <w:spacing w:after="0"/>
              <w:rPr>
                <w:sz w:val="20"/>
                <w:szCs w:val="20"/>
                <w:color w:val="auto"/>
              </w:rPr>
            </w:pPr>
            <w:r>
              <w:rPr>
                <w:rFonts w:ascii="Arial" w:cs="Arial" w:eastAsia="Arial" w:hAnsi="Arial"/>
                <w:sz w:val="18"/>
                <w:szCs w:val="18"/>
                <w:color w:val="auto"/>
                <w:w w:val="99"/>
              </w:rPr>
              <w:t>7</w:t>
            </w:r>
          </w:p>
        </w:tc>
        <w:tc>
          <w:tcPr>
            <w:tcW w:w="764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7"/>
        </w:trPr>
        <w:tc>
          <w:tcPr>
            <w:tcW w:w="254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1060" w:type="dxa"/>
            <w:vAlign w:val="bottom"/>
            <w:tcBorders>
              <w:bottom w:val="single" w:sz="8" w:color="auto"/>
            </w:tcBorders>
          </w:tcPr>
          <w:p>
            <w:pPr>
              <w:spacing w:after="0"/>
              <w:rPr>
                <w:sz w:val="20"/>
                <w:szCs w:val="20"/>
                <w:color w:val="auto"/>
              </w:rPr>
            </w:pPr>
          </w:p>
        </w:tc>
        <w:tc>
          <w:tcPr>
            <w:tcW w:w="7640" w:type="dxa"/>
            <w:vAlign w:val="bottom"/>
            <w:tcBorders>
              <w:bottom w:val="single" w:sz="8" w:color="auto"/>
            </w:tcBorders>
          </w:tcPr>
          <w:p>
            <w:pPr>
              <w:ind w:left="14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98"/>
        </w:trPr>
        <w:tc>
          <w:tcPr>
            <w:tcW w:w="2540" w:type="dxa"/>
            <w:vAlign w:val="bottom"/>
          </w:tcPr>
          <w:p>
            <w:pPr>
              <w:jc w:val="center"/>
              <w:spacing w:after="0" w:line="198" w:lineRule="exact"/>
              <w:rPr>
                <w:sz w:val="20"/>
                <w:szCs w:val="20"/>
                <w:color w:val="auto"/>
              </w:rPr>
            </w:pPr>
            <w:r>
              <w:rPr>
                <w:rFonts w:ascii="Arial" w:cs="Arial" w:eastAsia="Arial" w:hAnsi="Arial"/>
                <w:sz w:val="18"/>
                <w:szCs w:val="18"/>
                <w:color w:val="auto"/>
                <w:w w:val="99"/>
              </w:rPr>
              <w:t>BENEFICIALLY</w:t>
            </w:r>
          </w:p>
        </w:tc>
        <w:tc>
          <w:tcPr>
            <w:tcW w:w="1060" w:type="dxa"/>
            <w:vAlign w:val="bottom"/>
          </w:tcPr>
          <w:p>
            <w:pPr>
              <w:jc w:val="center"/>
              <w:ind w:left="190"/>
              <w:spacing w:after="0" w:line="198" w:lineRule="exact"/>
              <w:rPr>
                <w:sz w:val="20"/>
                <w:szCs w:val="20"/>
                <w:color w:val="auto"/>
              </w:rPr>
            </w:pPr>
            <w:r>
              <w:rPr>
                <w:rFonts w:ascii="Arial" w:cs="Arial" w:eastAsia="Arial" w:hAnsi="Arial"/>
                <w:sz w:val="18"/>
                <w:szCs w:val="18"/>
                <w:color w:val="auto"/>
                <w:w w:val="99"/>
              </w:rPr>
              <w:t>8</w:t>
            </w:r>
          </w:p>
        </w:tc>
        <w:tc>
          <w:tcPr>
            <w:tcW w:w="7640" w:type="dxa"/>
            <w:vAlign w:val="bottom"/>
          </w:tcPr>
          <w:p>
            <w:pPr>
              <w:ind w:left="300"/>
              <w:spacing w:after="0" w:line="198"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41"/>
        </w:trPr>
        <w:tc>
          <w:tcPr>
            <w:tcW w:w="254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1060" w:type="dxa"/>
            <w:vAlign w:val="bottom"/>
            <w:tcBorders>
              <w:bottom w:val="single" w:sz="8" w:color="auto"/>
            </w:tcBorders>
          </w:tcPr>
          <w:p>
            <w:pPr>
              <w:spacing w:after="0"/>
              <w:rPr>
                <w:sz w:val="20"/>
                <w:szCs w:val="20"/>
                <w:color w:val="auto"/>
              </w:rPr>
            </w:pPr>
          </w:p>
        </w:tc>
        <w:tc>
          <w:tcPr>
            <w:tcW w:w="7640" w:type="dxa"/>
            <w:vAlign w:val="bottom"/>
            <w:tcBorders>
              <w:bottom w:val="single" w:sz="8" w:color="auto"/>
            </w:tcBorders>
          </w:tcPr>
          <w:p>
            <w:pPr>
              <w:ind w:left="940"/>
              <w:spacing w:after="0"/>
              <w:rPr>
                <w:sz w:val="20"/>
                <w:szCs w:val="20"/>
                <w:color w:val="auto"/>
              </w:rPr>
            </w:pPr>
            <w:r>
              <w:rPr>
                <w:rFonts w:ascii="Arial" w:cs="Arial" w:eastAsia="Arial" w:hAnsi="Arial"/>
                <w:sz w:val="18"/>
                <w:szCs w:val="18"/>
                <w:b w:val="1"/>
                <w:bCs w:val="1"/>
                <w:color w:val="auto"/>
              </w:rPr>
              <w:t>10,764,004</w:t>
            </w:r>
          </w:p>
        </w:tc>
        <w:tc>
          <w:tcPr>
            <w:tcW w:w="0" w:type="dxa"/>
            <w:vAlign w:val="bottom"/>
          </w:tcPr>
          <w:p>
            <w:pPr>
              <w:spacing w:after="0"/>
              <w:rPr>
                <w:sz w:val="1"/>
                <w:szCs w:val="1"/>
                <w:color w:val="auto"/>
              </w:rPr>
            </w:pPr>
          </w:p>
        </w:tc>
      </w:tr>
      <w:tr>
        <w:trPr>
          <w:trHeight w:val="188"/>
        </w:trPr>
        <w:tc>
          <w:tcPr>
            <w:tcW w:w="2540" w:type="dxa"/>
            <w:vAlign w:val="bottom"/>
          </w:tcPr>
          <w:p>
            <w:pPr>
              <w:jc w:val="center"/>
              <w:spacing w:after="0" w:line="189" w:lineRule="exact"/>
              <w:rPr>
                <w:sz w:val="20"/>
                <w:szCs w:val="20"/>
                <w:color w:val="auto"/>
              </w:rPr>
            </w:pPr>
            <w:r>
              <w:rPr>
                <w:rFonts w:ascii="Arial" w:cs="Arial" w:eastAsia="Arial" w:hAnsi="Arial"/>
                <w:sz w:val="18"/>
                <w:szCs w:val="18"/>
                <w:color w:val="auto"/>
                <w:w w:val="99"/>
              </w:rPr>
              <w:t>EACH</w:t>
            </w:r>
          </w:p>
        </w:tc>
        <w:tc>
          <w:tcPr>
            <w:tcW w:w="1060" w:type="dxa"/>
            <w:vAlign w:val="bottom"/>
          </w:tcPr>
          <w:p>
            <w:pPr>
              <w:jc w:val="center"/>
              <w:ind w:left="190"/>
              <w:spacing w:after="0" w:line="189" w:lineRule="exact"/>
              <w:rPr>
                <w:sz w:val="20"/>
                <w:szCs w:val="20"/>
                <w:color w:val="auto"/>
              </w:rPr>
            </w:pPr>
            <w:r>
              <w:rPr>
                <w:rFonts w:ascii="Arial" w:cs="Arial" w:eastAsia="Arial" w:hAnsi="Arial"/>
                <w:sz w:val="18"/>
                <w:szCs w:val="18"/>
                <w:color w:val="auto"/>
                <w:w w:val="99"/>
              </w:rPr>
              <w:t>9</w:t>
            </w:r>
          </w:p>
        </w:tc>
        <w:tc>
          <w:tcPr>
            <w:tcW w:w="7640" w:type="dxa"/>
            <w:vAlign w:val="bottom"/>
          </w:tcPr>
          <w:p>
            <w:pPr>
              <w:ind w:left="300"/>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2540" w:type="dxa"/>
            <w:vAlign w:val="bottom"/>
          </w:tcPr>
          <w:p>
            <w:pPr>
              <w:jc w:val="center"/>
              <w:spacing w:after="0"/>
              <w:rPr>
                <w:sz w:val="20"/>
                <w:szCs w:val="20"/>
                <w:color w:val="auto"/>
              </w:rPr>
            </w:pPr>
            <w:r>
              <w:rPr>
                <w:rFonts w:ascii="Arial" w:cs="Arial" w:eastAsia="Arial" w:hAnsi="Arial"/>
                <w:sz w:val="18"/>
                <w:szCs w:val="18"/>
                <w:color w:val="auto"/>
                <w:w w:val="91"/>
              </w:rPr>
              <w:t>REPORTING</w:t>
            </w:r>
          </w:p>
        </w:tc>
        <w:tc>
          <w:tcPr>
            <w:tcW w:w="1060" w:type="dxa"/>
            <w:vAlign w:val="bottom"/>
          </w:tcPr>
          <w:p>
            <w:pPr>
              <w:spacing w:after="0"/>
              <w:rPr>
                <w:sz w:val="18"/>
                <w:szCs w:val="18"/>
                <w:color w:val="auto"/>
              </w:rPr>
            </w:pPr>
          </w:p>
        </w:tc>
        <w:tc>
          <w:tcPr>
            <w:tcW w:w="7640" w:type="dxa"/>
            <w:vAlign w:val="bottom"/>
          </w:tcPr>
          <w:p>
            <w:pPr>
              <w:ind w:left="14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35"/>
        </w:trPr>
        <w:tc>
          <w:tcPr>
            <w:tcW w:w="2540" w:type="dxa"/>
            <w:vAlign w:val="bottom"/>
            <w:vMerge w:val="restart"/>
          </w:tcPr>
          <w:p>
            <w:pPr>
              <w:jc w:val="center"/>
              <w:spacing w:after="0"/>
              <w:rPr>
                <w:sz w:val="20"/>
                <w:szCs w:val="20"/>
                <w:color w:val="auto"/>
              </w:rPr>
            </w:pPr>
            <w:r>
              <w:rPr>
                <w:rFonts w:ascii="Arial" w:cs="Arial" w:eastAsia="Arial" w:hAnsi="Arial"/>
                <w:sz w:val="18"/>
                <w:szCs w:val="18"/>
                <w:color w:val="auto"/>
                <w:w w:val="92"/>
              </w:rPr>
              <w:t>PERSON</w:t>
            </w:r>
          </w:p>
        </w:tc>
        <w:tc>
          <w:tcPr>
            <w:tcW w:w="1060" w:type="dxa"/>
            <w:vAlign w:val="bottom"/>
            <w:tcBorders>
              <w:bottom w:val="single" w:sz="8" w:color="auto"/>
            </w:tcBorders>
          </w:tcPr>
          <w:p>
            <w:pPr>
              <w:spacing w:after="0"/>
              <w:rPr>
                <w:sz w:val="3"/>
                <w:szCs w:val="3"/>
                <w:color w:val="auto"/>
              </w:rPr>
            </w:pPr>
          </w:p>
        </w:tc>
        <w:tc>
          <w:tcPr>
            <w:tcW w:w="7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540" w:type="dxa"/>
            <w:vAlign w:val="bottom"/>
            <w:vMerge w:val="continue"/>
          </w:tcPr>
          <w:p>
            <w:pPr>
              <w:spacing w:after="0"/>
              <w:rPr>
                <w:sz w:val="14"/>
                <w:szCs w:val="14"/>
                <w:color w:val="auto"/>
              </w:rPr>
            </w:pPr>
          </w:p>
        </w:tc>
        <w:tc>
          <w:tcPr>
            <w:tcW w:w="1060" w:type="dxa"/>
            <w:vAlign w:val="bottom"/>
          </w:tcPr>
          <w:p>
            <w:pPr>
              <w:jc w:val="center"/>
              <w:ind w:left="190"/>
              <w:spacing w:after="0" w:line="162" w:lineRule="exact"/>
              <w:rPr>
                <w:sz w:val="20"/>
                <w:szCs w:val="20"/>
                <w:color w:val="auto"/>
              </w:rPr>
            </w:pPr>
            <w:r>
              <w:rPr>
                <w:rFonts w:ascii="Arial" w:cs="Arial" w:eastAsia="Arial" w:hAnsi="Arial"/>
                <w:sz w:val="18"/>
                <w:szCs w:val="18"/>
                <w:color w:val="auto"/>
                <w:w w:val="89"/>
              </w:rPr>
              <w:t>10</w:t>
            </w:r>
          </w:p>
        </w:tc>
        <w:tc>
          <w:tcPr>
            <w:tcW w:w="7640" w:type="dxa"/>
            <w:vAlign w:val="bottom"/>
          </w:tcPr>
          <w:p>
            <w:pPr>
              <w:ind w:left="300"/>
              <w:spacing w:after="0" w:line="162" w:lineRule="exact"/>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70"/>
        </w:trPr>
        <w:tc>
          <w:tcPr>
            <w:tcW w:w="2540" w:type="dxa"/>
            <w:vAlign w:val="bottom"/>
          </w:tcPr>
          <w:p>
            <w:pPr>
              <w:jc w:val="center"/>
              <w:spacing w:after="0"/>
              <w:rPr>
                <w:sz w:val="20"/>
                <w:szCs w:val="20"/>
                <w:color w:val="auto"/>
              </w:rPr>
            </w:pPr>
            <w:r>
              <w:rPr>
                <w:rFonts w:ascii="Arial" w:cs="Arial" w:eastAsia="Arial" w:hAnsi="Arial"/>
                <w:sz w:val="18"/>
                <w:szCs w:val="18"/>
                <w:color w:val="auto"/>
                <w:w w:val="99"/>
              </w:rPr>
              <w:t>WITH</w:t>
            </w:r>
          </w:p>
        </w:tc>
        <w:tc>
          <w:tcPr>
            <w:tcW w:w="1060" w:type="dxa"/>
            <w:vAlign w:val="bottom"/>
          </w:tcPr>
          <w:p>
            <w:pPr>
              <w:spacing w:after="0"/>
              <w:rPr>
                <w:sz w:val="23"/>
                <w:szCs w:val="23"/>
                <w:color w:val="auto"/>
              </w:rPr>
            </w:pPr>
          </w:p>
        </w:tc>
        <w:tc>
          <w:tcPr>
            <w:tcW w:w="7640" w:type="dxa"/>
            <w:vAlign w:val="bottom"/>
          </w:tcPr>
          <w:p>
            <w:pPr>
              <w:ind w:left="940"/>
              <w:spacing w:after="0"/>
              <w:rPr>
                <w:sz w:val="20"/>
                <w:szCs w:val="20"/>
                <w:color w:val="auto"/>
              </w:rPr>
            </w:pPr>
            <w:r>
              <w:rPr>
                <w:rFonts w:ascii="Arial" w:cs="Arial" w:eastAsia="Arial" w:hAnsi="Arial"/>
                <w:sz w:val="18"/>
                <w:szCs w:val="18"/>
                <w:b w:val="1"/>
                <w:bCs w:val="1"/>
                <w:color w:val="auto"/>
              </w:rPr>
              <w:t>10,764,004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1200" w:hanging="685"/>
        <w:spacing w:after="0"/>
        <w:tabs>
          <w:tab w:leader="none" w:pos="1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b w:val="1"/>
          <w:bCs w:val="1"/>
          <w:color w:val="auto"/>
        </w:rPr>
        <w:t>10,764,004</w:t>
      </w:r>
    </w:p>
    <w:p>
      <w:pPr>
        <w:spacing w:after="0" w:line="21" w:lineRule="exact"/>
        <w:rPr>
          <w:rFonts w:ascii="Arial" w:cs="Arial" w:eastAsia="Arial" w:hAnsi="Arial"/>
          <w:sz w:val="18"/>
          <w:szCs w:val="18"/>
          <w:color w:val="auto"/>
        </w:rPr>
      </w:pPr>
    </w:p>
    <w:p>
      <w:pPr>
        <w:ind w:left="1200" w:hanging="688"/>
        <w:spacing w:after="0"/>
        <w:tabs>
          <w:tab w:leader="none" w:pos="1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 □</w:t>
      </w:r>
    </w:p>
    <w:p>
      <w:pPr>
        <w:spacing w:after="0" w:line="252" w:lineRule="exact"/>
        <w:rPr>
          <w:rFonts w:ascii="Arial" w:cs="Arial" w:eastAsia="Arial" w:hAnsi="Arial"/>
          <w:sz w:val="18"/>
          <w:szCs w:val="18"/>
          <w:color w:val="auto"/>
        </w:rPr>
      </w:pPr>
    </w:p>
    <w:p>
      <w:pPr>
        <w:ind w:left="1200" w:hanging="688"/>
        <w:spacing w:after="0"/>
        <w:tabs>
          <w:tab w:leader="none" w:pos="1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86.5%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 w:lineRule="exact"/>
        <w:rPr>
          <w:sz w:val="20"/>
          <w:szCs w:val="20"/>
          <w:color w:val="auto"/>
        </w:rPr>
      </w:pPr>
    </w:p>
    <w:p>
      <w:pPr>
        <w:ind w:left="1200" w:hanging="688"/>
        <w:spacing w:after="0"/>
        <w:tabs>
          <w:tab w:leader="none" w:pos="12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color w:val="auto"/>
        </w:rPr>
        <w:t xml:space="preserve">CUSIP No. </w:t>
      </w:r>
      <w:r>
        <w:rPr>
          <w:rFonts w:ascii="Arial" w:cs="Arial" w:eastAsia="Arial" w:hAnsi="Arial"/>
          <w:sz w:val="22"/>
          <w:szCs w:val="22"/>
          <w:b w:val="1"/>
          <w:bCs w:val="1"/>
          <w:color w:val="auto"/>
        </w:rPr>
        <w:t>20563P 10 1</w:t>
      </w:r>
    </w:p>
    <w:p>
      <w:pPr>
        <w:spacing w:after="0" w:line="247" w:lineRule="exact"/>
        <w:rPr>
          <w:sz w:val="20"/>
          <w:szCs w:val="20"/>
          <w:color w:val="auto"/>
        </w:rPr>
      </w:pPr>
    </w:p>
    <w:p>
      <w:pPr>
        <w:ind w:left="1200" w:hanging="643"/>
        <w:spacing w:after="0"/>
        <w:tabs>
          <w:tab w:leader="none" w:pos="12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b w:val="1"/>
          <w:bCs w:val="1"/>
          <w:color w:val="auto"/>
        </w:rPr>
        <w:t>Lisa K. Simmons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 w:lineRule="exact"/>
        <w:rPr>
          <w:sz w:val="20"/>
          <w:szCs w:val="20"/>
          <w:color w:val="auto"/>
        </w:rPr>
      </w:pPr>
    </w:p>
    <w:p>
      <w:pPr>
        <w:ind w:left="1200" w:hanging="643"/>
        <w:spacing w:after="0"/>
        <w:tabs>
          <w:tab w:leader="none" w:pos="12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480" w:hanging="284"/>
        <w:spacing w:after="0"/>
        <w:tabs>
          <w:tab w:leader="none" w:pos="14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500" w:hanging="304"/>
        <w:spacing w:after="0"/>
        <w:tabs>
          <w:tab w:leader="none" w:pos="15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 w:lineRule="exact"/>
        <w:rPr>
          <w:sz w:val="20"/>
          <w:szCs w:val="20"/>
          <w:color w:val="auto"/>
        </w:rPr>
      </w:pPr>
    </w:p>
    <w:p>
      <w:pPr>
        <w:ind w:left="1200" w:hanging="643"/>
        <w:spacing w:after="0"/>
        <w:tabs>
          <w:tab w:leader="none" w:pos="12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1200" w:hanging="643"/>
        <w:spacing w:after="0"/>
        <w:tabs>
          <w:tab w:leader="none" w:pos="12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1200" w:right="4720" w:hanging="643"/>
        <w:spacing w:after="0" w:line="277" w:lineRule="auto"/>
        <w:tabs>
          <w:tab w:leader="none" w:pos="12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7" w:lineRule="exact"/>
        <w:rPr>
          <w:sz w:val="20"/>
          <w:szCs w:val="20"/>
          <w:color w:val="auto"/>
        </w:rPr>
      </w:pPr>
    </w:p>
    <w:p>
      <w:pPr>
        <w:ind w:left="1200" w:hanging="643"/>
        <w:spacing w:after="0"/>
        <w:tabs>
          <w:tab w:leader="none" w:pos="12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b w:val="1"/>
          <w:bCs w:val="1"/>
          <w:color w:val="auto"/>
        </w:rPr>
        <w:t>USA</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NUMBER OF</w:t>
            </w:r>
          </w:p>
        </w:tc>
        <w:tc>
          <w:tcPr>
            <w:tcW w:w="1060" w:type="dxa"/>
            <w:vAlign w:val="bottom"/>
            <w:tcBorders>
              <w:top w:val="single" w:sz="8" w:color="auto"/>
            </w:tcBorders>
          </w:tcPr>
          <w:p>
            <w:pPr>
              <w:jc w:val="center"/>
              <w:ind w:left="190"/>
              <w:spacing w:after="0"/>
              <w:rPr>
                <w:sz w:val="20"/>
                <w:szCs w:val="20"/>
                <w:color w:val="auto"/>
              </w:rPr>
            </w:pPr>
            <w:r>
              <w:rPr>
                <w:rFonts w:ascii="Arial" w:cs="Arial" w:eastAsia="Arial" w:hAnsi="Arial"/>
                <w:sz w:val="18"/>
                <w:szCs w:val="18"/>
                <w:color w:val="auto"/>
                <w:w w:val="99"/>
              </w:rPr>
              <w:t>7</w:t>
            </w:r>
          </w:p>
        </w:tc>
        <w:tc>
          <w:tcPr>
            <w:tcW w:w="764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6"/>
        </w:trPr>
        <w:tc>
          <w:tcPr>
            <w:tcW w:w="254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1060" w:type="dxa"/>
            <w:vAlign w:val="bottom"/>
            <w:tcBorders>
              <w:bottom w:val="single" w:sz="8" w:color="auto"/>
            </w:tcBorders>
          </w:tcPr>
          <w:p>
            <w:pPr>
              <w:spacing w:after="0"/>
              <w:rPr>
                <w:sz w:val="20"/>
                <w:szCs w:val="20"/>
                <w:color w:val="auto"/>
              </w:rPr>
            </w:pPr>
          </w:p>
        </w:tc>
        <w:tc>
          <w:tcPr>
            <w:tcW w:w="7640" w:type="dxa"/>
            <w:vAlign w:val="bottom"/>
            <w:tcBorders>
              <w:bottom w:val="single" w:sz="8" w:color="auto"/>
            </w:tcBorders>
          </w:tcPr>
          <w:p>
            <w:pPr>
              <w:ind w:left="14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98"/>
        </w:trPr>
        <w:tc>
          <w:tcPr>
            <w:tcW w:w="2540" w:type="dxa"/>
            <w:vAlign w:val="bottom"/>
          </w:tcPr>
          <w:p>
            <w:pPr>
              <w:jc w:val="center"/>
              <w:spacing w:after="0" w:line="198" w:lineRule="exact"/>
              <w:rPr>
                <w:sz w:val="20"/>
                <w:szCs w:val="20"/>
                <w:color w:val="auto"/>
              </w:rPr>
            </w:pPr>
            <w:r>
              <w:rPr>
                <w:rFonts w:ascii="Arial" w:cs="Arial" w:eastAsia="Arial" w:hAnsi="Arial"/>
                <w:sz w:val="18"/>
                <w:szCs w:val="18"/>
                <w:color w:val="auto"/>
                <w:w w:val="99"/>
              </w:rPr>
              <w:t>BENEFICIALLY</w:t>
            </w:r>
          </w:p>
        </w:tc>
        <w:tc>
          <w:tcPr>
            <w:tcW w:w="1060" w:type="dxa"/>
            <w:vAlign w:val="bottom"/>
          </w:tcPr>
          <w:p>
            <w:pPr>
              <w:jc w:val="center"/>
              <w:ind w:left="190"/>
              <w:spacing w:after="0" w:line="198" w:lineRule="exact"/>
              <w:rPr>
                <w:sz w:val="20"/>
                <w:szCs w:val="20"/>
                <w:color w:val="auto"/>
              </w:rPr>
            </w:pPr>
            <w:r>
              <w:rPr>
                <w:rFonts w:ascii="Arial" w:cs="Arial" w:eastAsia="Arial" w:hAnsi="Arial"/>
                <w:sz w:val="18"/>
                <w:szCs w:val="18"/>
                <w:color w:val="auto"/>
                <w:w w:val="99"/>
              </w:rPr>
              <w:t>8</w:t>
            </w:r>
          </w:p>
        </w:tc>
        <w:tc>
          <w:tcPr>
            <w:tcW w:w="7640" w:type="dxa"/>
            <w:vAlign w:val="bottom"/>
          </w:tcPr>
          <w:p>
            <w:pPr>
              <w:ind w:left="300"/>
              <w:spacing w:after="0" w:line="198"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41"/>
        </w:trPr>
        <w:tc>
          <w:tcPr>
            <w:tcW w:w="254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1060" w:type="dxa"/>
            <w:vAlign w:val="bottom"/>
            <w:tcBorders>
              <w:bottom w:val="single" w:sz="8" w:color="auto"/>
            </w:tcBorders>
          </w:tcPr>
          <w:p>
            <w:pPr>
              <w:spacing w:after="0"/>
              <w:rPr>
                <w:sz w:val="20"/>
                <w:szCs w:val="20"/>
                <w:color w:val="auto"/>
              </w:rPr>
            </w:pPr>
          </w:p>
        </w:tc>
        <w:tc>
          <w:tcPr>
            <w:tcW w:w="7640" w:type="dxa"/>
            <w:vAlign w:val="bottom"/>
            <w:tcBorders>
              <w:bottom w:val="single" w:sz="8" w:color="auto"/>
            </w:tcBorders>
          </w:tcPr>
          <w:p>
            <w:pPr>
              <w:ind w:left="940"/>
              <w:spacing w:after="0"/>
              <w:rPr>
                <w:sz w:val="20"/>
                <w:szCs w:val="20"/>
                <w:color w:val="auto"/>
              </w:rPr>
            </w:pPr>
            <w:r>
              <w:rPr>
                <w:rFonts w:ascii="Arial" w:cs="Arial" w:eastAsia="Arial" w:hAnsi="Arial"/>
                <w:sz w:val="18"/>
                <w:szCs w:val="18"/>
                <w:b w:val="1"/>
                <w:bCs w:val="1"/>
                <w:color w:val="auto"/>
              </w:rPr>
              <w:t>10,764,004</w:t>
            </w:r>
          </w:p>
        </w:tc>
        <w:tc>
          <w:tcPr>
            <w:tcW w:w="0" w:type="dxa"/>
            <w:vAlign w:val="bottom"/>
          </w:tcPr>
          <w:p>
            <w:pPr>
              <w:spacing w:after="0"/>
              <w:rPr>
                <w:sz w:val="1"/>
                <w:szCs w:val="1"/>
                <w:color w:val="auto"/>
              </w:rPr>
            </w:pPr>
          </w:p>
        </w:tc>
      </w:tr>
      <w:tr>
        <w:trPr>
          <w:trHeight w:val="188"/>
        </w:trPr>
        <w:tc>
          <w:tcPr>
            <w:tcW w:w="2540" w:type="dxa"/>
            <w:vAlign w:val="bottom"/>
          </w:tcPr>
          <w:p>
            <w:pPr>
              <w:jc w:val="center"/>
              <w:spacing w:after="0" w:line="189" w:lineRule="exact"/>
              <w:rPr>
                <w:sz w:val="20"/>
                <w:szCs w:val="20"/>
                <w:color w:val="auto"/>
              </w:rPr>
            </w:pPr>
            <w:r>
              <w:rPr>
                <w:rFonts w:ascii="Arial" w:cs="Arial" w:eastAsia="Arial" w:hAnsi="Arial"/>
                <w:sz w:val="18"/>
                <w:szCs w:val="18"/>
                <w:color w:val="auto"/>
                <w:w w:val="99"/>
              </w:rPr>
              <w:t>EACH</w:t>
            </w:r>
          </w:p>
        </w:tc>
        <w:tc>
          <w:tcPr>
            <w:tcW w:w="1060" w:type="dxa"/>
            <w:vAlign w:val="bottom"/>
          </w:tcPr>
          <w:p>
            <w:pPr>
              <w:jc w:val="center"/>
              <w:ind w:left="190"/>
              <w:spacing w:after="0" w:line="189" w:lineRule="exact"/>
              <w:rPr>
                <w:sz w:val="20"/>
                <w:szCs w:val="20"/>
                <w:color w:val="auto"/>
              </w:rPr>
            </w:pPr>
            <w:r>
              <w:rPr>
                <w:rFonts w:ascii="Arial" w:cs="Arial" w:eastAsia="Arial" w:hAnsi="Arial"/>
                <w:sz w:val="18"/>
                <w:szCs w:val="18"/>
                <w:color w:val="auto"/>
                <w:w w:val="99"/>
              </w:rPr>
              <w:t>9</w:t>
            </w:r>
          </w:p>
        </w:tc>
        <w:tc>
          <w:tcPr>
            <w:tcW w:w="7640" w:type="dxa"/>
            <w:vAlign w:val="bottom"/>
          </w:tcPr>
          <w:p>
            <w:pPr>
              <w:ind w:left="300"/>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2540" w:type="dxa"/>
            <w:vAlign w:val="bottom"/>
          </w:tcPr>
          <w:p>
            <w:pPr>
              <w:jc w:val="center"/>
              <w:spacing w:after="0"/>
              <w:rPr>
                <w:sz w:val="20"/>
                <w:szCs w:val="20"/>
                <w:color w:val="auto"/>
              </w:rPr>
            </w:pPr>
            <w:r>
              <w:rPr>
                <w:rFonts w:ascii="Arial" w:cs="Arial" w:eastAsia="Arial" w:hAnsi="Arial"/>
                <w:sz w:val="18"/>
                <w:szCs w:val="18"/>
                <w:color w:val="auto"/>
                <w:w w:val="91"/>
              </w:rPr>
              <w:t>REPORTING</w:t>
            </w:r>
          </w:p>
        </w:tc>
        <w:tc>
          <w:tcPr>
            <w:tcW w:w="1060" w:type="dxa"/>
            <w:vAlign w:val="bottom"/>
          </w:tcPr>
          <w:p>
            <w:pPr>
              <w:spacing w:after="0"/>
              <w:rPr>
                <w:sz w:val="18"/>
                <w:szCs w:val="18"/>
                <w:color w:val="auto"/>
              </w:rPr>
            </w:pPr>
          </w:p>
        </w:tc>
        <w:tc>
          <w:tcPr>
            <w:tcW w:w="7640" w:type="dxa"/>
            <w:vAlign w:val="bottom"/>
          </w:tcPr>
          <w:p>
            <w:pPr>
              <w:ind w:left="14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35"/>
        </w:trPr>
        <w:tc>
          <w:tcPr>
            <w:tcW w:w="2540" w:type="dxa"/>
            <w:vAlign w:val="bottom"/>
            <w:vMerge w:val="restart"/>
          </w:tcPr>
          <w:p>
            <w:pPr>
              <w:jc w:val="center"/>
              <w:spacing w:after="0"/>
              <w:rPr>
                <w:sz w:val="20"/>
                <w:szCs w:val="20"/>
                <w:color w:val="auto"/>
              </w:rPr>
            </w:pPr>
            <w:r>
              <w:rPr>
                <w:rFonts w:ascii="Arial" w:cs="Arial" w:eastAsia="Arial" w:hAnsi="Arial"/>
                <w:sz w:val="18"/>
                <w:szCs w:val="18"/>
                <w:color w:val="auto"/>
                <w:w w:val="92"/>
              </w:rPr>
              <w:t>PERSON</w:t>
            </w:r>
          </w:p>
        </w:tc>
        <w:tc>
          <w:tcPr>
            <w:tcW w:w="1060" w:type="dxa"/>
            <w:vAlign w:val="bottom"/>
            <w:tcBorders>
              <w:bottom w:val="single" w:sz="8" w:color="auto"/>
            </w:tcBorders>
          </w:tcPr>
          <w:p>
            <w:pPr>
              <w:spacing w:after="0"/>
              <w:rPr>
                <w:sz w:val="3"/>
                <w:szCs w:val="3"/>
                <w:color w:val="auto"/>
              </w:rPr>
            </w:pPr>
          </w:p>
        </w:tc>
        <w:tc>
          <w:tcPr>
            <w:tcW w:w="7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540" w:type="dxa"/>
            <w:vAlign w:val="bottom"/>
            <w:vMerge w:val="continue"/>
          </w:tcPr>
          <w:p>
            <w:pPr>
              <w:spacing w:after="0"/>
              <w:rPr>
                <w:sz w:val="14"/>
                <w:szCs w:val="14"/>
                <w:color w:val="auto"/>
              </w:rPr>
            </w:pPr>
          </w:p>
        </w:tc>
        <w:tc>
          <w:tcPr>
            <w:tcW w:w="1060" w:type="dxa"/>
            <w:vAlign w:val="bottom"/>
          </w:tcPr>
          <w:p>
            <w:pPr>
              <w:jc w:val="center"/>
              <w:ind w:left="190"/>
              <w:spacing w:after="0" w:line="162" w:lineRule="exact"/>
              <w:rPr>
                <w:sz w:val="20"/>
                <w:szCs w:val="20"/>
                <w:color w:val="auto"/>
              </w:rPr>
            </w:pPr>
            <w:r>
              <w:rPr>
                <w:rFonts w:ascii="Arial" w:cs="Arial" w:eastAsia="Arial" w:hAnsi="Arial"/>
                <w:sz w:val="18"/>
                <w:szCs w:val="18"/>
                <w:color w:val="auto"/>
                <w:w w:val="89"/>
              </w:rPr>
              <w:t>10</w:t>
            </w:r>
          </w:p>
        </w:tc>
        <w:tc>
          <w:tcPr>
            <w:tcW w:w="7640" w:type="dxa"/>
            <w:vAlign w:val="bottom"/>
          </w:tcPr>
          <w:p>
            <w:pPr>
              <w:ind w:left="300"/>
              <w:spacing w:after="0" w:line="162" w:lineRule="exact"/>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70"/>
        </w:trPr>
        <w:tc>
          <w:tcPr>
            <w:tcW w:w="2540" w:type="dxa"/>
            <w:vAlign w:val="bottom"/>
          </w:tcPr>
          <w:p>
            <w:pPr>
              <w:jc w:val="center"/>
              <w:spacing w:after="0"/>
              <w:rPr>
                <w:sz w:val="20"/>
                <w:szCs w:val="20"/>
                <w:color w:val="auto"/>
              </w:rPr>
            </w:pPr>
            <w:r>
              <w:rPr>
                <w:rFonts w:ascii="Arial" w:cs="Arial" w:eastAsia="Arial" w:hAnsi="Arial"/>
                <w:sz w:val="18"/>
                <w:szCs w:val="18"/>
                <w:color w:val="auto"/>
                <w:w w:val="99"/>
              </w:rPr>
              <w:t>WITH</w:t>
            </w:r>
          </w:p>
        </w:tc>
        <w:tc>
          <w:tcPr>
            <w:tcW w:w="1060" w:type="dxa"/>
            <w:vAlign w:val="bottom"/>
          </w:tcPr>
          <w:p>
            <w:pPr>
              <w:spacing w:after="0"/>
              <w:rPr>
                <w:sz w:val="23"/>
                <w:szCs w:val="23"/>
                <w:color w:val="auto"/>
              </w:rPr>
            </w:pPr>
          </w:p>
        </w:tc>
        <w:tc>
          <w:tcPr>
            <w:tcW w:w="7640" w:type="dxa"/>
            <w:vAlign w:val="bottom"/>
          </w:tcPr>
          <w:p>
            <w:pPr>
              <w:ind w:left="940"/>
              <w:spacing w:after="0"/>
              <w:rPr>
                <w:sz w:val="20"/>
                <w:szCs w:val="20"/>
                <w:color w:val="auto"/>
              </w:rPr>
            </w:pPr>
            <w:r>
              <w:rPr>
                <w:rFonts w:ascii="Arial" w:cs="Arial" w:eastAsia="Arial" w:hAnsi="Arial"/>
                <w:sz w:val="18"/>
                <w:szCs w:val="18"/>
                <w:b w:val="1"/>
                <w:bCs w:val="1"/>
                <w:color w:val="auto"/>
              </w:rPr>
              <w:t>10,764,004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1200" w:hanging="685"/>
        <w:spacing w:after="0"/>
        <w:tabs>
          <w:tab w:leader="none" w:pos="12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b w:val="1"/>
          <w:bCs w:val="1"/>
          <w:color w:val="auto"/>
        </w:rPr>
        <w:t>-0-</w:t>
      </w:r>
    </w:p>
    <w:p>
      <w:pPr>
        <w:spacing w:after="0" w:line="9" w:lineRule="exact"/>
        <w:rPr>
          <w:rFonts w:ascii="Arial" w:cs="Arial" w:eastAsia="Arial" w:hAnsi="Arial"/>
          <w:sz w:val="18"/>
          <w:szCs w:val="18"/>
          <w:color w:val="auto"/>
        </w:rPr>
      </w:pPr>
    </w:p>
    <w:p>
      <w:pPr>
        <w:ind w:left="1200" w:hanging="688"/>
        <w:spacing w:after="0" w:line="207" w:lineRule="exact"/>
        <w:tabs>
          <w:tab w:leader="none" w:pos="12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64" w:lineRule="exact"/>
        <w:rPr>
          <w:rFonts w:ascii="Arial" w:cs="Arial" w:eastAsia="Arial" w:hAnsi="Arial"/>
          <w:sz w:val="18"/>
          <w:szCs w:val="18"/>
          <w:color w:val="auto"/>
        </w:rPr>
      </w:pPr>
    </w:p>
    <w:p>
      <w:pPr>
        <w:ind w:left="1200" w:hanging="688"/>
        <w:spacing w:after="0"/>
        <w:tabs>
          <w:tab w:leader="none" w:pos="12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 w:lineRule="exact"/>
        <w:rPr>
          <w:sz w:val="20"/>
          <w:szCs w:val="20"/>
          <w:color w:val="auto"/>
        </w:rPr>
      </w:pPr>
    </w:p>
    <w:p>
      <w:pPr>
        <w:ind w:left="1200" w:hanging="688"/>
        <w:spacing w:after="0"/>
        <w:tabs>
          <w:tab w:leader="none" w:pos="12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 w:name="page8"/>
    <w:bookmarkEnd w:id="7"/>
    <w:p>
      <w:pPr>
        <w:spacing w:after="0"/>
        <w:rPr>
          <w:sz w:val="20"/>
          <w:szCs w:val="20"/>
          <w:color w:val="auto"/>
        </w:rPr>
      </w:pPr>
      <w:r>
        <w:rPr>
          <w:rFonts w:ascii="Arial" w:cs="Arial" w:eastAsia="Arial" w:hAnsi="Arial"/>
          <w:sz w:val="22"/>
          <w:szCs w:val="22"/>
          <w:color w:val="auto"/>
        </w:rPr>
        <w:t xml:space="preserve">CUSIP No. </w:t>
      </w:r>
      <w:r>
        <w:rPr>
          <w:rFonts w:ascii="Arial" w:cs="Arial" w:eastAsia="Arial" w:hAnsi="Arial"/>
          <w:sz w:val="22"/>
          <w:szCs w:val="22"/>
          <w:b w:val="1"/>
          <w:bCs w:val="1"/>
          <w:color w:val="auto"/>
        </w:rPr>
        <w:t>20563P 10 1</w:t>
      </w:r>
    </w:p>
    <w:p>
      <w:pPr>
        <w:spacing w:after="0" w:line="246" w:lineRule="exact"/>
        <w:rPr>
          <w:sz w:val="20"/>
          <w:szCs w:val="20"/>
          <w:color w:val="auto"/>
        </w:rPr>
      </w:pPr>
    </w:p>
    <w:p>
      <w:pPr>
        <w:ind w:left="1200" w:hanging="643"/>
        <w:spacing w:after="0"/>
        <w:tabs>
          <w:tab w:leader="none" w:pos="12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Harold C. Simmons Family Trust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 w:lineRule="exact"/>
        <w:rPr>
          <w:sz w:val="20"/>
          <w:szCs w:val="20"/>
          <w:color w:val="auto"/>
        </w:rPr>
      </w:pPr>
    </w:p>
    <w:p>
      <w:pPr>
        <w:ind w:left="1200" w:hanging="643"/>
        <w:spacing w:after="0"/>
        <w:tabs>
          <w:tab w:leader="none" w:pos="12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480" w:hanging="284"/>
        <w:spacing w:after="0"/>
        <w:tabs>
          <w:tab w:leader="none" w:pos="14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500" w:hanging="304"/>
        <w:spacing w:after="0"/>
        <w:tabs>
          <w:tab w:leader="none" w:pos="15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 w:lineRule="exact"/>
        <w:rPr>
          <w:sz w:val="20"/>
          <w:szCs w:val="20"/>
          <w:color w:val="auto"/>
        </w:rPr>
      </w:pPr>
    </w:p>
    <w:p>
      <w:pPr>
        <w:ind w:left="1200" w:hanging="643"/>
        <w:spacing w:after="0"/>
        <w:tabs>
          <w:tab w:leader="none" w:pos="12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1200" w:hanging="643"/>
        <w:spacing w:after="0"/>
        <w:tabs>
          <w:tab w:leader="none" w:pos="12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1200" w:right="4720" w:hanging="643"/>
        <w:spacing w:after="0" w:line="277" w:lineRule="auto"/>
        <w:tabs>
          <w:tab w:leader="none" w:pos="12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7" w:lineRule="exact"/>
        <w:rPr>
          <w:sz w:val="20"/>
          <w:szCs w:val="20"/>
          <w:color w:val="auto"/>
        </w:rPr>
      </w:pPr>
    </w:p>
    <w:p>
      <w:pPr>
        <w:ind w:left="1200" w:hanging="643"/>
        <w:spacing w:after="0"/>
        <w:tabs>
          <w:tab w:leader="none" w:pos="12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b w:val="1"/>
          <w:bCs w:val="1"/>
          <w:color w:val="auto"/>
        </w:rPr>
        <w:t>Texas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NUMBER OF</w:t>
            </w:r>
          </w:p>
        </w:tc>
        <w:tc>
          <w:tcPr>
            <w:tcW w:w="1060" w:type="dxa"/>
            <w:vAlign w:val="bottom"/>
            <w:tcBorders>
              <w:top w:val="single" w:sz="8" w:color="auto"/>
            </w:tcBorders>
          </w:tcPr>
          <w:p>
            <w:pPr>
              <w:jc w:val="center"/>
              <w:ind w:left="190"/>
              <w:spacing w:after="0"/>
              <w:rPr>
                <w:sz w:val="20"/>
                <w:szCs w:val="20"/>
                <w:color w:val="auto"/>
              </w:rPr>
            </w:pPr>
            <w:r>
              <w:rPr>
                <w:rFonts w:ascii="Arial" w:cs="Arial" w:eastAsia="Arial" w:hAnsi="Arial"/>
                <w:sz w:val="18"/>
                <w:szCs w:val="18"/>
                <w:color w:val="auto"/>
                <w:w w:val="99"/>
              </w:rPr>
              <w:t>7</w:t>
            </w:r>
          </w:p>
        </w:tc>
        <w:tc>
          <w:tcPr>
            <w:tcW w:w="764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7"/>
        </w:trPr>
        <w:tc>
          <w:tcPr>
            <w:tcW w:w="254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1060" w:type="dxa"/>
            <w:vAlign w:val="bottom"/>
            <w:tcBorders>
              <w:bottom w:val="single" w:sz="8" w:color="auto"/>
            </w:tcBorders>
          </w:tcPr>
          <w:p>
            <w:pPr>
              <w:spacing w:after="0"/>
              <w:rPr>
                <w:sz w:val="20"/>
                <w:szCs w:val="20"/>
                <w:color w:val="auto"/>
              </w:rPr>
            </w:pPr>
          </w:p>
        </w:tc>
        <w:tc>
          <w:tcPr>
            <w:tcW w:w="7640" w:type="dxa"/>
            <w:vAlign w:val="bottom"/>
            <w:tcBorders>
              <w:bottom w:val="single" w:sz="8" w:color="auto"/>
            </w:tcBorders>
          </w:tcPr>
          <w:p>
            <w:pPr>
              <w:ind w:left="14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98"/>
        </w:trPr>
        <w:tc>
          <w:tcPr>
            <w:tcW w:w="2540" w:type="dxa"/>
            <w:vAlign w:val="bottom"/>
          </w:tcPr>
          <w:p>
            <w:pPr>
              <w:jc w:val="center"/>
              <w:spacing w:after="0" w:line="198" w:lineRule="exact"/>
              <w:rPr>
                <w:sz w:val="20"/>
                <w:szCs w:val="20"/>
                <w:color w:val="auto"/>
              </w:rPr>
            </w:pPr>
            <w:r>
              <w:rPr>
                <w:rFonts w:ascii="Arial" w:cs="Arial" w:eastAsia="Arial" w:hAnsi="Arial"/>
                <w:sz w:val="18"/>
                <w:szCs w:val="18"/>
                <w:color w:val="auto"/>
                <w:w w:val="99"/>
              </w:rPr>
              <w:t>BENEFICIALLY</w:t>
            </w:r>
          </w:p>
        </w:tc>
        <w:tc>
          <w:tcPr>
            <w:tcW w:w="1060" w:type="dxa"/>
            <w:vAlign w:val="bottom"/>
          </w:tcPr>
          <w:p>
            <w:pPr>
              <w:jc w:val="center"/>
              <w:ind w:left="190"/>
              <w:spacing w:after="0" w:line="198" w:lineRule="exact"/>
              <w:rPr>
                <w:sz w:val="20"/>
                <w:szCs w:val="20"/>
                <w:color w:val="auto"/>
              </w:rPr>
            </w:pPr>
            <w:r>
              <w:rPr>
                <w:rFonts w:ascii="Arial" w:cs="Arial" w:eastAsia="Arial" w:hAnsi="Arial"/>
                <w:sz w:val="18"/>
                <w:szCs w:val="18"/>
                <w:color w:val="auto"/>
                <w:w w:val="99"/>
              </w:rPr>
              <w:t>8</w:t>
            </w:r>
          </w:p>
        </w:tc>
        <w:tc>
          <w:tcPr>
            <w:tcW w:w="7640" w:type="dxa"/>
            <w:vAlign w:val="bottom"/>
          </w:tcPr>
          <w:p>
            <w:pPr>
              <w:ind w:left="300"/>
              <w:spacing w:after="0" w:line="198"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41"/>
        </w:trPr>
        <w:tc>
          <w:tcPr>
            <w:tcW w:w="254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1060" w:type="dxa"/>
            <w:vAlign w:val="bottom"/>
            <w:tcBorders>
              <w:bottom w:val="single" w:sz="8" w:color="auto"/>
            </w:tcBorders>
          </w:tcPr>
          <w:p>
            <w:pPr>
              <w:spacing w:after="0"/>
              <w:rPr>
                <w:sz w:val="20"/>
                <w:szCs w:val="20"/>
                <w:color w:val="auto"/>
              </w:rPr>
            </w:pPr>
          </w:p>
        </w:tc>
        <w:tc>
          <w:tcPr>
            <w:tcW w:w="7640" w:type="dxa"/>
            <w:vAlign w:val="bottom"/>
            <w:tcBorders>
              <w:bottom w:val="single" w:sz="8" w:color="auto"/>
            </w:tcBorders>
          </w:tcPr>
          <w:p>
            <w:pPr>
              <w:ind w:left="940"/>
              <w:spacing w:after="0"/>
              <w:rPr>
                <w:sz w:val="20"/>
                <w:szCs w:val="20"/>
                <w:color w:val="auto"/>
              </w:rPr>
            </w:pPr>
            <w:r>
              <w:rPr>
                <w:rFonts w:ascii="Arial" w:cs="Arial" w:eastAsia="Arial" w:hAnsi="Arial"/>
                <w:sz w:val="18"/>
                <w:szCs w:val="18"/>
                <w:b w:val="1"/>
                <w:bCs w:val="1"/>
                <w:color w:val="auto"/>
              </w:rPr>
              <w:t>10,764,004</w:t>
            </w:r>
          </w:p>
        </w:tc>
        <w:tc>
          <w:tcPr>
            <w:tcW w:w="0" w:type="dxa"/>
            <w:vAlign w:val="bottom"/>
          </w:tcPr>
          <w:p>
            <w:pPr>
              <w:spacing w:after="0"/>
              <w:rPr>
                <w:sz w:val="1"/>
                <w:szCs w:val="1"/>
                <w:color w:val="auto"/>
              </w:rPr>
            </w:pPr>
          </w:p>
        </w:tc>
      </w:tr>
      <w:tr>
        <w:trPr>
          <w:trHeight w:val="188"/>
        </w:trPr>
        <w:tc>
          <w:tcPr>
            <w:tcW w:w="2540" w:type="dxa"/>
            <w:vAlign w:val="bottom"/>
          </w:tcPr>
          <w:p>
            <w:pPr>
              <w:jc w:val="center"/>
              <w:spacing w:after="0" w:line="189" w:lineRule="exact"/>
              <w:rPr>
                <w:sz w:val="20"/>
                <w:szCs w:val="20"/>
                <w:color w:val="auto"/>
              </w:rPr>
            </w:pPr>
            <w:r>
              <w:rPr>
                <w:rFonts w:ascii="Arial" w:cs="Arial" w:eastAsia="Arial" w:hAnsi="Arial"/>
                <w:sz w:val="18"/>
                <w:szCs w:val="18"/>
                <w:color w:val="auto"/>
                <w:w w:val="99"/>
              </w:rPr>
              <w:t>EACH</w:t>
            </w:r>
          </w:p>
        </w:tc>
        <w:tc>
          <w:tcPr>
            <w:tcW w:w="1060" w:type="dxa"/>
            <w:vAlign w:val="bottom"/>
          </w:tcPr>
          <w:p>
            <w:pPr>
              <w:jc w:val="center"/>
              <w:ind w:left="190"/>
              <w:spacing w:after="0" w:line="189" w:lineRule="exact"/>
              <w:rPr>
                <w:sz w:val="20"/>
                <w:szCs w:val="20"/>
                <w:color w:val="auto"/>
              </w:rPr>
            </w:pPr>
            <w:r>
              <w:rPr>
                <w:rFonts w:ascii="Arial" w:cs="Arial" w:eastAsia="Arial" w:hAnsi="Arial"/>
                <w:sz w:val="18"/>
                <w:szCs w:val="18"/>
                <w:color w:val="auto"/>
                <w:w w:val="99"/>
              </w:rPr>
              <w:t>9</w:t>
            </w:r>
          </w:p>
        </w:tc>
        <w:tc>
          <w:tcPr>
            <w:tcW w:w="7640" w:type="dxa"/>
            <w:vAlign w:val="bottom"/>
          </w:tcPr>
          <w:p>
            <w:pPr>
              <w:ind w:left="300"/>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2540" w:type="dxa"/>
            <w:vAlign w:val="bottom"/>
          </w:tcPr>
          <w:p>
            <w:pPr>
              <w:jc w:val="center"/>
              <w:spacing w:after="0"/>
              <w:rPr>
                <w:sz w:val="20"/>
                <w:szCs w:val="20"/>
                <w:color w:val="auto"/>
              </w:rPr>
            </w:pPr>
            <w:r>
              <w:rPr>
                <w:rFonts w:ascii="Arial" w:cs="Arial" w:eastAsia="Arial" w:hAnsi="Arial"/>
                <w:sz w:val="18"/>
                <w:szCs w:val="18"/>
                <w:color w:val="auto"/>
                <w:w w:val="91"/>
              </w:rPr>
              <w:t>REPORTING</w:t>
            </w:r>
          </w:p>
        </w:tc>
        <w:tc>
          <w:tcPr>
            <w:tcW w:w="1060" w:type="dxa"/>
            <w:vAlign w:val="bottom"/>
          </w:tcPr>
          <w:p>
            <w:pPr>
              <w:spacing w:after="0"/>
              <w:rPr>
                <w:sz w:val="18"/>
                <w:szCs w:val="18"/>
                <w:color w:val="auto"/>
              </w:rPr>
            </w:pPr>
          </w:p>
        </w:tc>
        <w:tc>
          <w:tcPr>
            <w:tcW w:w="7640" w:type="dxa"/>
            <w:vAlign w:val="bottom"/>
          </w:tcPr>
          <w:p>
            <w:pPr>
              <w:ind w:left="14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35"/>
        </w:trPr>
        <w:tc>
          <w:tcPr>
            <w:tcW w:w="2540" w:type="dxa"/>
            <w:vAlign w:val="bottom"/>
            <w:vMerge w:val="restart"/>
          </w:tcPr>
          <w:p>
            <w:pPr>
              <w:jc w:val="center"/>
              <w:spacing w:after="0"/>
              <w:rPr>
                <w:sz w:val="20"/>
                <w:szCs w:val="20"/>
                <w:color w:val="auto"/>
              </w:rPr>
            </w:pPr>
            <w:r>
              <w:rPr>
                <w:rFonts w:ascii="Arial" w:cs="Arial" w:eastAsia="Arial" w:hAnsi="Arial"/>
                <w:sz w:val="18"/>
                <w:szCs w:val="18"/>
                <w:color w:val="auto"/>
                <w:w w:val="92"/>
              </w:rPr>
              <w:t>PERSON</w:t>
            </w:r>
          </w:p>
        </w:tc>
        <w:tc>
          <w:tcPr>
            <w:tcW w:w="1060" w:type="dxa"/>
            <w:vAlign w:val="bottom"/>
            <w:tcBorders>
              <w:bottom w:val="single" w:sz="8" w:color="auto"/>
            </w:tcBorders>
          </w:tcPr>
          <w:p>
            <w:pPr>
              <w:spacing w:after="0"/>
              <w:rPr>
                <w:sz w:val="3"/>
                <w:szCs w:val="3"/>
                <w:color w:val="auto"/>
              </w:rPr>
            </w:pPr>
          </w:p>
        </w:tc>
        <w:tc>
          <w:tcPr>
            <w:tcW w:w="7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540" w:type="dxa"/>
            <w:vAlign w:val="bottom"/>
            <w:vMerge w:val="continue"/>
          </w:tcPr>
          <w:p>
            <w:pPr>
              <w:spacing w:after="0"/>
              <w:rPr>
                <w:sz w:val="14"/>
                <w:szCs w:val="14"/>
                <w:color w:val="auto"/>
              </w:rPr>
            </w:pPr>
          </w:p>
        </w:tc>
        <w:tc>
          <w:tcPr>
            <w:tcW w:w="1060" w:type="dxa"/>
            <w:vAlign w:val="bottom"/>
          </w:tcPr>
          <w:p>
            <w:pPr>
              <w:jc w:val="center"/>
              <w:ind w:left="190"/>
              <w:spacing w:after="0" w:line="162" w:lineRule="exact"/>
              <w:rPr>
                <w:sz w:val="20"/>
                <w:szCs w:val="20"/>
                <w:color w:val="auto"/>
              </w:rPr>
            </w:pPr>
            <w:r>
              <w:rPr>
                <w:rFonts w:ascii="Arial" w:cs="Arial" w:eastAsia="Arial" w:hAnsi="Arial"/>
                <w:sz w:val="18"/>
                <w:szCs w:val="18"/>
                <w:color w:val="auto"/>
                <w:w w:val="89"/>
              </w:rPr>
              <w:t>10</w:t>
            </w:r>
          </w:p>
        </w:tc>
        <w:tc>
          <w:tcPr>
            <w:tcW w:w="7640" w:type="dxa"/>
            <w:vAlign w:val="bottom"/>
          </w:tcPr>
          <w:p>
            <w:pPr>
              <w:ind w:left="300"/>
              <w:spacing w:after="0" w:line="162" w:lineRule="exact"/>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70"/>
        </w:trPr>
        <w:tc>
          <w:tcPr>
            <w:tcW w:w="2540" w:type="dxa"/>
            <w:vAlign w:val="bottom"/>
          </w:tcPr>
          <w:p>
            <w:pPr>
              <w:jc w:val="center"/>
              <w:spacing w:after="0"/>
              <w:rPr>
                <w:sz w:val="20"/>
                <w:szCs w:val="20"/>
                <w:color w:val="auto"/>
              </w:rPr>
            </w:pPr>
            <w:r>
              <w:rPr>
                <w:rFonts w:ascii="Arial" w:cs="Arial" w:eastAsia="Arial" w:hAnsi="Arial"/>
                <w:sz w:val="18"/>
                <w:szCs w:val="18"/>
                <w:color w:val="auto"/>
                <w:w w:val="99"/>
              </w:rPr>
              <w:t>WITH</w:t>
            </w:r>
          </w:p>
        </w:tc>
        <w:tc>
          <w:tcPr>
            <w:tcW w:w="1060" w:type="dxa"/>
            <w:vAlign w:val="bottom"/>
          </w:tcPr>
          <w:p>
            <w:pPr>
              <w:spacing w:after="0"/>
              <w:rPr>
                <w:sz w:val="23"/>
                <w:szCs w:val="23"/>
                <w:color w:val="auto"/>
              </w:rPr>
            </w:pPr>
          </w:p>
        </w:tc>
        <w:tc>
          <w:tcPr>
            <w:tcW w:w="7640" w:type="dxa"/>
            <w:vAlign w:val="bottom"/>
          </w:tcPr>
          <w:p>
            <w:pPr>
              <w:ind w:left="940"/>
              <w:spacing w:after="0"/>
              <w:rPr>
                <w:sz w:val="20"/>
                <w:szCs w:val="20"/>
                <w:color w:val="auto"/>
              </w:rPr>
            </w:pPr>
            <w:r>
              <w:rPr>
                <w:rFonts w:ascii="Arial" w:cs="Arial" w:eastAsia="Arial" w:hAnsi="Arial"/>
                <w:sz w:val="18"/>
                <w:szCs w:val="18"/>
                <w:b w:val="1"/>
                <w:bCs w:val="1"/>
                <w:color w:val="auto"/>
              </w:rPr>
              <w:t>10,764,004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1200" w:hanging="685"/>
        <w:spacing w:after="0"/>
        <w:tabs>
          <w:tab w:leader="none" w:pos="12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b w:val="1"/>
          <w:bCs w:val="1"/>
          <w:color w:val="auto"/>
        </w:rPr>
        <w:t>-0-</w:t>
      </w:r>
    </w:p>
    <w:p>
      <w:pPr>
        <w:spacing w:after="0" w:line="9" w:lineRule="exact"/>
        <w:rPr>
          <w:rFonts w:ascii="Arial" w:cs="Arial" w:eastAsia="Arial" w:hAnsi="Arial"/>
          <w:sz w:val="18"/>
          <w:szCs w:val="18"/>
          <w:color w:val="auto"/>
        </w:rPr>
      </w:pPr>
    </w:p>
    <w:p>
      <w:pPr>
        <w:ind w:left="1200" w:hanging="688"/>
        <w:spacing w:after="0" w:line="207" w:lineRule="exact"/>
        <w:tabs>
          <w:tab w:leader="none" w:pos="12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64" w:lineRule="exact"/>
        <w:rPr>
          <w:rFonts w:ascii="Arial" w:cs="Arial" w:eastAsia="Arial" w:hAnsi="Arial"/>
          <w:sz w:val="18"/>
          <w:szCs w:val="18"/>
          <w:color w:val="auto"/>
        </w:rPr>
      </w:pPr>
    </w:p>
    <w:p>
      <w:pPr>
        <w:ind w:left="1200" w:hanging="688"/>
        <w:spacing w:after="0"/>
        <w:tabs>
          <w:tab w:leader="none" w:pos="12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 w:lineRule="exact"/>
        <w:rPr>
          <w:sz w:val="20"/>
          <w:szCs w:val="20"/>
          <w:color w:val="auto"/>
        </w:rPr>
      </w:pPr>
    </w:p>
    <w:p>
      <w:pPr>
        <w:ind w:left="1200" w:hanging="688"/>
        <w:spacing w:after="0"/>
        <w:tabs>
          <w:tab w:leader="none" w:pos="12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b w:val="1"/>
          <w:bCs w:val="1"/>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22"/>
          <w:szCs w:val="22"/>
          <w:color w:val="auto"/>
        </w:rPr>
        <w:t>AMENDMENT NO. 31</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TO SCHEDULE 13D</w:t>
      </w:r>
    </w:p>
    <w:p>
      <w:pPr>
        <w:spacing w:after="0" w:line="21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 xml:space="preserve">This Amendment No. 31 to this Statement on Schedule 13D (this “ </w:t>
      </w:r>
      <w:r>
        <w:rPr>
          <w:rFonts w:ascii="Arial" w:cs="Arial" w:eastAsia="Arial" w:hAnsi="Arial"/>
          <w:sz w:val="21"/>
          <w:szCs w:val="21"/>
          <w:i w:val="1"/>
          <w:iCs w:val="1"/>
          <w:color w:val="auto"/>
        </w:rPr>
        <w:t>Statement</w:t>
      </w:r>
      <w:r>
        <w:rPr>
          <w:rFonts w:ascii="Arial" w:cs="Arial" w:eastAsia="Arial" w:hAnsi="Arial"/>
          <w:sz w:val="21"/>
          <w:szCs w:val="21"/>
          <w:color w:val="auto"/>
        </w:rPr>
        <w:t xml:space="preserve"> ”) relates to the class A common stock, par value $0.01 per share (the “ </w:t>
      </w:r>
      <w:r>
        <w:rPr>
          <w:rFonts w:ascii="Arial" w:cs="Arial" w:eastAsia="Arial" w:hAnsi="Arial"/>
          <w:sz w:val="21"/>
          <w:szCs w:val="21"/>
          <w:i w:val="1"/>
          <w:iCs w:val="1"/>
          <w:color w:val="auto"/>
        </w:rPr>
        <w:t>Class A Shares</w:t>
      </w:r>
      <w:r>
        <w:rPr>
          <w:rFonts w:ascii="Arial" w:cs="Arial" w:eastAsia="Arial" w:hAnsi="Arial"/>
          <w:sz w:val="21"/>
          <w:szCs w:val="21"/>
          <w:color w:val="auto"/>
        </w:rPr>
        <w:t xml:space="preserve"> ”), of CompX International Inc., a Delaware corporation (“ </w:t>
      </w:r>
      <w:r>
        <w:rPr>
          <w:rFonts w:ascii="Arial" w:cs="Arial" w:eastAsia="Arial" w:hAnsi="Arial"/>
          <w:sz w:val="21"/>
          <w:szCs w:val="21"/>
          <w:i w:val="1"/>
          <w:iCs w:val="1"/>
          <w:color w:val="auto"/>
        </w:rPr>
        <w:t>CompX</w:t>
      </w:r>
      <w:r>
        <w:rPr>
          <w:rFonts w:ascii="Arial" w:cs="Arial" w:eastAsia="Arial" w:hAnsi="Arial"/>
          <w:sz w:val="21"/>
          <w:szCs w:val="21"/>
          <w:color w:val="auto"/>
        </w:rPr>
        <w:t xml:space="preserve"> ”). Items 2, 4, 5, 6 and 7 of this Statement are hereby amended as set forth below. The Reporting Persons (as defined below) are filing this amendment as a result of the death of Serena Simmons Connelly on April 22, 2020.</w:t>
      </w:r>
    </w:p>
    <w:p>
      <w:pPr>
        <w:spacing w:after="0" w:line="195"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b w:val="1"/>
          <w:bCs w:val="1"/>
          <w:color w:val="auto"/>
        </w:rPr>
        <w:t>Item 2.</w:t>
      </w:r>
      <w:r>
        <w:rPr>
          <w:sz w:val="20"/>
          <w:szCs w:val="20"/>
          <w:color w:val="auto"/>
        </w:rPr>
        <w:tab/>
      </w:r>
      <w:r>
        <w:rPr>
          <w:rFonts w:ascii="Arial" w:cs="Arial" w:eastAsia="Arial" w:hAnsi="Arial"/>
          <w:sz w:val="19"/>
          <w:szCs w:val="19"/>
          <w:b w:val="1"/>
          <w:bCs w:val="1"/>
          <w:color w:val="auto"/>
        </w:rPr>
        <w:t>Identity and Background.</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Item 2 is amended and supplemented as follows.</w:t>
      </w:r>
    </w:p>
    <w:p>
      <w:pPr>
        <w:spacing w:after="0" w:line="233" w:lineRule="exact"/>
        <w:rPr>
          <w:sz w:val="20"/>
          <w:szCs w:val="20"/>
          <w:color w:val="auto"/>
        </w:rPr>
      </w:pPr>
    </w:p>
    <w:p>
      <w:pPr>
        <w:ind w:left="1660" w:hanging="1004"/>
        <w:spacing w:after="0"/>
        <w:tabs>
          <w:tab w:leader="none" w:pos="1660" w:val="left"/>
        </w:tabs>
        <w:numPr>
          <w:ilvl w:val="0"/>
          <w:numId w:val="57"/>
        </w:numPr>
        <w:rPr>
          <w:rFonts w:ascii="Arial" w:cs="Arial" w:eastAsia="Arial" w:hAnsi="Arial"/>
          <w:sz w:val="22"/>
          <w:szCs w:val="22"/>
          <w:b w:val="1"/>
          <w:bCs w:val="1"/>
          <w:color w:val="auto"/>
        </w:rPr>
      </w:pPr>
      <w:r>
        <w:rPr>
          <w:rFonts w:ascii="Arial" w:cs="Arial" w:eastAsia="Arial" w:hAnsi="Arial"/>
          <w:sz w:val="22"/>
          <w:szCs w:val="22"/>
          <w:color w:val="auto"/>
        </w:rPr>
        <w:t xml:space="preserve">The following entities or persons are filing this Statement (collectively, the “ </w:t>
      </w:r>
      <w:r>
        <w:rPr>
          <w:rFonts w:ascii="Arial" w:cs="Arial" w:eastAsia="Arial" w:hAnsi="Arial"/>
          <w:sz w:val="22"/>
          <w:szCs w:val="22"/>
          <w:i w:val="1"/>
          <w:iCs w:val="1"/>
          <w:color w:val="auto"/>
        </w:rPr>
        <w:t>Reporting Persons</w:t>
      </w:r>
      <w:r>
        <w:rPr>
          <w:rFonts w:ascii="Arial" w:cs="Arial" w:eastAsia="Arial" w:hAnsi="Arial"/>
          <w:sz w:val="22"/>
          <w:szCs w:val="22"/>
          <w:color w:val="auto"/>
        </w:rPr>
        <w:t xml:space="preserve"> ”):</w:t>
      </w:r>
    </w:p>
    <w:p>
      <w:pPr>
        <w:spacing w:after="0" w:line="233" w:lineRule="exact"/>
        <w:rPr>
          <w:rFonts w:ascii="Arial" w:cs="Arial" w:eastAsia="Arial" w:hAnsi="Arial"/>
          <w:sz w:val="22"/>
          <w:szCs w:val="22"/>
          <w:b w:val="1"/>
          <w:bCs w:val="1"/>
          <w:color w:val="auto"/>
        </w:rPr>
      </w:pPr>
    </w:p>
    <w:p>
      <w:pPr>
        <w:ind w:left="660"/>
        <w:spacing w:after="0"/>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19"/>
          <w:szCs w:val="19"/>
          <w:color w:val="auto"/>
        </w:rPr>
        <w:t xml:space="preserve">NL Industries, Inc. (“ </w:t>
      </w:r>
      <w:r>
        <w:rPr>
          <w:rFonts w:ascii="Arial" w:cs="Arial" w:eastAsia="Arial" w:hAnsi="Arial"/>
          <w:sz w:val="19"/>
          <w:szCs w:val="19"/>
          <w:i w:val="1"/>
          <w:iCs w:val="1"/>
          <w:color w:val="auto"/>
        </w:rPr>
        <w:t>NL</w:t>
      </w:r>
      <w:r>
        <w:rPr>
          <w:rFonts w:ascii="Arial" w:cs="Arial" w:eastAsia="Arial" w:hAnsi="Arial"/>
          <w:sz w:val="19"/>
          <w:szCs w:val="19"/>
          <w:color w:val="auto"/>
        </w:rPr>
        <w:t xml:space="preserve"> ”) as a direct holder of Class A Shares;</w:t>
      </w:r>
    </w:p>
    <w:p>
      <w:pPr>
        <w:spacing w:after="0" w:line="233" w:lineRule="exact"/>
        <w:rPr>
          <w:sz w:val="20"/>
          <w:szCs w:val="20"/>
          <w:color w:val="auto"/>
        </w:rPr>
      </w:pPr>
    </w:p>
    <w:p>
      <w:pPr>
        <w:ind w:left="1300" w:hanging="644"/>
        <w:spacing w:after="0" w:line="274" w:lineRule="auto"/>
        <w:tabs>
          <w:tab w:leader="none" w:pos="1300" w:val="left"/>
        </w:tabs>
        <w:numPr>
          <w:ilvl w:val="0"/>
          <w:numId w:val="58"/>
        </w:numPr>
        <w:rPr>
          <w:rFonts w:ascii="Arial" w:cs="Arial" w:eastAsia="Arial" w:hAnsi="Arial"/>
          <w:sz w:val="21"/>
          <w:szCs w:val="21"/>
          <w:color w:val="auto"/>
        </w:rPr>
      </w:pPr>
      <w:r>
        <w:rPr>
          <w:rFonts w:ascii="Arial" w:cs="Arial" w:eastAsia="Arial" w:hAnsi="Arial"/>
          <w:sz w:val="21"/>
          <w:szCs w:val="21"/>
          <w:color w:val="auto"/>
        </w:rPr>
        <w:t xml:space="preserve">Kronos Worldwide, Inc. (“ </w:t>
      </w:r>
      <w:r>
        <w:rPr>
          <w:rFonts w:ascii="Arial" w:cs="Arial" w:eastAsia="Arial" w:hAnsi="Arial"/>
          <w:sz w:val="21"/>
          <w:szCs w:val="21"/>
          <w:i w:val="1"/>
          <w:iCs w:val="1"/>
          <w:color w:val="auto"/>
        </w:rPr>
        <w:t>Kronos Worldwide</w:t>
      </w:r>
      <w:r>
        <w:rPr>
          <w:rFonts w:ascii="Arial" w:cs="Arial" w:eastAsia="Arial" w:hAnsi="Arial"/>
          <w:sz w:val="21"/>
          <w:szCs w:val="21"/>
          <w:color w:val="auto"/>
        </w:rPr>
        <w:t xml:space="preserve"> ”), Valhi, Inc. (“ </w:t>
      </w:r>
      <w:r>
        <w:rPr>
          <w:rFonts w:ascii="Arial" w:cs="Arial" w:eastAsia="Arial" w:hAnsi="Arial"/>
          <w:sz w:val="21"/>
          <w:szCs w:val="21"/>
          <w:i w:val="1"/>
          <w:iCs w:val="1"/>
          <w:color w:val="auto"/>
        </w:rPr>
        <w:t>Valhi</w:t>
      </w:r>
      <w:r>
        <w:rPr>
          <w:rFonts w:ascii="Arial" w:cs="Arial" w:eastAsia="Arial" w:hAnsi="Arial"/>
          <w:sz w:val="21"/>
          <w:szCs w:val="21"/>
          <w:color w:val="auto"/>
        </w:rPr>
        <w:t xml:space="preserve"> ”), Dixie Rice Agricultural L.L.C. (“ </w:t>
      </w:r>
      <w:r>
        <w:rPr>
          <w:rFonts w:ascii="Arial" w:cs="Arial" w:eastAsia="Arial" w:hAnsi="Arial"/>
          <w:sz w:val="21"/>
          <w:szCs w:val="21"/>
          <w:i w:val="1"/>
          <w:iCs w:val="1"/>
          <w:color w:val="auto"/>
        </w:rPr>
        <w:t>Dixie</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Rice </w:t>
      </w:r>
      <w:r>
        <w:rPr>
          <w:rFonts w:ascii="Arial" w:cs="Arial" w:eastAsia="Arial" w:hAnsi="Arial"/>
          <w:sz w:val="21"/>
          <w:szCs w:val="21"/>
          <w:color w:val="auto"/>
        </w:rPr>
        <w:t>”) and Contran Corporation (“</w:t>
      </w:r>
      <w:r>
        <w:rPr>
          <w:rFonts w:ascii="Arial" w:cs="Arial" w:eastAsia="Arial" w:hAnsi="Arial"/>
          <w:sz w:val="21"/>
          <w:szCs w:val="21"/>
          <w:i w:val="1"/>
          <w:iCs w:val="1"/>
          <w:color w:val="auto"/>
        </w:rPr>
        <w:t xml:space="preserve"> Contran </w:t>
      </w:r>
      <w:r>
        <w:rPr>
          <w:rFonts w:ascii="Arial" w:cs="Arial" w:eastAsia="Arial" w:hAnsi="Arial"/>
          <w:sz w:val="21"/>
          <w:szCs w:val="21"/>
          <w:color w:val="auto"/>
        </w:rPr>
        <w:t>”) by virtue of their direct or indirect ownership of NL;</w:t>
      </w:r>
    </w:p>
    <w:p>
      <w:pPr>
        <w:spacing w:after="0" w:line="177" w:lineRule="exact"/>
        <w:rPr>
          <w:rFonts w:ascii="Arial" w:cs="Arial" w:eastAsia="Arial" w:hAnsi="Arial"/>
          <w:sz w:val="21"/>
          <w:szCs w:val="21"/>
          <w:color w:val="auto"/>
        </w:rPr>
      </w:pPr>
    </w:p>
    <w:p>
      <w:pPr>
        <w:jc w:val="both"/>
        <w:ind w:left="1300" w:hanging="644"/>
        <w:spacing w:after="0"/>
        <w:tabs>
          <w:tab w:leader="none" w:pos="1300" w:val="left"/>
        </w:tabs>
        <w:numPr>
          <w:ilvl w:val="0"/>
          <w:numId w:val="58"/>
        </w:numPr>
        <w:rPr>
          <w:rFonts w:ascii="Arial" w:cs="Arial" w:eastAsia="Arial" w:hAnsi="Arial"/>
          <w:sz w:val="22"/>
          <w:szCs w:val="22"/>
          <w:color w:val="auto"/>
        </w:rPr>
      </w:pPr>
      <w:r>
        <w:rPr>
          <w:rFonts w:ascii="Arial" w:cs="Arial" w:eastAsia="Arial" w:hAnsi="Arial"/>
          <w:sz w:val="22"/>
          <w:szCs w:val="22"/>
          <w:color w:val="auto"/>
        </w:rPr>
        <w:t xml:space="preserve">Lisa K. Simmons by virtue of her ownership of outstanding voting stock of Contran, her position as chair of the Contran board of directors (the “ </w:t>
      </w:r>
      <w:r>
        <w:rPr>
          <w:rFonts w:ascii="Arial" w:cs="Arial" w:eastAsia="Arial" w:hAnsi="Arial"/>
          <w:sz w:val="22"/>
          <w:szCs w:val="22"/>
          <w:i w:val="1"/>
          <w:iCs w:val="1"/>
          <w:color w:val="auto"/>
        </w:rPr>
        <w:t>Contran Board</w:t>
      </w:r>
      <w:r>
        <w:rPr>
          <w:rFonts w:ascii="Arial" w:cs="Arial" w:eastAsia="Arial" w:hAnsi="Arial"/>
          <w:sz w:val="22"/>
          <w:szCs w:val="22"/>
          <w:color w:val="auto"/>
        </w:rPr>
        <w:t xml:space="preserve"> ”) and as a party to the Contran Stockholders Agreement (as defined and described below); and</w:t>
      </w:r>
    </w:p>
    <w:p>
      <w:pPr>
        <w:spacing w:after="0" w:line="213" w:lineRule="exact"/>
        <w:rPr>
          <w:rFonts w:ascii="Arial" w:cs="Arial" w:eastAsia="Arial" w:hAnsi="Arial"/>
          <w:sz w:val="22"/>
          <w:szCs w:val="22"/>
          <w:color w:val="auto"/>
        </w:rPr>
      </w:pPr>
    </w:p>
    <w:p>
      <w:pPr>
        <w:ind w:left="1300" w:right="20" w:hanging="644"/>
        <w:spacing w:after="0" w:line="250" w:lineRule="auto"/>
        <w:tabs>
          <w:tab w:leader="none" w:pos="1300" w:val="left"/>
        </w:tabs>
        <w:numPr>
          <w:ilvl w:val="0"/>
          <w:numId w:val="58"/>
        </w:numPr>
        <w:rPr>
          <w:rFonts w:ascii="Arial" w:cs="Arial" w:eastAsia="Arial" w:hAnsi="Arial"/>
          <w:sz w:val="22"/>
          <w:szCs w:val="22"/>
          <w:color w:val="auto"/>
        </w:rPr>
      </w:pPr>
      <w:r>
        <w:rPr>
          <w:rFonts w:ascii="Arial" w:cs="Arial" w:eastAsia="Arial" w:hAnsi="Arial"/>
          <w:sz w:val="22"/>
          <w:szCs w:val="22"/>
          <w:color w:val="auto"/>
        </w:rPr>
        <w:t xml:space="preserve">the Harold C. Simmons Family Trust No. 2 (the “ </w:t>
      </w:r>
      <w:r>
        <w:rPr>
          <w:rFonts w:ascii="Arial" w:cs="Arial" w:eastAsia="Arial" w:hAnsi="Arial"/>
          <w:sz w:val="22"/>
          <w:szCs w:val="22"/>
          <w:i w:val="1"/>
          <w:iCs w:val="1"/>
          <w:color w:val="auto"/>
        </w:rPr>
        <w:t>Family Trust</w:t>
      </w:r>
      <w:r>
        <w:rPr>
          <w:rFonts w:ascii="Arial" w:cs="Arial" w:eastAsia="Arial" w:hAnsi="Arial"/>
          <w:sz w:val="22"/>
          <w:szCs w:val="22"/>
          <w:color w:val="auto"/>
        </w:rPr>
        <w:t xml:space="preserve"> ”), by virtue of its ownership of outstanding voting stock of Contran.</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By signing this Statement, each Reporting Person agrees that this Statement is filed on its or her behalf.</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is a description of the relationships among the Reporting Persons.</w:t>
      </w:r>
    </w:p>
    <w:p>
      <w:pPr>
        <w:spacing w:after="0" w:line="23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Prior to April 22, 2020, a majority of Contran’s outstanding voting stock was held directly by Ms. Simmons and Serena Simmons Connelly and various family trusts established for the benefit of Ms. Simmons and Ms. Connelly and their children and for which Ms. Simmons or Ms. Connelly, as applicable, serves as trustee (collectively, the “ </w:t>
      </w:r>
      <w:r>
        <w:rPr>
          <w:rFonts w:ascii="Arial" w:cs="Arial" w:eastAsia="Arial" w:hAnsi="Arial"/>
          <w:sz w:val="22"/>
          <w:szCs w:val="22"/>
          <w:i w:val="1"/>
          <w:iCs w:val="1"/>
          <w:color w:val="auto"/>
        </w:rPr>
        <w:t>Other Trusts</w:t>
      </w:r>
      <w:r>
        <w:rPr>
          <w:rFonts w:ascii="Arial" w:cs="Arial" w:eastAsia="Arial" w:hAnsi="Arial"/>
          <w:sz w:val="22"/>
          <w:szCs w:val="22"/>
          <w:color w:val="auto"/>
        </w:rPr>
        <w:t xml:space="preserve"> ”). The remainder of Contran’s outstanding voting stock was held by the Family Trust, for which Tolleson Private Bank serves as trustee (the “ </w:t>
      </w:r>
      <w:r>
        <w:rPr>
          <w:rFonts w:ascii="Arial" w:cs="Arial" w:eastAsia="Arial" w:hAnsi="Arial"/>
          <w:sz w:val="22"/>
          <w:szCs w:val="22"/>
          <w:i w:val="1"/>
          <w:iCs w:val="1"/>
          <w:color w:val="auto"/>
        </w:rPr>
        <w:t>Trustee</w:t>
      </w:r>
      <w:r>
        <w:rPr>
          <w:rFonts w:ascii="Arial" w:cs="Arial" w:eastAsia="Arial" w:hAnsi="Arial"/>
          <w:sz w:val="22"/>
          <w:szCs w:val="22"/>
          <w:color w:val="auto"/>
        </w:rPr>
        <w:t xml:space="preserve"> ”).</w:t>
      </w:r>
    </w:p>
    <w:p>
      <w:pPr>
        <w:spacing w:after="0" w:line="21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 xml:space="preserve">Following the death of Ms. Connelly on April 22, 2020, Ms. Simmons and the Family Trust continue to directly hold their shares of Contran voting stock. Under the terms of the Contran Corporation Amended and Restated Stockholders Agreement dated September 9, 2019 (the “ </w:t>
      </w:r>
      <w:r>
        <w:rPr>
          <w:rFonts w:ascii="Arial" w:cs="Arial" w:eastAsia="Arial" w:hAnsi="Arial"/>
          <w:sz w:val="19"/>
          <w:szCs w:val="19"/>
          <w:i w:val="1"/>
          <w:iCs w:val="1"/>
          <w:color w:val="auto"/>
        </w:rPr>
        <w:t>Contran Stockholders Agreement</w:t>
      </w:r>
      <w:r>
        <w:rPr>
          <w:rFonts w:ascii="Arial" w:cs="Arial" w:eastAsia="Arial" w:hAnsi="Arial"/>
          <w:sz w:val="19"/>
          <w:szCs w:val="19"/>
          <w:color w:val="auto"/>
        </w:rPr>
        <w:t xml:space="preserve"> ”), and with respect to the shares of Contran voting stock held directly by Ms. Connelly at the time of her death (the “ </w:t>
      </w:r>
      <w:r>
        <w:rPr>
          <w:rFonts w:ascii="Arial" w:cs="Arial" w:eastAsia="Arial" w:hAnsi="Arial"/>
          <w:sz w:val="19"/>
          <w:szCs w:val="19"/>
          <w:i w:val="1"/>
          <w:iCs w:val="1"/>
          <w:color w:val="auto"/>
        </w:rPr>
        <w:t>Connelly Direct Shares</w:t>
      </w:r>
      <w:r>
        <w:rPr>
          <w:rFonts w:ascii="Arial" w:cs="Arial" w:eastAsia="Arial" w:hAnsi="Arial"/>
          <w:sz w:val="19"/>
          <w:szCs w:val="19"/>
          <w:color w:val="auto"/>
        </w:rPr>
        <w:t xml:space="preserve"> ”), the independent executor of the estate of Ms. Connelly (prior to the completion of the probate of such estate) and the legatee of the Connelly Direct Shares (following completion of the probate of such estate) is required to vote the Connelly Direct Shares in the same manner as Ms. Simmons. Also under the terms of the Contran Stockholders Agreement, and with respect to the shares of Contran voting stock held by the Other Trusts for which Ms. Connelly previously served as trustee and for which her successor trustee is someone other than Ms. Simmons (the “ </w:t>
      </w:r>
      <w:r>
        <w:rPr>
          <w:rFonts w:ascii="Arial" w:cs="Arial" w:eastAsia="Arial" w:hAnsi="Arial"/>
          <w:sz w:val="19"/>
          <w:szCs w:val="19"/>
          <w:i w:val="1"/>
          <w:iCs w:val="1"/>
          <w:color w:val="auto"/>
        </w:rPr>
        <w:t>Connelly Indirect Shares</w:t>
      </w:r>
      <w:r>
        <w:rPr>
          <w:rFonts w:ascii="Arial" w:cs="Arial" w:eastAsia="Arial" w:hAnsi="Arial"/>
          <w:sz w:val="19"/>
          <w:szCs w:val="19"/>
          <w:color w:val="auto"/>
        </w:rPr>
        <w:t xml:space="preserve"> ”), such successor trustee is also required to vote the Connelly Indirect Shares in the same manner as Ms. Simmons. Such voting rights of Ms. Simmons with respect to the Connelly Direct Shares and the Connelly Indirect Shares last through April 22, 2030 and are personal to Ms. Simmons. Such independent executor, legatee and successor trustee, as applicable, has the power to direct the disposition of the Connelly Direct Shares and the Connelly Indirect Shares, as applicable, subject to certain right-of-first-refusal limitations and restrictions as set forth in the Contran Stockholders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9" w:name="page10"/>
    <w:bookmarkEnd w:id="9"/>
    <w:p>
      <w:pPr>
        <w:jc w:val="both"/>
        <w:ind w:firstLine="648"/>
        <w:spacing w:after="0" w:line="245" w:lineRule="auto"/>
        <w:rPr>
          <w:sz w:val="20"/>
          <w:szCs w:val="20"/>
          <w:color w:val="auto"/>
        </w:rPr>
      </w:pPr>
      <w:r>
        <w:rPr>
          <w:rFonts w:ascii="Arial" w:cs="Arial" w:eastAsia="Arial" w:hAnsi="Arial"/>
          <w:sz w:val="21"/>
          <w:szCs w:val="21"/>
          <w:color w:val="auto"/>
        </w:rPr>
        <w:t>Ms. Simmons serves as chair of the Contran Board, and one other member of Contran management also serves on the Contran Board. The Trustee of the Family Trust has the power to vote the shares of Contran stock held by the Family Trust and to direct the disposition of such shares subject to certain right-of-first-refusal limitations and restrictions as set forth in the Contran Stockholders Agreement. Ms. Simmons has the power to vote the shares of Contran stock she holds directly or indirectly (for the shares of Contran stock held by the Other Trusts for which she serves as trustee), and by virtue of the Contran Stockholders Agreement has the power to vote the Connelly Direct Shares and the Connelly Indirect Shares. Ms. Simmons has the power to direct the disposition of the shares of Contran stock she holds directly or indirectly (for the shares of Contran stock held by the Other Trusts for which she serves as trustee) subject to certain right-of-first-refusal limitations and restrictions as set forth in the Contran Stockholders Agreement.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21"/>
          <w:szCs w:val="21"/>
          <w:color w:val="auto"/>
        </w:rPr>
        <w:t>Contran is the holder of the sole membership interest of Dixie Rice and may be deemed to control Dixie Rice.</w:t>
      </w:r>
    </w:p>
    <w:p>
      <w:pPr>
        <w:spacing w:after="0" w:line="24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Ms. Simmons and the Family Trust directly hold, or are related to the following persons or entities that directly hold, the following percentages of the 12,443,057 Class A Shares outstanding as of the close of business on April 27, 2020 based on information from CompX (the “ </w:t>
      </w:r>
      <w:r>
        <w:rPr>
          <w:rFonts w:ascii="Arial" w:cs="Arial" w:eastAsia="Arial" w:hAnsi="Arial"/>
          <w:sz w:val="22"/>
          <w:szCs w:val="22"/>
          <w:i w:val="1"/>
          <w:iCs w:val="1"/>
          <w:color w:val="auto"/>
        </w:rPr>
        <w:t>Outstanding Class A Shares</w:t>
      </w:r>
      <w:r>
        <w:rPr>
          <w:rFonts w:ascii="Arial" w:cs="Arial" w:eastAsia="Arial" w:hAnsi="Arial"/>
          <w:sz w:val="22"/>
          <w:szCs w:val="22"/>
          <w:color w:val="auto"/>
        </w:rPr>
        <w:t xml:space="preserve"> ”):</w:t>
      </w:r>
    </w:p>
    <w:p>
      <w:pPr>
        <w:sectPr>
          <w:pgSz w:w="11900" w:h="16838" w:orient="portrait"/>
          <w:cols w:equalWidth="0" w:num="1">
            <w:col w:w="11240"/>
          </w:cols>
          <w:pgMar w:left="320" w:top="361" w:right="339" w:bottom="1440" w:gutter="0" w:footer="0" w:header="0"/>
        </w:sectPr>
      </w:pP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NL</w:t>
      </w:r>
    </w:p>
    <w:p>
      <w:pPr>
        <w:spacing w:after="0" w:line="238" w:lineRule="auto"/>
        <w:rPr>
          <w:sz w:val="20"/>
          <w:szCs w:val="20"/>
          <w:color w:val="auto"/>
        </w:rPr>
      </w:pPr>
      <w:r>
        <w:rPr>
          <w:rFonts w:ascii="Arial" w:cs="Arial" w:eastAsia="Arial" w:hAnsi="Arial"/>
          <w:sz w:val="22"/>
          <w:szCs w:val="22"/>
          <w:color w:val="auto"/>
        </w:rPr>
        <w:t>Contran</w:t>
      </w:r>
    </w:p>
    <w:p>
      <w:pPr>
        <w:spacing w:after="0"/>
        <w:rPr>
          <w:sz w:val="20"/>
          <w:szCs w:val="20"/>
          <w:color w:val="auto"/>
        </w:rPr>
      </w:pPr>
      <w:r>
        <w:rPr>
          <w:rFonts w:ascii="Arial" w:cs="Arial" w:eastAsia="Arial" w:hAnsi="Arial"/>
          <w:sz w:val="19"/>
          <w:szCs w:val="19"/>
          <w:color w:val="auto"/>
        </w:rPr>
        <w:t>Kronos Worldwide</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color w:val="auto"/>
        </w:rPr>
        <w:t>86.4%</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Less than 1%</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Less than 1%</w:t>
      </w:r>
    </w:p>
    <w:p>
      <w:pPr>
        <w:spacing w:after="0" w:line="200" w:lineRule="exact"/>
        <w:rPr>
          <w:sz w:val="20"/>
          <w:szCs w:val="20"/>
          <w:color w:val="auto"/>
        </w:rPr>
      </w:pPr>
    </w:p>
    <w:p>
      <w:pPr>
        <w:sectPr>
          <w:pgSz w:w="11900" w:h="16838" w:orient="portrait"/>
          <w:cols w:equalWidth="0" w:num="2">
            <w:col w:w="8380" w:space="720"/>
            <w:col w:w="2140"/>
          </w:cols>
          <w:pgMar w:left="320" w:top="361" w:right="339" w:bottom="1440" w:gutter="0" w:footer="0" w:header="0"/>
          <w:type w:val="continuous"/>
        </w:sectPr>
      </w:pPr>
    </w:p>
    <w:p>
      <w:pPr>
        <w:spacing w:after="0" w:line="23"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Ms. Simmons and the Family Trust directly hold, or are related to the following persons or entities that directly hold, the following percentages of the outstanding shares of NL common stock:</w:t>
      </w:r>
    </w:p>
    <w:p>
      <w:pPr>
        <w:sectPr>
          <w:pgSz w:w="11900" w:h="16838" w:orient="portrait"/>
          <w:cols w:equalWidth="0" w:num="1">
            <w:col w:w="11240"/>
          </w:cols>
          <w:pgMar w:left="320" w:top="361" w:right="339" w:bottom="1440" w:gutter="0" w:footer="0" w:header="0"/>
          <w:type w:val="continuous"/>
        </w:sectPr>
      </w:pP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Valhi</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Kronos Worldwide</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color w:val="auto"/>
        </w:rPr>
        <w:t>82.8%</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Less than 1%</w:t>
      </w:r>
    </w:p>
    <w:p>
      <w:pPr>
        <w:spacing w:after="0" w:line="200" w:lineRule="exact"/>
        <w:rPr>
          <w:sz w:val="20"/>
          <w:szCs w:val="20"/>
          <w:color w:val="auto"/>
        </w:rPr>
      </w:pPr>
    </w:p>
    <w:p>
      <w:pPr>
        <w:sectPr>
          <w:pgSz w:w="11900" w:h="16838" w:orient="portrait"/>
          <w:cols w:equalWidth="0" w:num="2">
            <w:col w:w="8460" w:space="720"/>
            <w:col w:w="2060"/>
          </w:cols>
          <w:pgMar w:left="320" w:top="361" w:right="339" w:bottom="1440" w:gutter="0" w:footer="0" w:header="0"/>
          <w:type w:val="continuous"/>
        </w:sectPr>
      </w:pP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Together, Valhi and Kronos Worldwide may be deemed to control NL.</w:t>
      </w:r>
    </w:p>
    <w:p>
      <w:pPr>
        <w:sectPr>
          <w:pgSz w:w="11900" w:h="16838" w:orient="portrait"/>
          <w:cols w:equalWidth="0" w:num="1">
            <w:col w:w="11240"/>
          </w:cols>
          <w:pgMar w:left="320" w:top="361" w:right="339" w:bottom="1440" w:gutter="0" w:footer="0" w:header="0"/>
          <w:type w:val="continuous"/>
        </w:sectPr>
      </w:pPr>
    </w:p>
    <w:p>
      <w:pPr>
        <w:spacing w:after="0" w:line="268"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Ms. Simmons and the Family Trust directly hold, or are related to the following persons or entities that directly hold, the following percentages of the outstanding shares of Kronos Worldwide common stock:</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080" w:type="dxa"/>
            <w:vAlign w:val="bottom"/>
          </w:tcPr>
          <w:p>
            <w:pPr>
              <w:spacing w:after="0"/>
              <w:rPr>
                <w:sz w:val="20"/>
                <w:szCs w:val="20"/>
                <w:color w:val="auto"/>
              </w:rPr>
            </w:pPr>
            <w:r>
              <w:rPr>
                <w:rFonts w:ascii="Arial" w:cs="Arial" w:eastAsia="Arial" w:hAnsi="Arial"/>
                <w:sz w:val="22"/>
                <w:szCs w:val="22"/>
                <w:color w:val="auto"/>
              </w:rPr>
              <w:t>Valhi</w:t>
            </w:r>
          </w:p>
        </w:tc>
        <w:tc>
          <w:tcPr>
            <w:tcW w:w="4260" w:type="dxa"/>
            <w:vAlign w:val="bottom"/>
          </w:tcPr>
          <w:p>
            <w:pPr>
              <w:ind w:left="3100"/>
              <w:spacing w:after="0"/>
              <w:rPr>
                <w:sz w:val="20"/>
                <w:szCs w:val="20"/>
                <w:color w:val="auto"/>
              </w:rPr>
            </w:pPr>
            <w:r>
              <w:rPr>
                <w:rFonts w:ascii="Arial" w:cs="Arial" w:eastAsia="Arial" w:hAnsi="Arial"/>
                <w:sz w:val="22"/>
                <w:szCs w:val="22"/>
                <w:color w:val="auto"/>
              </w:rPr>
              <w:t>50.2%</w:t>
            </w:r>
          </w:p>
        </w:tc>
      </w:tr>
      <w:tr>
        <w:trPr>
          <w:trHeight w:val="257"/>
        </w:trPr>
        <w:tc>
          <w:tcPr>
            <w:tcW w:w="6080" w:type="dxa"/>
            <w:vAlign w:val="bottom"/>
          </w:tcPr>
          <w:p>
            <w:pPr>
              <w:spacing w:after="0"/>
              <w:rPr>
                <w:sz w:val="20"/>
                <w:szCs w:val="20"/>
                <w:color w:val="auto"/>
              </w:rPr>
            </w:pPr>
            <w:r>
              <w:rPr>
                <w:rFonts w:ascii="Arial" w:cs="Arial" w:eastAsia="Arial" w:hAnsi="Arial"/>
                <w:sz w:val="22"/>
                <w:szCs w:val="22"/>
                <w:color w:val="auto"/>
              </w:rPr>
              <w:t xml:space="preserve">NLKW Holding LLC (“ </w:t>
            </w:r>
            <w:r>
              <w:rPr>
                <w:rFonts w:ascii="Arial" w:cs="Arial" w:eastAsia="Arial" w:hAnsi="Arial"/>
                <w:sz w:val="22"/>
                <w:szCs w:val="22"/>
                <w:i w:val="1"/>
                <w:iCs w:val="1"/>
                <w:color w:val="auto"/>
              </w:rPr>
              <w:t>NLKW</w:t>
            </w:r>
            <w:r>
              <w:rPr>
                <w:rFonts w:ascii="Arial" w:cs="Arial" w:eastAsia="Arial" w:hAnsi="Arial"/>
                <w:sz w:val="22"/>
                <w:szCs w:val="22"/>
                <w:color w:val="auto"/>
              </w:rPr>
              <w:t xml:space="preserve"> ”)</w:t>
            </w:r>
          </w:p>
        </w:tc>
        <w:tc>
          <w:tcPr>
            <w:tcW w:w="4260" w:type="dxa"/>
            <w:vAlign w:val="bottom"/>
          </w:tcPr>
          <w:p>
            <w:pPr>
              <w:ind w:left="3100"/>
              <w:spacing w:after="0"/>
              <w:rPr>
                <w:sz w:val="20"/>
                <w:szCs w:val="20"/>
                <w:color w:val="auto"/>
              </w:rPr>
            </w:pPr>
            <w:r>
              <w:rPr>
                <w:rFonts w:ascii="Arial" w:cs="Arial" w:eastAsia="Arial" w:hAnsi="Arial"/>
                <w:sz w:val="22"/>
                <w:szCs w:val="22"/>
                <w:color w:val="auto"/>
              </w:rPr>
              <w:t>30.5%</w:t>
            </w:r>
          </w:p>
        </w:tc>
      </w:tr>
      <w:tr>
        <w:trPr>
          <w:trHeight w:val="274"/>
        </w:trPr>
        <w:tc>
          <w:tcPr>
            <w:tcW w:w="6080" w:type="dxa"/>
            <w:vAlign w:val="bottom"/>
          </w:tcPr>
          <w:p>
            <w:pPr>
              <w:spacing w:after="0"/>
              <w:rPr>
                <w:sz w:val="20"/>
                <w:szCs w:val="20"/>
                <w:color w:val="auto"/>
              </w:rPr>
            </w:pPr>
            <w:r>
              <w:rPr>
                <w:rFonts w:ascii="Arial" w:cs="Arial" w:eastAsia="Arial" w:hAnsi="Arial"/>
                <w:sz w:val="22"/>
                <w:szCs w:val="22"/>
                <w:color w:val="auto"/>
              </w:rPr>
              <w:t>Contran</w:t>
            </w:r>
          </w:p>
        </w:tc>
        <w:tc>
          <w:tcPr>
            <w:tcW w:w="4260" w:type="dxa"/>
            <w:vAlign w:val="bottom"/>
          </w:tcPr>
          <w:p>
            <w:pPr>
              <w:ind w:left="3100"/>
              <w:spacing w:after="0"/>
              <w:rPr>
                <w:sz w:val="20"/>
                <w:szCs w:val="20"/>
                <w:color w:val="auto"/>
              </w:rPr>
            </w:pPr>
            <w:r>
              <w:rPr>
                <w:rFonts w:ascii="Arial" w:cs="Arial" w:eastAsia="Arial" w:hAnsi="Arial"/>
                <w:sz w:val="22"/>
                <w:szCs w:val="22"/>
                <w:color w:val="auto"/>
                <w:w w:val="85"/>
              </w:rPr>
              <w:t>Less than 1%</w:t>
            </w:r>
          </w:p>
        </w:tc>
      </w:tr>
    </w:tbl>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Together, Valhi, NL (and its wholly owned subsidiary NLKW) and Contran may be deemed to control Kronos Worldwide.</w:t>
      </w:r>
    </w:p>
    <w:p>
      <w:pPr>
        <w:spacing w:after="0" w:line="245"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Ms. Simmons and the Family Trust directly hold, or related to the following persons or entities that directly hold, the following percentages of the outstanding shares of Valhi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274"/>
        </w:trPr>
        <w:tc>
          <w:tcPr>
            <w:tcW w:w="5020" w:type="dxa"/>
            <w:vAlign w:val="bottom"/>
          </w:tcPr>
          <w:p>
            <w:pPr>
              <w:spacing w:after="0"/>
              <w:rPr>
                <w:sz w:val="20"/>
                <w:szCs w:val="20"/>
                <w:color w:val="auto"/>
              </w:rPr>
            </w:pPr>
            <w:r>
              <w:rPr>
                <w:rFonts w:ascii="Arial" w:cs="Arial" w:eastAsia="Arial" w:hAnsi="Arial"/>
                <w:sz w:val="22"/>
                <w:szCs w:val="22"/>
                <w:color w:val="auto"/>
              </w:rPr>
              <w:t>Dixie Rice</w:t>
            </w:r>
          </w:p>
        </w:tc>
        <w:tc>
          <w:tcPr>
            <w:tcW w:w="4620" w:type="dxa"/>
            <w:vAlign w:val="bottom"/>
          </w:tcPr>
          <w:p>
            <w:pPr>
              <w:jc w:val="right"/>
              <w:spacing w:after="0"/>
              <w:rPr>
                <w:sz w:val="20"/>
                <w:szCs w:val="20"/>
                <w:color w:val="auto"/>
              </w:rPr>
            </w:pPr>
            <w:r>
              <w:rPr>
                <w:rFonts w:ascii="Arial" w:cs="Arial" w:eastAsia="Arial" w:hAnsi="Arial"/>
                <w:sz w:val="22"/>
                <w:szCs w:val="22"/>
                <w:color w:val="auto"/>
              </w:rPr>
              <w:t>91.5%</w:t>
            </w:r>
          </w:p>
        </w:tc>
      </w:tr>
    </w:tbl>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Dixie Rice may be deemed to control Valhi.</w:t>
      </w:r>
    </w:p>
    <w:p>
      <w:pPr>
        <w:spacing w:after="0" w:line="233" w:lineRule="exact"/>
        <w:rPr>
          <w:sz w:val="20"/>
          <w:szCs w:val="20"/>
          <w:color w:val="auto"/>
        </w:rPr>
      </w:pPr>
    </w:p>
    <w:p>
      <w:pPr>
        <w:jc w:val="both"/>
        <w:ind w:firstLine="830"/>
        <w:spacing w:after="0" w:line="234" w:lineRule="auto"/>
        <w:rPr>
          <w:sz w:val="20"/>
          <w:szCs w:val="20"/>
          <w:color w:val="auto"/>
        </w:rPr>
      </w:pPr>
      <w:r>
        <w:rPr>
          <w:rFonts w:ascii="Arial" w:cs="Arial" w:eastAsia="Arial" w:hAnsi="Arial"/>
          <w:sz w:val="22"/>
          <w:szCs w:val="22"/>
          <w:color w:val="auto"/>
        </w:rPr>
        <w:t>NL (including a wholly-owned subsidiary of NL) and Kronos Worldwide own 14,372,970 shares and 1,724,916 shares, respectively, of Valhi common stock. As already stated, Valhi is the direct holder of approximately 82.8% of the outstanding shares of common stock of NL and 50.2% of the outstanding shares of Kronos Worldwide common stock. As a result of Valhi’s direct and indirect ownership of NL and Kronos Worldwide and pursuant to Delaware law and Section 13(d)(4) of the Exchange Act, Valhi treats the shares of Valhi common stock that NL and Kronos Worldwide own as treasury stock for voting purposes. For the purposes of this statement, such shares of Valhi common stock that NL and Kronos Worldwide hold are not deemed outstanding.</w:t>
      </w:r>
    </w:p>
    <w:p>
      <w:pPr>
        <w:spacing w:after="0" w:line="21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 xml:space="preserve">By virtue of the stock ownership of each of Kronos Worldwide, NL, Valhi, Dixie Rice and Contran, Ms. Simmons being a beneficiary of the Family Trust, the direct holdings of Contran voting stock by Ms. Simmons, the voting rights conferred to Ms. Simmons by the Contran Stockholders Agreement with respect to the Connelly Direct Shares and the Connelly Indirect Shares, the position of chair of the Contran Board by Ms. Simmons, and the Family Trust’s ownership of Contran voting stock, in each case as described above, </w:t>
      </w:r>
      <w:r>
        <w:rPr>
          <w:rFonts w:ascii="Arial" w:cs="Arial" w:eastAsia="Arial" w:hAnsi="Arial"/>
          <w:sz w:val="19"/>
          <w:szCs w:val="19"/>
          <w:b w:val="1"/>
          <w:bCs w:val="1"/>
          <w:color w:val="auto"/>
        </w:rPr>
        <w:t>(a)</w:t>
      </w:r>
      <w:r>
        <w:rPr>
          <w:rFonts w:ascii="Arial" w:cs="Arial" w:eastAsia="Arial" w:hAnsi="Arial"/>
          <w:sz w:val="19"/>
          <w:szCs w:val="19"/>
          <w:color w:val="auto"/>
        </w:rPr>
        <w:t xml:space="preserve"> Ms. Simmons and the Family Trust (and the Trustee, in its capacity as trustee of the Family Trust) may be deemed to control Contran, Dixie Rice, Valhi, NL, Kronos Worldwide and CompX and </w:t>
      </w:r>
      <w:r>
        <w:rPr>
          <w:rFonts w:ascii="Arial" w:cs="Arial" w:eastAsia="Arial" w:hAnsi="Arial"/>
          <w:sz w:val="19"/>
          <w:szCs w:val="19"/>
          <w:b w:val="1"/>
          <w:bCs w:val="1"/>
          <w:color w:val="auto"/>
        </w:rPr>
        <w:t>(b)</w:t>
      </w:r>
      <w:r>
        <w:rPr>
          <w:rFonts w:ascii="Arial" w:cs="Arial" w:eastAsia="Arial" w:hAnsi="Arial"/>
          <w:sz w:val="19"/>
          <w:szCs w:val="19"/>
          <w:color w:val="auto"/>
        </w:rPr>
        <w:t xml:space="preserve"> Ms. Simmons, the Family Trust (and the Trustee, in its capacity as trustee of the Family Trust), Contran, Dixie Rice, Valhi, NL and Kronos Worldwide may be deemed to possess indirect beneficial ownership of, and a pecuniary interest in, shares of common stock directly held by such entities, including any Class A Shares. However, Ms. Simmons and the Family Trust (and the Trustee) each disclaims beneficial ownership of, and such pecuniary interest in, such shares beneficially owned, directly or indirectly, by any of such entities, except to the extent of their direct beneficial ownership, if any, in shares of such entities.</w:t>
      </w:r>
    </w:p>
    <w:p>
      <w:pPr>
        <w:spacing w:after="0" w:line="18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Certain information concerning the directors and executive officers of Kronos Worldwide, NL, Valhi, Dixie Rice and Contran is set forth on </w:t>
      </w:r>
      <w:r>
        <w:rPr>
          <w:rFonts w:ascii="Arial" w:cs="Arial" w:eastAsia="Arial" w:hAnsi="Arial"/>
          <w:sz w:val="22"/>
          <w:szCs w:val="22"/>
          <w:b w:val="1"/>
          <w:bCs w:val="1"/>
          <w:color w:val="auto"/>
        </w:rPr>
        <w:t>Schedule B</w:t>
      </w:r>
      <w:r>
        <w:rPr>
          <w:rFonts w:ascii="Arial" w:cs="Arial" w:eastAsia="Arial" w:hAnsi="Arial"/>
          <w:sz w:val="22"/>
          <w:szCs w:val="22"/>
          <w:color w:val="auto"/>
        </w:rPr>
        <w:t xml:space="preserve"> attached hereto and incorporated herein by reference.</w:t>
      </w:r>
    </w:p>
    <w:p>
      <w:pPr>
        <w:spacing w:after="0" w:line="202" w:lineRule="exact"/>
        <w:rPr>
          <w:sz w:val="20"/>
          <w:szCs w:val="20"/>
          <w:color w:val="auto"/>
        </w:rPr>
      </w:pPr>
    </w:p>
    <w:p>
      <w:pPr>
        <w:jc w:val="both"/>
        <w:ind w:firstLine="656"/>
        <w:spacing w:after="0" w:line="236" w:lineRule="auto"/>
        <w:tabs>
          <w:tab w:leader="none" w:pos="1749" w:val="left"/>
        </w:tabs>
        <w:numPr>
          <w:ilvl w:val="0"/>
          <w:numId w:val="59"/>
        </w:numPr>
        <w:rPr>
          <w:rFonts w:ascii="Arial" w:cs="Arial" w:eastAsia="Arial" w:hAnsi="Arial"/>
          <w:sz w:val="22"/>
          <w:szCs w:val="22"/>
          <w:b w:val="1"/>
          <w:bCs w:val="1"/>
          <w:color w:val="auto"/>
        </w:rPr>
      </w:pPr>
      <w:r>
        <w:rPr>
          <w:rFonts w:ascii="Arial" w:cs="Arial" w:eastAsia="Arial" w:hAnsi="Arial"/>
          <w:sz w:val="22"/>
          <w:szCs w:val="22"/>
          <w:color w:val="auto"/>
        </w:rPr>
        <w:t xml:space="preserve">The principal offices of Kronos Worldwide, NL, Valhi, Dixie Rice and Contran are located at, and the business address of, Lisa K. Simmons is, Three Lincoln Centre, 5430 LBJ Freeway, Suite 1700, Dallas, Texas 75240. The business address of the Family Trust is 5550 Preston Road, Suite B, Dallas, Texas 75205. The business addresses of the remaining directors and executive officers of NL, Kronos Worldwide, Valhi, Dixie Rice and Contran are set forth on </w:t>
      </w:r>
      <w:r>
        <w:rPr>
          <w:rFonts w:ascii="Arial" w:cs="Arial" w:eastAsia="Arial" w:hAnsi="Arial"/>
          <w:sz w:val="22"/>
          <w:szCs w:val="22"/>
          <w:b w:val="1"/>
          <w:bCs w:val="1"/>
          <w:color w:val="auto"/>
        </w:rPr>
        <w:t>Schedule B</w:t>
      </w:r>
      <w:r>
        <w:rPr>
          <w:rFonts w:ascii="Arial" w:cs="Arial" w:eastAsia="Arial" w:hAnsi="Arial"/>
          <w:sz w:val="22"/>
          <w:szCs w:val="22"/>
          <w:color w:val="auto"/>
        </w:rPr>
        <w:t xml:space="preserve"> to this Statement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1" w:name="page12"/>
    <w:bookmarkEnd w:id="11"/>
    <w:p>
      <w:pPr>
        <w:ind w:left="1660" w:hanging="1004"/>
        <w:spacing w:after="0"/>
        <w:tabs>
          <w:tab w:leader="none" w:pos="1660" w:val="left"/>
        </w:tabs>
        <w:numPr>
          <w:ilvl w:val="0"/>
          <w:numId w:val="60"/>
        </w:numPr>
        <w:rPr>
          <w:rFonts w:ascii="Arial" w:cs="Arial" w:eastAsia="Arial" w:hAnsi="Arial"/>
          <w:sz w:val="21"/>
          <w:szCs w:val="21"/>
          <w:b w:val="1"/>
          <w:bCs w:val="1"/>
          <w:color w:val="auto"/>
        </w:rPr>
      </w:pPr>
      <w:r>
        <w:rPr>
          <w:rFonts w:ascii="Arial" w:cs="Arial" w:eastAsia="Arial" w:hAnsi="Arial"/>
          <w:sz w:val="21"/>
          <w:szCs w:val="21"/>
          <w:color w:val="auto"/>
        </w:rPr>
        <w:t>Kronos Worldwide is principally engaged in the international production of titanium dioxide products.</w:t>
      </w:r>
    </w:p>
    <w:p>
      <w:pPr>
        <w:spacing w:after="0" w:line="24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NL is principally engaged in the manufacturing of security products and recreational marine components through CompX and the holding of the securities described above as directly held by NL (or one of its wholly owned subsidiaries).</w:t>
      </w:r>
    </w:p>
    <w:p>
      <w:pPr>
        <w:spacing w:after="0" w:line="17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In addition to the activities engaged in through Kronos Worldwide and NL, Valhi is engaged through certain of its subsidiaries in real estate management and development.</w:t>
      </w:r>
    </w:p>
    <w:p>
      <w:pPr>
        <w:spacing w:after="0" w:line="20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In addition to activities engaged in through Valhi and the other companies it may be deemed to control, as described above, Dixie Rice is principally engaged in holding the securities described above as directly held by Dixie Rice and in land management and oil and gas activities.</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Contran is principally engaged in the activities engaged in through Dixie Rice and Valhi.</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Family Trust is a trust organized under the laws of the state of Texas.</w:t>
      </w:r>
    </w:p>
    <w:p>
      <w:pPr>
        <w:spacing w:after="0" w:line="233" w:lineRule="exact"/>
        <w:rPr>
          <w:sz w:val="20"/>
          <w:szCs w:val="20"/>
          <w:color w:val="auto"/>
        </w:rPr>
      </w:pPr>
    </w:p>
    <w:p>
      <w:pPr>
        <w:jc w:val="both"/>
        <w:ind w:firstLine="656"/>
        <w:spacing w:after="0"/>
        <w:tabs>
          <w:tab w:leader="none" w:pos="1722" w:val="left"/>
        </w:tabs>
        <w:numPr>
          <w:ilvl w:val="0"/>
          <w:numId w:val="61"/>
        </w:numPr>
        <w:rPr>
          <w:rFonts w:ascii="Arial" w:cs="Arial" w:eastAsia="Arial" w:hAnsi="Arial"/>
          <w:sz w:val="22"/>
          <w:szCs w:val="22"/>
          <w:b w:val="1"/>
          <w:bCs w:val="1"/>
          <w:color w:val="auto"/>
        </w:rPr>
      </w:pPr>
      <w:r>
        <w:rPr>
          <w:rFonts w:ascii="Arial" w:cs="Arial" w:eastAsia="Arial" w:hAnsi="Arial"/>
          <w:sz w:val="22"/>
          <w:szCs w:val="22"/>
          <w:color w:val="auto"/>
        </w:rPr>
        <w:t xml:space="preserve">None of the Reporting Persons or, to the best knowledge of such persons, any of the persons named in </w:t>
      </w:r>
      <w:r>
        <w:rPr>
          <w:rFonts w:ascii="Arial" w:cs="Arial" w:eastAsia="Arial" w:hAnsi="Arial"/>
          <w:sz w:val="22"/>
          <w:szCs w:val="22"/>
          <w:b w:val="1"/>
          <w:bCs w:val="1"/>
          <w:color w:val="auto"/>
        </w:rPr>
        <w:t xml:space="preserve">Schedule B </w:t>
      </w:r>
      <w:r>
        <w:rPr>
          <w:rFonts w:ascii="Arial" w:cs="Arial" w:eastAsia="Arial" w:hAnsi="Arial"/>
          <w:sz w:val="22"/>
          <w:szCs w:val="22"/>
          <w:color w:val="auto"/>
        </w:rPr>
        <w:t>to this Statement has been convicted in a criminal proceeding in the past five years (excluding traffic violations or</w:t>
      </w:r>
      <w:r>
        <w:rPr>
          <w:rFonts w:ascii="Arial" w:cs="Arial" w:eastAsia="Arial" w:hAnsi="Arial"/>
          <w:sz w:val="22"/>
          <w:szCs w:val="22"/>
          <w:b w:val="1"/>
          <w:bCs w:val="1"/>
          <w:color w:val="auto"/>
        </w:rPr>
        <w:t xml:space="preserve"> </w:t>
      </w:r>
      <w:r>
        <w:rPr>
          <w:rFonts w:ascii="Arial" w:cs="Arial" w:eastAsia="Arial" w:hAnsi="Arial"/>
          <w:sz w:val="22"/>
          <w:szCs w:val="22"/>
          <w:color w:val="auto"/>
        </w:rPr>
        <w:t>similar misdemeanors).</w:t>
      </w:r>
    </w:p>
    <w:p>
      <w:pPr>
        <w:spacing w:after="0" w:line="207" w:lineRule="exact"/>
        <w:rPr>
          <w:rFonts w:ascii="Arial" w:cs="Arial" w:eastAsia="Arial" w:hAnsi="Arial"/>
          <w:sz w:val="22"/>
          <w:szCs w:val="22"/>
          <w:b w:val="1"/>
          <w:bCs w:val="1"/>
          <w:color w:val="auto"/>
        </w:rPr>
      </w:pPr>
    </w:p>
    <w:p>
      <w:pPr>
        <w:jc w:val="both"/>
        <w:ind w:firstLine="656"/>
        <w:spacing w:after="0" w:line="289" w:lineRule="auto"/>
        <w:tabs>
          <w:tab w:leader="none" w:pos="1644" w:val="left"/>
        </w:tabs>
        <w:numPr>
          <w:ilvl w:val="0"/>
          <w:numId w:val="61"/>
        </w:numPr>
        <w:rPr>
          <w:rFonts w:ascii="Arial" w:cs="Arial" w:eastAsia="Arial" w:hAnsi="Arial"/>
          <w:sz w:val="19"/>
          <w:szCs w:val="19"/>
          <w:b w:val="1"/>
          <w:bCs w:val="1"/>
          <w:color w:val="auto"/>
        </w:rPr>
      </w:pPr>
      <w:r>
        <w:rPr>
          <w:rFonts w:ascii="Arial" w:cs="Arial" w:eastAsia="Arial" w:hAnsi="Arial"/>
          <w:sz w:val="19"/>
          <w:szCs w:val="19"/>
          <w:color w:val="auto"/>
        </w:rPr>
        <w:t xml:space="preserve">None of the Reporting Persons or, to the best knowledge of such persons, any person named in </w:t>
      </w:r>
      <w:r>
        <w:rPr>
          <w:rFonts w:ascii="Arial" w:cs="Arial" w:eastAsia="Arial" w:hAnsi="Arial"/>
          <w:sz w:val="19"/>
          <w:szCs w:val="19"/>
          <w:b w:val="1"/>
          <w:bCs w:val="1"/>
          <w:color w:val="auto"/>
        </w:rPr>
        <w:t>Schedule B</w:t>
      </w:r>
      <w:r>
        <w:rPr>
          <w:rFonts w:ascii="Arial" w:cs="Arial" w:eastAsia="Arial" w:hAnsi="Arial"/>
          <w:sz w:val="19"/>
          <w:szCs w:val="19"/>
          <w:color w:val="auto"/>
        </w:rPr>
        <w:t xml:space="preserve"> to this Statement, was a party to a civil proceeding of a judicial or administrative body of competent jurisdiction as a result of which such person was or is subject to a judgment, decree or final order enjoining future violations of, or prohibiting or mandating activities subject to, federal or state securities laws or finding any violation with respect to such laws.</w:t>
      </w:r>
    </w:p>
    <w:p>
      <w:pPr>
        <w:spacing w:after="0" w:line="168" w:lineRule="exact"/>
        <w:rPr>
          <w:rFonts w:ascii="Arial" w:cs="Arial" w:eastAsia="Arial" w:hAnsi="Arial"/>
          <w:sz w:val="19"/>
          <w:szCs w:val="19"/>
          <w:b w:val="1"/>
          <w:bCs w:val="1"/>
          <w:color w:val="auto"/>
        </w:rPr>
      </w:pPr>
    </w:p>
    <w:p>
      <w:pPr>
        <w:jc w:val="both"/>
        <w:ind w:firstLine="656"/>
        <w:spacing w:after="0" w:line="238" w:lineRule="auto"/>
        <w:tabs>
          <w:tab w:leader="none" w:pos="1647" w:val="left"/>
        </w:tabs>
        <w:numPr>
          <w:ilvl w:val="0"/>
          <w:numId w:val="61"/>
        </w:numPr>
        <w:rPr>
          <w:rFonts w:ascii="Arial" w:cs="Arial" w:eastAsia="Arial" w:hAnsi="Arial"/>
          <w:sz w:val="22"/>
          <w:szCs w:val="22"/>
          <w:b w:val="1"/>
          <w:bCs w:val="1"/>
          <w:color w:val="auto"/>
        </w:rPr>
      </w:pPr>
      <w:r>
        <w:rPr>
          <w:rFonts w:ascii="Arial" w:cs="Arial" w:eastAsia="Arial" w:hAnsi="Arial"/>
          <w:sz w:val="22"/>
          <w:szCs w:val="22"/>
          <w:color w:val="auto"/>
        </w:rPr>
        <w:t xml:space="preserve">Kronos Worldwide, Valhi and Contran are Delaware corporations. NL is a New Jersey corporation. Dixie Rice is a Louisiana limited liability company. The Family Trust is a trust created under the laws of the state of Texas. Except as noted in </w:t>
      </w:r>
      <w:r>
        <w:rPr>
          <w:rFonts w:ascii="Arial" w:cs="Arial" w:eastAsia="Arial" w:hAnsi="Arial"/>
          <w:sz w:val="22"/>
          <w:szCs w:val="22"/>
          <w:b w:val="1"/>
          <w:bCs w:val="1"/>
          <w:color w:val="auto"/>
        </w:rPr>
        <w:t>Schedule B,</w:t>
      </w:r>
      <w:r>
        <w:rPr>
          <w:rFonts w:ascii="Arial" w:cs="Arial" w:eastAsia="Arial" w:hAnsi="Arial"/>
          <w:sz w:val="22"/>
          <w:szCs w:val="22"/>
          <w:color w:val="auto"/>
        </w:rPr>
        <w:t xml:space="preserve"> Lisa K. Simmons and all the persons named on </w:t>
      </w:r>
      <w:r>
        <w:rPr>
          <w:rFonts w:ascii="Arial" w:cs="Arial" w:eastAsia="Arial" w:hAnsi="Arial"/>
          <w:sz w:val="22"/>
          <w:szCs w:val="22"/>
          <w:b w:val="1"/>
          <w:bCs w:val="1"/>
          <w:color w:val="auto"/>
        </w:rPr>
        <w:t>Schedule B</w:t>
      </w:r>
      <w:r>
        <w:rPr>
          <w:rFonts w:ascii="Arial" w:cs="Arial" w:eastAsia="Arial" w:hAnsi="Arial"/>
          <w:sz w:val="22"/>
          <w:szCs w:val="22"/>
          <w:color w:val="auto"/>
        </w:rPr>
        <w:t xml:space="preserve"> to this Statement are citizens of the United States.</w:t>
      </w:r>
    </w:p>
    <w:p>
      <w:pPr>
        <w:spacing w:after="0" w:line="206"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Purpose of Transaction.</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Item 4 is amended and supplemented as follows.</w:t>
      </w:r>
    </w:p>
    <w:p>
      <w:pPr>
        <w:spacing w:after="0" w:line="23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Depending upon their evaluation of CompX’s business and prospects, and upon future developments (including, but not limited to, performance of the Class A Shares in the market, availability of funds, alternative uses of funds, and money, stock market and general economic conditions), any of the Reporting Persons or other entities that may be deemed to be related to Contran may from time to time purchase Class A Shares, and any of the Reporting Persons or other entities that may be deemed to be related to Contran may from time to time dispose of all or a portion of the Class A Shares held by such person, or cease buying or selling Class A Shares. Any such additional purchases or sales of Class A Shares may be in open market or privately negotiated transactions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2" w:name="page13"/>
    <w:bookmarkEnd w:id="12"/>
    <w:p>
      <w:pPr>
        <w:jc w:val="both"/>
        <w:ind w:firstLine="648"/>
        <w:spacing w:after="0" w:line="328" w:lineRule="auto"/>
        <w:rPr>
          <w:sz w:val="20"/>
          <w:szCs w:val="20"/>
          <w:color w:val="auto"/>
        </w:rPr>
      </w:pPr>
      <w:r>
        <w:rPr>
          <w:rFonts w:ascii="Arial" w:cs="Arial" w:eastAsia="Arial" w:hAnsi="Arial"/>
          <w:sz w:val="19"/>
          <w:szCs w:val="19"/>
          <w:color w:val="auto"/>
        </w:rPr>
        <w:t>On the day of each annual stockholder meeting of CompX, each of its eligible directors elected on that date receives a grant of Class A Shares pursuant to a formula based on the closing price of a Class A Share on the date of the meeting.</w:t>
      </w:r>
    </w:p>
    <w:p>
      <w:pPr>
        <w:spacing w:after="0" w:line="13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 xml:space="preserve">Except as described in this Item 4, none of the Reporting Persons nor, to the best knowledge of such persons, any other person named in </w:t>
      </w:r>
      <w:r>
        <w:rPr>
          <w:rFonts w:ascii="Arial" w:cs="Arial" w:eastAsia="Arial" w:hAnsi="Arial"/>
          <w:sz w:val="21"/>
          <w:szCs w:val="21"/>
          <w:b w:val="1"/>
          <w:bCs w:val="1"/>
          <w:color w:val="auto"/>
        </w:rPr>
        <w:t>Schedule B</w:t>
      </w:r>
      <w:r>
        <w:rPr>
          <w:rFonts w:ascii="Arial" w:cs="Arial" w:eastAsia="Arial" w:hAnsi="Arial"/>
          <w:sz w:val="21"/>
          <w:szCs w:val="21"/>
          <w:color w:val="auto"/>
        </w:rPr>
        <w:t xml:space="preserve"> to this Statement has formulated any plans or proposals which relate to or would result in any matter required to be disclosed in response to paragraphs (a) through (j) of Item 4 of Schedule 13D.</w:t>
      </w:r>
    </w:p>
    <w:p>
      <w:pPr>
        <w:spacing w:after="0" w:line="190"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Interest in Securities of the Issuer.</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Item 5 is amended and supplemented as follows.</w:t>
      </w:r>
    </w:p>
    <w:p>
      <w:pPr>
        <w:spacing w:after="0" w:line="233" w:lineRule="exact"/>
        <w:rPr>
          <w:sz w:val="20"/>
          <w:szCs w:val="20"/>
          <w:color w:val="auto"/>
        </w:rPr>
      </w:pPr>
    </w:p>
    <w:p>
      <w:pPr>
        <w:ind w:left="1660" w:hanging="1004"/>
        <w:spacing w:after="0"/>
        <w:tabs>
          <w:tab w:leader="none" w:pos="1660" w:val="left"/>
        </w:tabs>
        <w:numPr>
          <w:ilvl w:val="0"/>
          <w:numId w:val="62"/>
        </w:numPr>
        <w:rPr>
          <w:rFonts w:ascii="Arial" w:cs="Arial" w:eastAsia="Arial" w:hAnsi="Arial"/>
          <w:sz w:val="22"/>
          <w:szCs w:val="22"/>
          <w:b w:val="1"/>
          <w:bCs w:val="1"/>
          <w:color w:val="auto"/>
        </w:rPr>
      </w:pPr>
      <w:r>
        <w:rPr>
          <w:rFonts w:ascii="Arial" w:cs="Arial" w:eastAsia="Arial" w:hAnsi="Arial"/>
          <w:sz w:val="22"/>
          <w:szCs w:val="22"/>
          <w:color w:val="auto"/>
        </w:rPr>
        <w:t>The following entities or persons directly hold the following Class A Shares: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8100" w:type="dxa"/>
            <w:vAlign w:val="bottom"/>
            <w:tcBorders>
              <w:bottom w:val="single" w:sz="8" w:color="auto"/>
            </w:tcBorders>
          </w:tcPr>
          <w:p>
            <w:pPr>
              <w:ind w:left="3200"/>
              <w:spacing w:after="0"/>
              <w:rPr>
                <w:sz w:val="20"/>
                <w:szCs w:val="20"/>
                <w:color w:val="auto"/>
              </w:rPr>
            </w:pPr>
            <w:r>
              <w:rPr>
                <w:rFonts w:ascii="Arial" w:cs="Arial" w:eastAsia="Arial" w:hAnsi="Arial"/>
                <w:sz w:val="22"/>
                <w:szCs w:val="22"/>
                <w:b w:val="1"/>
                <w:bCs w:val="1"/>
                <w:color w:val="auto"/>
              </w:rPr>
              <w:t>Reporting Persons</w:t>
            </w:r>
          </w:p>
        </w:tc>
        <w:tc>
          <w:tcPr>
            <w:tcW w:w="314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b w:val="1"/>
                <w:bCs w:val="1"/>
                <w:color w:val="auto"/>
                <w:w w:val="95"/>
              </w:rPr>
              <w:t>Class A Shares Directly Held</w:t>
            </w:r>
          </w:p>
        </w:tc>
      </w:tr>
      <w:tr>
        <w:trPr>
          <w:trHeight w:val="438"/>
        </w:trPr>
        <w:tc>
          <w:tcPr>
            <w:tcW w:w="8100" w:type="dxa"/>
            <w:vAlign w:val="bottom"/>
          </w:tcPr>
          <w:p>
            <w:pPr>
              <w:spacing w:after="0"/>
              <w:rPr>
                <w:sz w:val="20"/>
                <w:szCs w:val="20"/>
                <w:color w:val="auto"/>
              </w:rPr>
            </w:pPr>
            <w:r>
              <w:rPr>
                <w:rFonts w:ascii="Arial" w:cs="Arial" w:eastAsia="Arial" w:hAnsi="Arial"/>
                <w:sz w:val="22"/>
                <w:szCs w:val="22"/>
                <w:color w:val="auto"/>
              </w:rPr>
              <w:t>NL</w:t>
            </w:r>
          </w:p>
        </w:tc>
        <w:tc>
          <w:tcPr>
            <w:tcW w:w="3140" w:type="dxa"/>
            <w:vAlign w:val="bottom"/>
          </w:tcPr>
          <w:p>
            <w:pPr>
              <w:jc w:val="right"/>
              <w:ind w:right="232"/>
              <w:spacing w:after="0"/>
              <w:rPr>
                <w:sz w:val="20"/>
                <w:szCs w:val="20"/>
                <w:color w:val="auto"/>
              </w:rPr>
            </w:pPr>
            <w:r>
              <w:rPr>
                <w:rFonts w:ascii="Arial" w:cs="Arial" w:eastAsia="Arial" w:hAnsi="Arial"/>
                <w:sz w:val="22"/>
                <w:szCs w:val="22"/>
                <w:color w:val="auto"/>
              </w:rPr>
              <w:t>10,755,104</w:t>
            </w:r>
          </w:p>
        </w:tc>
      </w:tr>
      <w:tr>
        <w:trPr>
          <w:trHeight w:val="243"/>
        </w:trPr>
        <w:tc>
          <w:tcPr>
            <w:tcW w:w="8100" w:type="dxa"/>
            <w:vAlign w:val="bottom"/>
          </w:tcPr>
          <w:p>
            <w:pPr>
              <w:spacing w:after="0" w:line="243" w:lineRule="exact"/>
              <w:rPr>
                <w:sz w:val="20"/>
                <w:szCs w:val="20"/>
                <w:color w:val="auto"/>
              </w:rPr>
            </w:pPr>
            <w:r>
              <w:rPr>
                <w:rFonts w:ascii="Arial" w:cs="Arial" w:eastAsia="Arial" w:hAnsi="Arial"/>
                <w:sz w:val="22"/>
                <w:szCs w:val="22"/>
                <w:color w:val="auto"/>
              </w:rPr>
              <w:t>Contran</w:t>
            </w:r>
          </w:p>
        </w:tc>
        <w:tc>
          <w:tcPr>
            <w:tcW w:w="3140" w:type="dxa"/>
            <w:vAlign w:val="bottom"/>
          </w:tcPr>
          <w:p>
            <w:pPr>
              <w:jc w:val="right"/>
              <w:ind w:right="232"/>
              <w:spacing w:after="0" w:line="243" w:lineRule="exact"/>
              <w:rPr>
                <w:sz w:val="20"/>
                <w:szCs w:val="20"/>
                <w:color w:val="auto"/>
              </w:rPr>
            </w:pPr>
            <w:r>
              <w:rPr>
                <w:rFonts w:ascii="Arial" w:cs="Arial" w:eastAsia="Arial" w:hAnsi="Arial"/>
                <w:sz w:val="22"/>
                <w:szCs w:val="22"/>
                <w:color w:val="auto"/>
              </w:rPr>
              <w:t>5,900</w:t>
            </w:r>
          </w:p>
        </w:tc>
      </w:tr>
      <w:tr>
        <w:trPr>
          <w:trHeight w:val="271"/>
        </w:trPr>
        <w:tc>
          <w:tcPr>
            <w:tcW w:w="8100" w:type="dxa"/>
            <w:vAlign w:val="bottom"/>
          </w:tcPr>
          <w:p>
            <w:pPr>
              <w:spacing w:after="0"/>
              <w:rPr>
                <w:sz w:val="20"/>
                <w:szCs w:val="20"/>
                <w:color w:val="auto"/>
              </w:rPr>
            </w:pPr>
            <w:r>
              <w:rPr>
                <w:rFonts w:ascii="Arial" w:cs="Arial" w:eastAsia="Arial" w:hAnsi="Arial"/>
                <w:sz w:val="22"/>
                <w:szCs w:val="22"/>
                <w:color w:val="auto"/>
              </w:rPr>
              <w:t>Kronos Worldwide</w:t>
            </w:r>
          </w:p>
        </w:tc>
        <w:tc>
          <w:tcPr>
            <w:tcW w:w="314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color w:val="auto"/>
              </w:rPr>
              <w:t>3,000</w:t>
            </w:r>
          </w:p>
        </w:tc>
      </w:tr>
      <w:tr>
        <w:trPr>
          <w:trHeight w:val="243"/>
        </w:trPr>
        <w:tc>
          <w:tcPr>
            <w:tcW w:w="8100" w:type="dxa"/>
            <w:vAlign w:val="bottom"/>
          </w:tcPr>
          <w:p>
            <w:pPr>
              <w:ind w:left="320"/>
              <w:spacing w:after="0" w:line="243" w:lineRule="exact"/>
              <w:rPr>
                <w:sz w:val="20"/>
                <w:szCs w:val="20"/>
                <w:color w:val="auto"/>
              </w:rPr>
            </w:pPr>
            <w:r>
              <w:rPr>
                <w:rFonts w:ascii="Arial" w:cs="Arial" w:eastAsia="Arial" w:hAnsi="Arial"/>
                <w:sz w:val="22"/>
                <w:szCs w:val="22"/>
                <w:b w:val="1"/>
                <w:bCs w:val="1"/>
                <w:color w:val="auto"/>
              </w:rPr>
              <w:t>Total</w:t>
            </w:r>
          </w:p>
        </w:tc>
        <w:tc>
          <w:tcPr>
            <w:tcW w:w="3140" w:type="dxa"/>
            <w:vAlign w:val="bottom"/>
            <w:tcBorders>
              <w:bottom w:val="single" w:sz="8" w:color="auto"/>
            </w:tcBorders>
          </w:tcPr>
          <w:p>
            <w:pPr>
              <w:jc w:val="right"/>
              <w:ind w:right="232"/>
              <w:spacing w:after="0" w:line="243" w:lineRule="exact"/>
              <w:rPr>
                <w:sz w:val="20"/>
                <w:szCs w:val="20"/>
                <w:color w:val="auto"/>
              </w:rPr>
            </w:pPr>
            <w:r>
              <w:rPr>
                <w:rFonts w:ascii="Arial" w:cs="Arial" w:eastAsia="Arial" w:hAnsi="Arial"/>
                <w:sz w:val="22"/>
                <w:szCs w:val="22"/>
                <w:b w:val="1"/>
                <w:bCs w:val="1"/>
                <w:color w:val="auto"/>
              </w:rPr>
              <w:t>10,764,004</w:t>
            </w:r>
          </w:p>
        </w:tc>
      </w:tr>
      <w:tr>
        <w:trPr>
          <w:trHeight w:val="21"/>
        </w:trPr>
        <w:tc>
          <w:tcPr>
            <w:tcW w:w="8100" w:type="dxa"/>
            <w:vAlign w:val="bottom"/>
          </w:tcPr>
          <w:p>
            <w:pPr>
              <w:spacing w:after="0" w:line="20" w:lineRule="exact"/>
              <w:rPr>
                <w:sz w:val="1"/>
                <w:szCs w:val="1"/>
                <w:color w:val="auto"/>
              </w:rPr>
            </w:pPr>
          </w:p>
        </w:tc>
        <w:tc>
          <w:tcPr>
            <w:tcW w:w="3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color w:val="auto"/>
        </w:rPr>
        <w:t>By virtue of the relationships described under Item 2 of this Statement:</w:t>
      </w:r>
    </w:p>
    <w:p>
      <w:pPr>
        <w:spacing w:after="0" w:line="233" w:lineRule="exact"/>
        <w:rPr>
          <w:sz w:val="20"/>
          <w:szCs w:val="20"/>
          <w:color w:val="auto"/>
        </w:rPr>
      </w:pPr>
    </w:p>
    <w:p>
      <w:pPr>
        <w:jc w:val="both"/>
        <w:ind w:left="660" w:firstLine="644"/>
        <w:spacing w:after="0"/>
        <w:tabs>
          <w:tab w:leader="none" w:pos="2343" w:val="left"/>
        </w:tabs>
        <w:numPr>
          <w:ilvl w:val="0"/>
          <w:numId w:val="63"/>
        </w:numPr>
        <w:rPr>
          <w:rFonts w:ascii="Arial" w:cs="Arial" w:eastAsia="Arial" w:hAnsi="Arial"/>
          <w:sz w:val="22"/>
          <w:szCs w:val="22"/>
          <w:b w:val="1"/>
          <w:bCs w:val="1"/>
          <w:color w:val="auto"/>
        </w:rPr>
      </w:pPr>
      <w:r>
        <w:rPr>
          <w:rFonts w:ascii="Arial" w:cs="Arial" w:eastAsia="Arial" w:hAnsi="Arial"/>
          <w:sz w:val="22"/>
          <w:szCs w:val="22"/>
          <w:color w:val="auto"/>
        </w:rPr>
        <w:t>NL, Kronos Worldwide, Valhi and Dixie Rice may each be deemed to be the beneficial owner of the 10,758,104 Class A Shares (approximately 86.5% of the Outstanding Class A Shares) that NL and Kronos Worldwide hold directly; and</w:t>
      </w:r>
    </w:p>
    <w:p>
      <w:pPr>
        <w:spacing w:after="0" w:line="213" w:lineRule="exact"/>
        <w:rPr>
          <w:rFonts w:ascii="Arial" w:cs="Arial" w:eastAsia="Arial" w:hAnsi="Arial"/>
          <w:sz w:val="22"/>
          <w:szCs w:val="22"/>
          <w:b w:val="1"/>
          <w:bCs w:val="1"/>
          <w:color w:val="auto"/>
        </w:rPr>
      </w:pPr>
    </w:p>
    <w:p>
      <w:pPr>
        <w:jc w:val="both"/>
        <w:ind w:left="660" w:firstLine="644"/>
        <w:spacing w:after="0" w:line="257" w:lineRule="auto"/>
        <w:tabs>
          <w:tab w:leader="none" w:pos="2316" w:val="left"/>
        </w:tabs>
        <w:numPr>
          <w:ilvl w:val="0"/>
          <w:numId w:val="63"/>
        </w:numPr>
        <w:rPr>
          <w:rFonts w:ascii="Arial" w:cs="Arial" w:eastAsia="Arial" w:hAnsi="Arial"/>
          <w:sz w:val="21"/>
          <w:szCs w:val="21"/>
          <w:b w:val="1"/>
          <w:bCs w:val="1"/>
          <w:color w:val="auto"/>
        </w:rPr>
      </w:pPr>
      <w:r>
        <w:rPr>
          <w:rFonts w:ascii="Arial" w:cs="Arial" w:eastAsia="Arial" w:hAnsi="Arial"/>
          <w:sz w:val="21"/>
          <w:szCs w:val="21"/>
          <w:color w:val="auto"/>
        </w:rPr>
        <w:t>Contran, Ms. Simmons and the Family Trust (and the Trustee, in its capacity as trustee of the Family Trust) may be deemed to be the beneficial owner of the 10,764,004 Class A Shares (approximately 86.5% of the Outstanding Class A Shares) that NL, Contran and Kronos Worldwide hold directly.</w:t>
      </w:r>
    </w:p>
    <w:p>
      <w:pPr>
        <w:spacing w:after="0" w:line="19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Each Reporting Person declares that neither the filing of this Schedule 13D nor anything herein shall be construed as an admission that such person is, for the purposes of Section 13(d) or 13(g) of the Act or any other purpose, the beneficial owner of any securities covered by this Schedule 13D, except (with respect to the applicable Reporting Person only) for the Class A Shares such Reporting Person holds directly.</w:t>
      </w:r>
    </w:p>
    <w:p>
      <w:pPr>
        <w:spacing w:after="0" w:line="212"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In addition, each Reporting Person declares that neither the filing of this Schedule 13D nor anything herein shall be construed as an admission that such person is, for the purposes of Section 13(d) or 13(g) of the Act or any other purpose (i) acting (or has agreed or is agreeing to act) with any other person as a partnership, limited partnership, syndicate, or other group for the purpose of acquiring, holding or disposing of securities of Valhi, NL, Kronos Worldwide and/or CompX (collectively, the “Companies”) or any securities of any of the Companies or (ii) a member of any syndicate or group with respect to any of the Companies or any securities of any of the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3" w:name="page14"/>
    <w:bookmarkEnd w:id="13"/>
    <w:p>
      <w:pPr>
        <w:ind w:left="1680" w:hanging="1024"/>
        <w:spacing w:after="0"/>
        <w:tabs>
          <w:tab w:leader="none" w:pos="1680" w:val="left"/>
        </w:tabs>
        <w:numPr>
          <w:ilvl w:val="0"/>
          <w:numId w:val="64"/>
        </w:numPr>
        <w:rPr>
          <w:rFonts w:ascii="Arial" w:cs="Arial" w:eastAsia="Arial" w:hAnsi="Arial"/>
          <w:sz w:val="22"/>
          <w:szCs w:val="22"/>
          <w:b w:val="1"/>
          <w:bCs w:val="1"/>
          <w:color w:val="auto"/>
        </w:rPr>
      </w:pPr>
      <w:r>
        <w:rPr>
          <w:rFonts w:ascii="Arial" w:cs="Arial" w:eastAsia="Arial" w:hAnsi="Arial"/>
          <w:sz w:val="22"/>
          <w:szCs w:val="22"/>
          <w:color w:val="auto"/>
        </w:rPr>
        <w:t>By virtue of the relationships described in Item 2 of this Statement:</w:t>
      </w:r>
    </w:p>
    <w:p>
      <w:pPr>
        <w:spacing w:after="0" w:line="233" w:lineRule="exact"/>
        <w:rPr>
          <w:rFonts w:ascii="Arial" w:cs="Arial" w:eastAsia="Arial" w:hAnsi="Arial"/>
          <w:sz w:val="22"/>
          <w:szCs w:val="22"/>
          <w:b w:val="1"/>
          <w:bCs w:val="1"/>
          <w:color w:val="auto"/>
        </w:rPr>
      </w:pPr>
    </w:p>
    <w:p>
      <w:pPr>
        <w:jc w:val="both"/>
        <w:ind w:left="660" w:firstLine="644"/>
        <w:spacing w:after="0"/>
        <w:tabs>
          <w:tab w:leader="none" w:pos="2343" w:val="left"/>
        </w:tabs>
        <w:numPr>
          <w:ilvl w:val="1"/>
          <w:numId w:val="64"/>
        </w:numPr>
        <w:rPr>
          <w:rFonts w:ascii="Arial" w:cs="Arial" w:eastAsia="Arial" w:hAnsi="Arial"/>
          <w:sz w:val="22"/>
          <w:szCs w:val="22"/>
          <w:b w:val="1"/>
          <w:bCs w:val="1"/>
          <w:color w:val="auto"/>
        </w:rPr>
      </w:pPr>
      <w:r>
        <w:rPr>
          <w:rFonts w:ascii="Arial" w:cs="Arial" w:eastAsia="Arial" w:hAnsi="Arial"/>
          <w:sz w:val="22"/>
          <w:szCs w:val="22"/>
          <w:color w:val="auto"/>
        </w:rPr>
        <w:t>NL, Kronos Worldwide, Valhi and Dixie Rice may each be deemed to share the power to vote and direct the disposition of the 10,758,104 Class A Shares (approximately 86.5% of the Outstanding Class A Shares) that NL and Kronos Worldwide hold directly; and</w:t>
      </w:r>
    </w:p>
    <w:p>
      <w:pPr>
        <w:spacing w:after="0" w:line="213" w:lineRule="exact"/>
        <w:rPr>
          <w:rFonts w:ascii="Arial" w:cs="Arial" w:eastAsia="Arial" w:hAnsi="Arial"/>
          <w:sz w:val="22"/>
          <w:szCs w:val="22"/>
          <w:b w:val="1"/>
          <w:bCs w:val="1"/>
          <w:color w:val="auto"/>
        </w:rPr>
      </w:pPr>
    </w:p>
    <w:p>
      <w:pPr>
        <w:jc w:val="both"/>
        <w:ind w:left="660" w:firstLine="644"/>
        <w:spacing w:after="0" w:line="297" w:lineRule="auto"/>
        <w:tabs>
          <w:tab w:leader="none" w:pos="2316" w:val="left"/>
        </w:tabs>
        <w:numPr>
          <w:ilvl w:val="1"/>
          <w:numId w:val="64"/>
        </w:numPr>
        <w:rPr>
          <w:rFonts w:ascii="Arial" w:cs="Arial" w:eastAsia="Arial" w:hAnsi="Arial"/>
          <w:sz w:val="19"/>
          <w:szCs w:val="19"/>
          <w:b w:val="1"/>
          <w:bCs w:val="1"/>
          <w:color w:val="auto"/>
        </w:rPr>
      </w:pPr>
      <w:r>
        <w:rPr>
          <w:rFonts w:ascii="Arial" w:cs="Arial" w:eastAsia="Arial" w:hAnsi="Arial"/>
          <w:sz w:val="19"/>
          <w:szCs w:val="19"/>
          <w:color w:val="auto"/>
        </w:rPr>
        <w:t>Contran, Ms. Simmons and the Family Trust (and the Trustee, in its capacity as trustee of the Family Trust) may be deemed to share the power to vote and direct the disposition of the 10,764,004 Class A Shares (approximately 86.5% of the Outstanding Class A Shares) that NL, Contran and Kronos Worldwide hold directly.</w:t>
      </w:r>
    </w:p>
    <w:p>
      <w:pPr>
        <w:spacing w:after="0" w:line="161"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The Reporting Persons understand, based on ownership filings with the SEC or upon information provided by the persons listed on </w:t>
      </w:r>
      <w:r>
        <w:rPr>
          <w:rFonts w:ascii="Arial" w:cs="Arial" w:eastAsia="Arial" w:hAnsi="Arial"/>
          <w:sz w:val="22"/>
          <w:szCs w:val="22"/>
          <w:b w:val="1"/>
          <w:bCs w:val="1"/>
          <w:color w:val="auto"/>
        </w:rPr>
        <w:t>Schedule B</w:t>
      </w:r>
      <w:r>
        <w:rPr>
          <w:rFonts w:ascii="Arial" w:cs="Arial" w:eastAsia="Arial" w:hAnsi="Arial"/>
          <w:sz w:val="22"/>
          <w:szCs w:val="22"/>
          <w:color w:val="auto"/>
        </w:rPr>
        <w:t xml:space="preserve"> to this Statement, that such persons may be deemed to own beneficially the Class A Shares as indicated on </w:t>
      </w:r>
      <w:r>
        <w:rPr>
          <w:rFonts w:ascii="Arial" w:cs="Arial" w:eastAsia="Arial" w:hAnsi="Arial"/>
          <w:sz w:val="22"/>
          <w:szCs w:val="22"/>
          <w:b w:val="1"/>
          <w:bCs w:val="1"/>
          <w:color w:val="auto"/>
        </w:rPr>
        <w:t xml:space="preserve">Schedule C </w:t>
      </w:r>
      <w:r>
        <w:rPr>
          <w:rFonts w:ascii="Arial" w:cs="Arial" w:eastAsia="Arial" w:hAnsi="Arial"/>
          <w:sz w:val="22"/>
          <w:szCs w:val="22"/>
          <w:color w:val="auto"/>
        </w:rPr>
        <w:t>to this Statement.</w:t>
      </w:r>
    </w:p>
    <w:p>
      <w:pPr>
        <w:spacing w:after="0" w:line="213" w:lineRule="exact"/>
        <w:rPr>
          <w:sz w:val="20"/>
          <w:szCs w:val="20"/>
          <w:color w:val="auto"/>
        </w:rPr>
      </w:pPr>
    </w:p>
    <w:p>
      <w:pPr>
        <w:ind w:right="20" w:firstLine="656"/>
        <w:spacing w:after="0" w:line="250" w:lineRule="auto"/>
        <w:tabs>
          <w:tab w:leader="none" w:pos="1722" w:val="left"/>
        </w:tabs>
        <w:numPr>
          <w:ilvl w:val="0"/>
          <w:numId w:val="65"/>
        </w:numPr>
        <w:rPr>
          <w:rFonts w:ascii="Arial" w:cs="Arial" w:eastAsia="Arial" w:hAnsi="Arial"/>
          <w:sz w:val="22"/>
          <w:szCs w:val="22"/>
          <w:b w:val="1"/>
          <w:bCs w:val="1"/>
          <w:color w:val="auto"/>
        </w:rPr>
      </w:pPr>
      <w:r>
        <w:rPr>
          <w:rFonts w:ascii="Arial" w:cs="Arial" w:eastAsia="Arial" w:hAnsi="Arial"/>
          <w:sz w:val="22"/>
          <w:szCs w:val="22"/>
          <w:color w:val="auto"/>
        </w:rPr>
        <w:t>NL, Contran and Kronos Worldwide each has the right to receive and the power to direct the receipt of dividends from, and proceeds from the sale of, the Class A Shares it directly holds.</w:t>
      </w:r>
    </w:p>
    <w:p>
      <w:pPr>
        <w:spacing w:after="0" w:line="196"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Contracts, Arrangements, Understandings or Relationships With Respect to Securities of the Issuer.</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Item 6 is amended and supplemented as follows.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information included in Items 2, 4 and 5 of this Statement is hereby incorporated herein by reference.</w:t>
      </w:r>
    </w:p>
    <w:p>
      <w:pPr>
        <w:spacing w:after="0" w:line="227"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b w:val="1"/>
          <w:bCs w:val="1"/>
          <w:color w:val="auto"/>
        </w:rPr>
        <w:t>Item 7.</w:t>
      </w:r>
      <w:r>
        <w:rPr>
          <w:sz w:val="20"/>
          <w:szCs w:val="20"/>
          <w:color w:val="auto"/>
        </w:rPr>
        <w:tab/>
      </w:r>
      <w:r>
        <w:rPr>
          <w:rFonts w:ascii="Arial" w:cs="Arial" w:eastAsia="Arial" w:hAnsi="Arial"/>
          <w:sz w:val="19"/>
          <w:szCs w:val="19"/>
          <w:b w:val="1"/>
          <w:bCs w:val="1"/>
          <w:color w:val="auto"/>
        </w:rPr>
        <w:t>Material to be Filed as Exhibits.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Item 7 is amended and supplemented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680" w:type="dxa"/>
            <w:vAlign w:val="bottom"/>
          </w:tcPr>
          <w:p>
            <w:pPr>
              <w:spacing w:after="0"/>
              <w:rPr>
                <w:sz w:val="20"/>
                <w:szCs w:val="20"/>
                <w:color w:val="auto"/>
              </w:rPr>
            </w:pPr>
            <w:r>
              <w:rPr>
                <w:rFonts w:ascii="Arial" w:cs="Arial" w:eastAsia="Arial" w:hAnsi="Arial"/>
                <w:sz w:val="22"/>
                <w:szCs w:val="22"/>
                <w:color w:val="auto"/>
              </w:rPr>
              <w:t>Exhibit 1*</w:t>
            </w:r>
          </w:p>
        </w:tc>
        <w:tc>
          <w:tcPr>
            <w:tcW w:w="8560" w:type="dxa"/>
            <w:vAlign w:val="bottom"/>
          </w:tcPr>
          <w:p>
            <w:pPr>
              <w:spacing w:after="0"/>
              <w:rPr>
                <w:rFonts w:ascii="Arial" w:cs="Arial" w:eastAsia="Arial" w:hAnsi="Arial"/>
                <w:sz w:val="22"/>
                <w:szCs w:val="22"/>
                <w:color w:val="0000EE"/>
                <w:w w:val="89"/>
              </w:rPr>
            </w:pPr>
            <w:hyperlink w:anchor="page23">
              <w:r>
                <w:rPr>
                  <w:rFonts w:ascii="Arial" w:cs="Arial" w:eastAsia="Arial" w:hAnsi="Arial"/>
                  <w:sz w:val="22"/>
                  <w:szCs w:val="22"/>
                  <w:u w:val="single" w:color="auto"/>
                  <w:color w:val="0000EE"/>
                  <w:w w:val="89"/>
                </w:rPr>
                <w:t>Contran Corporation Amended and Restated Stockholders Agreement dated September 3, 2019</w:t>
              </w:r>
              <w:r>
                <w:rPr>
                  <w:rFonts w:ascii="Arial" w:cs="Arial" w:eastAsia="Arial" w:hAnsi="Arial"/>
                  <w:sz w:val="22"/>
                  <w:szCs w:val="22"/>
                  <w:color w:val="0000EE"/>
                  <w:w w:val="89"/>
                </w:rPr>
                <w:t xml:space="preserve"> </w:t>
              </w:r>
            </w:hyperlink>
            <w:r>
              <w:rPr>
                <w:rFonts w:ascii="Arial" w:cs="Arial" w:eastAsia="Arial" w:hAnsi="Arial"/>
                <w:sz w:val="22"/>
                <w:szCs w:val="22"/>
                <w:color w:val="000000"/>
                <w:w w:val="89"/>
              </w:rPr>
              <w:t>.</w:t>
            </w:r>
          </w:p>
        </w:tc>
      </w:tr>
      <w:tr>
        <w:trPr>
          <w:trHeight w:val="428"/>
        </w:trPr>
        <w:tc>
          <w:tcPr>
            <w:tcW w:w="2680" w:type="dxa"/>
            <w:vAlign w:val="bottom"/>
          </w:tcPr>
          <w:p>
            <w:pPr>
              <w:spacing w:after="0"/>
              <w:rPr>
                <w:sz w:val="20"/>
                <w:szCs w:val="20"/>
                <w:color w:val="auto"/>
              </w:rPr>
            </w:pPr>
            <w:r>
              <w:rPr>
                <w:rFonts w:ascii="Arial" w:cs="Arial" w:eastAsia="Arial" w:hAnsi="Arial"/>
                <w:sz w:val="22"/>
                <w:szCs w:val="22"/>
                <w:color w:val="auto"/>
              </w:rPr>
              <w:t>Exhibit 2</w:t>
            </w:r>
          </w:p>
        </w:tc>
        <w:tc>
          <w:tcPr>
            <w:tcW w:w="8560" w:type="dxa"/>
            <w:vAlign w:val="bottom"/>
          </w:tcPr>
          <w:p>
            <w:pPr>
              <w:spacing w:after="0"/>
              <w:rPr>
                <w:sz w:val="20"/>
                <w:szCs w:val="20"/>
                <w:color w:val="auto"/>
              </w:rPr>
            </w:pPr>
            <w:r>
              <w:rPr>
                <w:rFonts w:ascii="Arial" w:cs="Arial" w:eastAsia="Arial" w:hAnsi="Arial"/>
                <w:sz w:val="22"/>
                <w:szCs w:val="22"/>
                <w:color w:val="auto"/>
                <w:w w:val="91"/>
              </w:rPr>
              <w:t>Joint Filing Agreement dated as of September 4, 2019 (incorporated by reference to Exhibit 2 to</w:t>
            </w:r>
          </w:p>
        </w:tc>
      </w:tr>
      <w:tr>
        <w:trPr>
          <w:trHeight w:val="243"/>
        </w:trPr>
        <w:tc>
          <w:tcPr>
            <w:tcW w:w="2680" w:type="dxa"/>
            <w:vAlign w:val="bottom"/>
          </w:tcPr>
          <w:p>
            <w:pPr>
              <w:spacing w:after="0"/>
              <w:rPr>
                <w:sz w:val="21"/>
                <w:szCs w:val="21"/>
                <w:color w:val="auto"/>
              </w:rPr>
            </w:pPr>
          </w:p>
        </w:tc>
        <w:tc>
          <w:tcPr>
            <w:tcW w:w="8560" w:type="dxa"/>
            <w:vAlign w:val="bottom"/>
          </w:tcPr>
          <w:p>
            <w:pPr>
              <w:spacing w:after="0" w:line="243" w:lineRule="exact"/>
              <w:rPr>
                <w:sz w:val="20"/>
                <w:szCs w:val="20"/>
                <w:color w:val="auto"/>
              </w:rPr>
            </w:pPr>
            <w:r>
              <w:rPr>
                <w:rFonts w:ascii="Arial" w:cs="Arial" w:eastAsia="Arial" w:hAnsi="Arial"/>
                <w:sz w:val="22"/>
                <w:szCs w:val="22"/>
                <w:color w:val="auto"/>
                <w:w w:val="93"/>
              </w:rPr>
              <w:t>Amendment No. 78 to Schedule 13D regarding the common stock of CompX International Inc.</w:t>
            </w:r>
          </w:p>
        </w:tc>
      </w:tr>
      <w:tr>
        <w:trPr>
          <w:trHeight w:val="243"/>
        </w:trPr>
        <w:tc>
          <w:tcPr>
            <w:tcW w:w="2680" w:type="dxa"/>
            <w:vAlign w:val="bottom"/>
          </w:tcPr>
          <w:p>
            <w:pPr>
              <w:spacing w:after="0"/>
              <w:rPr>
                <w:sz w:val="21"/>
                <w:szCs w:val="21"/>
                <w:color w:val="auto"/>
              </w:rPr>
            </w:pPr>
          </w:p>
        </w:tc>
        <w:tc>
          <w:tcPr>
            <w:tcW w:w="8560" w:type="dxa"/>
            <w:vAlign w:val="bottom"/>
          </w:tcPr>
          <w:p>
            <w:pPr>
              <w:spacing w:after="0" w:line="243" w:lineRule="exact"/>
              <w:rPr>
                <w:sz w:val="20"/>
                <w:szCs w:val="20"/>
                <w:color w:val="auto"/>
              </w:rPr>
            </w:pPr>
            <w:r>
              <w:rPr>
                <w:rFonts w:ascii="Arial" w:cs="Arial" w:eastAsia="Arial" w:hAnsi="Arial"/>
                <w:sz w:val="22"/>
                <w:szCs w:val="22"/>
                <w:color w:val="auto"/>
                <w:w w:val="91"/>
              </w:rPr>
              <w:t>(Securities Exchange Act File No. 1-13905) that was filed with the U.S. Securities and Exchange</w:t>
            </w:r>
          </w:p>
        </w:tc>
      </w:tr>
      <w:tr>
        <w:trPr>
          <w:trHeight w:val="243"/>
        </w:trPr>
        <w:tc>
          <w:tcPr>
            <w:tcW w:w="2680" w:type="dxa"/>
            <w:vAlign w:val="bottom"/>
          </w:tcPr>
          <w:p>
            <w:pPr>
              <w:spacing w:after="0"/>
              <w:rPr>
                <w:sz w:val="21"/>
                <w:szCs w:val="21"/>
                <w:color w:val="auto"/>
              </w:rPr>
            </w:pPr>
          </w:p>
        </w:tc>
        <w:tc>
          <w:tcPr>
            <w:tcW w:w="8560" w:type="dxa"/>
            <w:vAlign w:val="bottom"/>
          </w:tcPr>
          <w:p>
            <w:pPr>
              <w:spacing w:after="0" w:line="243" w:lineRule="exact"/>
              <w:rPr>
                <w:sz w:val="20"/>
                <w:szCs w:val="20"/>
                <w:color w:val="auto"/>
              </w:rPr>
            </w:pPr>
            <w:r>
              <w:rPr>
                <w:rFonts w:ascii="Arial" w:cs="Arial" w:eastAsia="Arial" w:hAnsi="Arial"/>
                <w:sz w:val="22"/>
                <w:szCs w:val="22"/>
                <w:color w:val="auto"/>
                <w:w w:val="95"/>
              </w:rPr>
              <w:t>Commission on September 4, 2019 by the Reporting Persons and the late Serena Simmons</w:t>
            </w:r>
          </w:p>
        </w:tc>
      </w:tr>
      <w:tr>
        <w:trPr>
          <w:trHeight w:val="274"/>
        </w:trPr>
        <w:tc>
          <w:tcPr>
            <w:tcW w:w="2680" w:type="dxa"/>
            <w:vAlign w:val="bottom"/>
          </w:tcPr>
          <w:p>
            <w:pPr>
              <w:spacing w:after="0"/>
              <w:rPr>
                <w:sz w:val="23"/>
                <w:szCs w:val="23"/>
                <w:color w:val="auto"/>
              </w:rPr>
            </w:pPr>
          </w:p>
        </w:tc>
        <w:tc>
          <w:tcPr>
            <w:tcW w:w="8560" w:type="dxa"/>
            <w:vAlign w:val="bottom"/>
          </w:tcPr>
          <w:p>
            <w:pPr>
              <w:spacing w:after="0"/>
              <w:rPr>
                <w:sz w:val="20"/>
                <w:szCs w:val="20"/>
                <w:color w:val="auto"/>
              </w:rPr>
            </w:pPr>
            <w:r>
              <w:rPr>
                <w:rFonts w:ascii="Arial" w:cs="Arial" w:eastAsia="Arial" w:hAnsi="Arial"/>
                <w:sz w:val="22"/>
                <w:szCs w:val="22"/>
                <w:color w:val="auto"/>
              </w:rPr>
              <w:t>Connelly)</w:t>
            </w:r>
          </w:p>
        </w:tc>
      </w:tr>
      <w:tr>
        <w:trPr>
          <w:trHeight w:val="213"/>
        </w:trPr>
        <w:tc>
          <w:tcPr>
            <w:tcW w:w="2680" w:type="dxa"/>
            <w:vAlign w:val="bottom"/>
            <w:tcBorders>
              <w:bottom w:val="single" w:sz="8" w:color="auto"/>
            </w:tcBorders>
          </w:tcPr>
          <w:p>
            <w:pPr>
              <w:spacing w:after="0"/>
              <w:rPr>
                <w:sz w:val="18"/>
                <w:szCs w:val="18"/>
                <w:color w:val="auto"/>
              </w:rPr>
            </w:pPr>
          </w:p>
        </w:tc>
        <w:tc>
          <w:tcPr>
            <w:tcW w:w="8560" w:type="dxa"/>
            <w:vAlign w:val="bottom"/>
          </w:tcPr>
          <w:p>
            <w:pPr>
              <w:spacing w:after="0"/>
              <w:rPr>
                <w:sz w:val="18"/>
                <w:szCs w:val="18"/>
                <w:color w:val="auto"/>
              </w:rPr>
            </w:pPr>
          </w:p>
        </w:tc>
      </w:tr>
      <w:tr>
        <w:trPr>
          <w:trHeight w:val="496"/>
        </w:trPr>
        <w:tc>
          <w:tcPr>
            <w:tcW w:w="2680" w:type="dxa"/>
            <w:vAlign w:val="bottom"/>
          </w:tcPr>
          <w:p>
            <w:pPr>
              <w:spacing w:after="0"/>
              <w:rPr>
                <w:sz w:val="20"/>
                <w:szCs w:val="20"/>
                <w:color w:val="auto"/>
              </w:rPr>
            </w:pPr>
            <w:r>
              <w:rPr>
                <w:rFonts w:ascii="Arial" w:cs="Arial" w:eastAsia="Arial" w:hAnsi="Arial"/>
                <w:sz w:val="22"/>
                <w:szCs w:val="22"/>
                <w:color w:val="auto"/>
              </w:rPr>
              <w:t>* Filed herewith.</w:t>
            </w:r>
          </w:p>
        </w:tc>
        <w:tc>
          <w:tcPr>
            <w:tcW w:w="8560" w:type="dxa"/>
            <w:vAlign w:val="bottom"/>
          </w:tcPr>
          <w:p>
            <w:pPr>
              <w:spacing w:after="0"/>
              <w:rPr>
                <w:sz w:val="24"/>
                <w:szCs w:val="24"/>
                <w:color w:val="auto"/>
              </w:rPr>
            </w:pPr>
          </w:p>
        </w:tc>
      </w:tr>
      <w:tr>
        <w:trPr>
          <w:trHeight w:val="415"/>
        </w:trPr>
        <w:tc>
          <w:tcPr>
            <w:tcW w:w="2680" w:type="dxa"/>
            <w:vAlign w:val="bottom"/>
            <w:tcBorders>
              <w:bottom w:val="single" w:sz="8" w:color="auto"/>
            </w:tcBorders>
          </w:tcPr>
          <w:p>
            <w:pPr>
              <w:spacing w:after="0"/>
              <w:rPr>
                <w:sz w:val="24"/>
                <w:szCs w:val="24"/>
                <w:color w:val="auto"/>
              </w:rPr>
            </w:pPr>
          </w:p>
        </w:tc>
        <w:tc>
          <w:tcPr>
            <w:tcW w:w="8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1" w:right="3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22"/>
          <w:szCs w:val="22"/>
          <w:color w:val="auto"/>
        </w:rPr>
        <w:t>Signature</w:t>
      </w:r>
    </w:p>
    <w:p>
      <w:pPr>
        <w:spacing w:after="0" w:line="233"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Date: April 28,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220"/>
        <w:spacing w:after="0"/>
        <w:rPr>
          <w:sz w:val="20"/>
          <w:szCs w:val="20"/>
          <w:color w:val="auto"/>
        </w:rPr>
      </w:pPr>
      <w:r>
        <w:rPr>
          <w:rFonts w:ascii="Arial" w:cs="Arial" w:eastAsia="Arial" w:hAnsi="Arial"/>
          <w:sz w:val="22"/>
          <w:szCs w:val="22"/>
          <w:u w:val="single" w:color="auto"/>
          <w:color w:val="auto"/>
        </w:rPr>
        <w:t>/s/ Lisa K. Simmons</w:t>
      </w:r>
    </w:p>
    <w:p>
      <w:pPr>
        <w:spacing w:after="0" w:line="8" w:lineRule="exact"/>
        <w:rPr>
          <w:sz w:val="20"/>
          <w:szCs w:val="20"/>
          <w:color w:val="auto"/>
        </w:rPr>
      </w:pPr>
    </w:p>
    <w:p>
      <w:pPr>
        <w:ind w:left="4220"/>
        <w:spacing w:after="0"/>
        <w:rPr>
          <w:sz w:val="20"/>
          <w:szCs w:val="20"/>
          <w:color w:val="auto"/>
        </w:rPr>
      </w:pPr>
      <w:r>
        <w:rPr>
          <w:rFonts w:ascii="Arial" w:cs="Arial" w:eastAsia="Arial" w:hAnsi="Arial"/>
          <w:sz w:val="22"/>
          <w:szCs w:val="22"/>
          <w:i w:val="1"/>
          <w:iCs w:val="1"/>
          <w:color w:val="auto"/>
        </w:rPr>
        <w:t>Lisa K. Simmons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22"/>
          <w:szCs w:val="22"/>
          <w:color w:val="auto"/>
        </w:rPr>
        <w:t>Signature</w:t>
      </w:r>
    </w:p>
    <w:p>
      <w:pPr>
        <w:spacing w:after="0" w:line="234"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Date: April 28,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220"/>
        <w:spacing w:after="0"/>
        <w:rPr>
          <w:sz w:val="20"/>
          <w:szCs w:val="20"/>
          <w:color w:val="auto"/>
        </w:rPr>
      </w:pPr>
      <w:r>
        <w:rPr>
          <w:rFonts w:ascii="Arial" w:cs="Arial" w:eastAsia="Arial" w:hAnsi="Arial"/>
          <w:sz w:val="22"/>
          <w:szCs w:val="22"/>
          <w:u w:val="single" w:color="auto"/>
          <w:color w:val="auto"/>
        </w:rPr>
        <w:t>/s/ Robert D. Graham</w:t>
      </w:r>
    </w:p>
    <w:p>
      <w:pPr>
        <w:spacing w:after="0" w:line="8" w:lineRule="exact"/>
        <w:rPr>
          <w:sz w:val="20"/>
          <w:szCs w:val="20"/>
          <w:color w:val="auto"/>
        </w:rPr>
      </w:pPr>
    </w:p>
    <w:p>
      <w:pPr>
        <w:ind w:left="4220"/>
        <w:spacing w:after="0" w:line="236" w:lineRule="auto"/>
        <w:rPr>
          <w:sz w:val="20"/>
          <w:szCs w:val="20"/>
          <w:color w:val="auto"/>
        </w:rPr>
      </w:pPr>
      <w:r>
        <w:rPr>
          <w:rFonts w:ascii="Arial" w:cs="Arial" w:eastAsia="Arial" w:hAnsi="Arial"/>
          <w:sz w:val="22"/>
          <w:szCs w:val="22"/>
          <w:i w:val="1"/>
          <w:iCs w:val="1"/>
          <w:color w:val="auto"/>
        </w:rPr>
        <w:t>Robert D. Graham, Signing in the capacities listed on Schedule “A” attached hereto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22"/>
          <w:szCs w:val="22"/>
          <w:color w:val="auto"/>
        </w:rPr>
        <w:t>Signature</w:t>
      </w:r>
    </w:p>
    <w:p>
      <w:pPr>
        <w:spacing w:after="0" w:line="233"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Date: April 28, 2020</w:t>
      </w:r>
    </w:p>
    <w:p>
      <w:pPr>
        <w:spacing w:after="0" w:line="233"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Harold C. Simmons Family Trust No. 2</w:t>
      </w:r>
    </w:p>
    <w:p>
      <w:pPr>
        <w:spacing w:after="0" w:line="200" w:lineRule="exact"/>
        <w:rPr>
          <w:sz w:val="20"/>
          <w:szCs w:val="20"/>
          <w:color w:val="auto"/>
        </w:rPr>
      </w:pPr>
    </w:p>
    <w:p>
      <w:pPr>
        <w:spacing w:after="0" w:line="276" w:lineRule="exact"/>
        <w:rPr>
          <w:sz w:val="20"/>
          <w:szCs w:val="20"/>
          <w:color w:val="auto"/>
        </w:rPr>
      </w:pPr>
    </w:p>
    <w:p>
      <w:pPr>
        <w:ind w:left="4540" w:right="20" w:hanging="639"/>
        <w:spacing w:after="0" w:line="250" w:lineRule="auto"/>
        <w:tabs>
          <w:tab w:leader="none" w:pos="4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Tolleson Private Bank, not in its individual capacity but solely as trustee of the Harold C. Simmons Family Trust No. 2</w:t>
      </w:r>
    </w:p>
    <w:p>
      <w:pPr>
        <w:spacing w:after="0" w:line="200" w:lineRule="exact"/>
        <w:rPr>
          <w:sz w:val="20"/>
          <w:szCs w:val="20"/>
          <w:color w:val="auto"/>
        </w:rPr>
      </w:pPr>
    </w:p>
    <w:p>
      <w:pPr>
        <w:spacing w:after="0" w:line="245" w:lineRule="exact"/>
        <w:rPr>
          <w:sz w:val="20"/>
          <w:szCs w:val="20"/>
          <w:color w:val="auto"/>
        </w:rPr>
      </w:pPr>
    </w:p>
    <w:p>
      <w:pPr>
        <w:ind w:left="4540"/>
        <w:spacing w:after="0"/>
        <w:tabs>
          <w:tab w:leader="none" w:pos="51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Tracey L. Reyes</w:t>
      </w:r>
    </w:p>
    <w:p>
      <w:pPr>
        <w:ind w:left="4540"/>
        <w:spacing w:after="0" w:line="238" w:lineRule="auto"/>
        <w:rPr>
          <w:sz w:val="20"/>
          <w:szCs w:val="20"/>
          <w:color w:val="auto"/>
        </w:rPr>
      </w:pPr>
      <w:r>
        <w:rPr>
          <w:rFonts w:ascii="Arial" w:cs="Arial" w:eastAsia="Arial" w:hAnsi="Arial"/>
          <w:sz w:val="22"/>
          <w:szCs w:val="22"/>
          <w:color w:val="auto"/>
        </w:rPr>
        <w:t>Name: Tracey L. Reyes</w:t>
      </w:r>
    </w:p>
    <w:p>
      <w:pPr>
        <w:ind w:left="4540"/>
        <w:spacing w:after="0"/>
        <w:tabs>
          <w:tab w:leader="none" w:pos="51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 Director of Private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22"/>
          <w:szCs w:val="22"/>
          <w:b w:val="1"/>
          <w:bCs w:val="1"/>
          <w:color w:val="auto"/>
        </w:rPr>
        <w:t>SCHEDULE A</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22"/>
          <w:szCs w:val="22"/>
          <w:color w:val="auto"/>
        </w:rPr>
        <w:t>ROBERT D. GRAHAM, for the entities set forth below, as the officer stated: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350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rPr>
              <w:t>Entity</w:t>
            </w:r>
          </w:p>
        </w:tc>
        <w:tc>
          <w:tcPr>
            <w:tcW w:w="7740" w:type="dxa"/>
            <w:vAlign w:val="bottom"/>
            <w:tcBorders>
              <w:bottom w:val="single" w:sz="8" w:color="auto"/>
            </w:tcBorders>
          </w:tcPr>
          <w:p>
            <w:pPr>
              <w:ind w:left="840"/>
              <w:spacing w:after="0"/>
              <w:rPr>
                <w:sz w:val="20"/>
                <w:szCs w:val="20"/>
                <w:color w:val="auto"/>
              </w:rPr>
            </w:pPr>
            <w:r>
              <w:rPr>
                <w:rFonts w:ascii="Arial" w:cs="Arial" w:eastAsia="Arial" w:hAnsi="Arial"/>
                <w:sz w:val="22"/>
                <w:szCs w:val="22"/>
                <w:b w:val="1"/>
                <w:bCs w:val="1"/>
                <w:color w:val="auto"/>
              </w:rPr>
              <w:t>Officer positions</w:t>
            </w:r>
          </w:p>
        </w:tc>
      </w:tr>
      <w:tr>
        <w:trPr>
          <w:trHeight w:val="250"/>
        </w:trPr>
        <w:tc>
          <w:tcPr>
            <w:tcW w:w="3500" w:type="dxa"/>
            <w:vAlign w:val="bottom"/>
            <w:tcBorders>
              <w:bottom w:val="single" w:sz="8" w:color="auto"/>
            </w:tcBorders>
          </w:tcPr>
          <w:p>
            <w:pPr>
              <w:spacing w:after="0" w:line="243" w:lineRule="exact"/>
              <w:rPr>
                <w:sz w:val="20"/>
                <w:szCs w:val="20"/>
                <w:color w:val="auto"/>
              </w:rPr>
            </w:pPr>
            <w:r>
              <w:rPr>
                <w:rFonts w:ascii="Arial" w:cs="Arial" w:eastAsia="Arial" w:hAnsi="Arial"/>
                <w:sz w:val="22"/>
                <w:szCs w:val="22"/>
                <w:color w:val="auto"/>
              </w:rPr>
              <w:t>Contran Corporation</w:t>
            </w:r>
          </w:p>
        </w:tc>
        <w:tc>
          <w:tcPr>
            <w:tcW w:w="7740" w:type="dxa"/>
            <w:vAlign w:val="bottom"/>
            <w:tcBorders>
              <w:bottom w:val="single" w:sz="8" w:color="auto"/>
            </w:tcBorders>
          </w:tcPr>
          <w:p>
            <w:pPr>
              <w:ind w:left="840"/>
              <w:spacing w:after="0" w:line="243" w:lineRule="exact"/>
              <w:rPr>
                <w:sz w:val="20"/>
                <w:szCs w:val="20"/>
                <w:color w:val="auto"/>
              </w:rPr>
            </w:pPr>
            <w:r>
              <w:rPr>
                <w:rFonts w:ascii="Arial" w:cs="Arial" w:eastAsia="Arial" w:hAnsi="Arial"/>
                <w:sz w:val="22"/>
                <w:szCs w:val="22"/>
                <w:color w:val="auto"/>
              </w:rPr>
              <w:t>President and Chief Executive Officer</w:t>
            </w:r>
          </w:p>
        </w:tc>
      </w:tr>
      <w:tr>
        <w:trPr>
          <w:trHeight w:val="250"/>
        </w:trPr>
        <w:tc>
          <w:tcPr>
            <w:tcW w:w="3500" w:type="dxa"/>
            <w:vAlign w:val="bottom"/>
            <w:tcBorders>
              <w:bottom w:val="single" w:sz="8" w:color="auto"/>
            </w:tcBorders>
          </w:tcPr>
          <w:p>
            <w:pPr>
              <w:spacing w:after="0" w:line="243" w:lineRule="exact"/>
              <w:rPr>
                <w:sz w:val="20"/>
                <w:szCs w:val="20"/>
                <w:color w:val="auto"/>
              </w:rPr>
            </w:pPr>
            <w:r>
              <w:rPr>
                <w:rFonts w:ascii="Arial" w:cs="Arial" w:eastAsia="Arial" w:hAnsi="Arial"/>
                <w:sz w:val="22"/>
                <w:szCs w:val="22"/>
                <w:color w:val="auto"/>
              </w:rPr>
              <w:t>Dixie Rice Agricultural L.L.C.</w:t>
            </w:r>
          </w:p>
        </w:tc>
        <w:tc>
          <w:tcPr>
            <w:tcW w:w="7740" w:type="dxa"/>
            <w:vAlign w:val="bottom"/>
            <w:tcBorders>
              <w:bottom w:val="single" w:sz="8" w:color="auto"/>
            </w:tcBorders>
          </w:tcPr>
          <w:p>
            <w:pPr>
              <w:ind w:left="840"/>
              <w:spacing w:after="0" w:line="243" w:lineRule="exact"/>
              <w:rPr>
                <w:sz w:val="20"/>
                <w:szCs w:val="20"/>
                <w:color w:val="auto"/>
              </w:rPr>
            </w:pPr>
            <w:r>
              <w:rPr>
                <w:rFonts w:ascii="Arial" w:cs="Arial" w:eastAsia="Arial" w:hAnsi="Arial"/>
                <w:sz w:val="22"/>
                <w:szCs w:val="22"/>
                <w:color w:val="auto"/>
              </w:rPr>
              <w:t>President and Chief Executive Officer</w:t>
            </w:r>
          </w:p>
        </w:tc>
      </w:tr>
      <w:tr>
        <w:trPr>
          <w:trHeight w:val="250"/>
        </w:trPr>
        <w:tc>
          <w:tcPr>
            <w:tcW w:w="3500" w:type="dxa"/>
            <w:vAlign w:val="bottom"/>
            <w:tcBorders>
              <w:bottom w:val="single" w:sz="8" w:color="auto"/>
            </w:tcBorders>
          </w:tcPr>
          <w:p>
            <w:pPr>
              <w:spacing w:after="0" w:line="243" w:lineRule="exact"/>
              <w:rPr>
                <w:sz w:val="20"/>
                <w:szCs w:val="20"/>
                <w:color w:val="auto"/>
              </w:rPr>
            </w:pPr>
            <w:r>
              <w:rPr>
                <w:rFonts w:ascii="Arial" w:cs="Arial" w:eastAsia="Arial" w:hAnsi="Arial"/>
                <w:sz w:val="22"/>
                <w:szCs w:val="22"/>
                <w:color w:val="auto"/>
              </w:rPr>
              <w:t>Valhi, Inc.</w:t>
            </w:r>
          </w:p>
        </w:tc>
        <w:tc>
          <w:tcPr>
            <w:tcW w:w="7740" w:type="dxa"/>
            <w:vAlign w:val="bottom"/>
            <w:tcBorders>
              <w:bottom w:val="single" w:sz="8" w:color="auto"/>
            </w:tcBorders>
          </w:tcPr>
          <w:p>
            <w:pPr>
              <w:ind w:left="840"/>
              <w:spacing w:after="0" w:line="243" w:lineRule="exact"/>
              <w:rPr>
                <w:sz w:val="20"/>
                <w:szCs w:val="20"/>
                <w:color w:val="auto"/>
              </w:rPr>
            </w:pPr>
            <w:r>
              <w:rPr>
                <w:rFonts w:ascii="Arial" w:cs="Arial" w:eastAsia="Arial" w:hAnsi="Arial"/>
                <w:sz w:val="22"/>
                <w:szCs w:val="22"/>
                <w:color w:val="auto"/>
              </w:rPr>
              <w:t>Vice Chairman of the Board, President and Chief Executive Officer</w:t>
            </w:r>
          </w:p>
        </w:tc>
      </w:tr>
      <w:tr>
        <w:trPr>
          <w:trHeight w:val="250"/>
        </w:trPr>
        <w:tc>
          <w:tcPr>
            <w:tcW w:w="3500" w:type="dxa"/>
            <w:vAlign w:val="bottom"/>
            <w:tcBorders>
              <w:bottom w:val="single" w:sz="8" w:color="auto"/>
            </w:tcBorders>
          </w:tcPr>
          <w:p>
            <w:pPr>
              <w:spacing w:after="0" w:line="243" w:lineRule="exact"/>
              <w:rPr>
                <w:sz w:val="20"/>
                <w:szCs w:val="20"/>
                <w:color w:val="auto"/>
              </w:rPr>
            </w:pPr>
            <w:r>
              <w:rPr>
                <w:rFonts w:ascii="Arial" w:cs="Arial" w:eastAsia="Arial" w:hAnsi="Arial"/>
                <w:sz w:val="22"/>
                <w:szCs w:val="22"/>
                <w:color w:val="auto"/>
              </w:rPr>
              <w:t>Kronos Worldwide, Inc.</w:t>
            </w:r>
          </w:p>
        </w:tc>
        <w:tc>
          <w:tcPr>
            <w:tcW w:w="7740" w:type="dxa"/>
            <w:vAlign w:val="bottom"/>
            <w:tcBorders>
              <w:bottom w:val="single" w:sz="8" w:color="auto"/>
            </w:tcBorders>
          </w:tcPr>
          <w:p>
            <w:pPr>
              <w:ind w:left="840"/>
              <w:spacing w:after="0" w:line="243" w:lineRule="exact"/>
              <w:rPr>
                <w:sz w:val="20"/>
                <w:szCs w:val="20"/>
                <w:color w:val="auto"/>
              </w:rPr>
            </w:pPr>
            <w:r>
              <w:rPr>
                <w:rFonts w:ascii="Arial" w:cs="Arial" w:eastAsia="Arial" w:hAnsi="Arial"/>
                <w:sz w:val="22"/>
                <w:szCs w:val="22"/>
                <w:color w:val="auto"/>
              </w:rPr>
              <w:t>Vice Chairman of the Board, President and Chief Executive Officer</w:t>
            </w:r>
          </w:p>
        </w:tc>
      </w:tr>
      <w:tr>
        <w:trPr>
          <w:trHeight w:val="250"/>
        </w:trPr>
        <w:tc>
          <w:tcPr>
            <w:tcW w:w="3500" w:type="dxa"/>
            <w:vAlign w:val="bottom"/>
            <w:tcBorders>
              <w:bottom w:val="single" w:sz="8" w:color="auto"/>
            </w:tcBorders>
          </w:tcPr>
          <w:p>
            <w:pPr>
              <w:spacing w:after="0" w:line="243" w:lineRule="exact"/>
              <w:rPr>
                <w:sz w:val="20"/>
                <w:szCs w:val="20"/>
                <w:color w:val="auto"/>
              </w:rPr>
            </w:pPr>
            <w:r>
              <w:rPr>
                <w:rFonts w:ascii="Arial" w:cs="Arial" w:eastAsia="Arial" w:hAnsi="Arial"/>
                <w:sz w:val="22"/>
                <w:szCs w:val="22"/>
                <w:color w:val="auto"/>
              </w:rPr>
              <w:t>NL Industries, Inc.</w:t>
            </w:r>
          </w:p>
        </w:tc>
        <w:tc>
          <w:tcPr>
            <w:tcW w:w="7740" w:type="dxa"/>
            <w:vAlign w:val="bottom"/>
            <w:tcBorders>
              <w:bottom w:val="single" w:sz="8" w:color="auto"/>
            </w:tcBorders>
          </w:tcPr>
          <w:p>
            <w:pPr>
              <w:ind w:left="840"/>
              <w:spacing w:after="0" w:line="243" w:lineRule="exact"/>
              <w:rPr>
                <w:sz w:val="20"/>
                <w:szCs w:val="20"/>
                <w:color w:val="auto"/>
              </w:rPr>
            </w:pPr>
            <w:r>
              <w:rPr>
                <w:rFonts w:ascii="Arial" w:cs="Arial" w:eastAsia="Arial" w:hAnsi="Arial"/>
                <w:sz w:val="22"/>
                <w:szCs w:val="22"/>
                <w:color w:val="auto"/>
              </w:rPr>
              <w:t>Vice Chairman of the Board and Chief Executive Officer</w:t>
            </w:r>
          </w:p>
        </w:tc>
      </w:tr>
      <w:tr>
        <w:trPr>
          <w:trHeight w:val="668"/>
        </w:trPr>
        <w:tc>
          <w:tcPr>
            <w:tcW w:w="3500" w:type="dxa"/>
            <w:vAlign w:val="bottom"/>
            <w:tcBorders>
              <w:bottom w:val="single" w:sz="8" w:color="auto"/>
            </w:tcBorders>
          </w:tcPr>
          <w:p>
            <w:pPr>
              <w:spacing w:after="0"/>
              <w:rPr>
                <w:sz w:val="24"/>
                <w:szCs w:val="24"/>
                <w:color w:val="auto"/>
              </w:rPr>
            </w:pPr>
          </w:p>
        </w:tc>
        <w:tc>
          <w:tcPr>
            <w:tcW w:w="7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2"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22"/>
          <w:szCs w:val="22"/>
          <w:b w:val="1"/>
          <w:bCs w:val="1"/>
          <w:color w:val="auto"/>
        </w:rPr>
        <w:t>SCHEDULE B</w:t>
      </w:r>
    </w:p>
    <w:p>
      <w:pPr>
        <w:spacing w:after="0" w:line="23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The names of the directors and executive officers of Kronos Worldwide, NL, Valhi, Dixie Rice and Contran and their present principal occupations are set forth below. Except as otherwise indicated, each such person is a citizen of the United States of America and the business address of each such person is 5430 LBJ Freeway, Suite 1700, Dallas, Texas 75240.</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16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ind w:left="140"/>
              <w:spacing w:after="0"/>
              <w:rPr>
                <w:sz w:val="20"/>
                <w:szCs w:val="20"/>
                <w:color w:val="auto"/>
              </w:rPr>
            </w:pPr>
            <w:r>
              <w:rPr>
                <w:rFonts w:ascii="Arial" w:cs="Arial" w:eastAsia="Arial" w:hAnsi="Arial"/>
                <w:sz w:val="22"/>
                <w:szCs w:val="22"/>
                <w:b w:val="1"/>
                <w:bCs w:val="1"/>
                <w:color w:val="auto"/>
              </w:rPr>
              <w:t>Name</w:t>
            </w:r>
          </w:p>
        </w:tc>
        <w:tc>
          <w:tcPr>
            <w:tcW w:w="7020" w:type="dxa"/>
            <w:vAlign w:val="bottom"/>
            <w:tcBorders>
              <w:bottom w:val="single" w:sz="8" w:color="auto"/>
            </w:tcBorders>
          </w:tcPr>
          <w:p>
            <w:pPr>
              <w:ind w:left="2700"/>
              <w:spacing w:after="0"/>
              <w:rPr>
                <w:sz w:val="20"/>
                <w:szCs w:val="20"/>
                <w:color w:val="auto"/>
              </w:rPr>
            </w:pPr>
            <w:r>
              <w:rPr>
                <w:rFonts w:ascii="Arial" w:cs="Arial" w:eastAsia="Arial" w:hAnsi="Arial"/>
                <w:sz w:val="22"/>
                <w:szCs w:val="22"/>
                <w:b w:val="1"/>
                <w:bCs w:val="1"/>
                <w:color w:val="auto"/>
              </w:rPr>
              <w:t>Present Principal Occupation</w:t>
            </w:r>
          </w:p>
        </w:tc>
      </w:tr>
      <w:tr>
        <w:trPr>
          <w:trHeight w:val="438"/>
        </w:trPr>
        <w:tc>
          <w:tcPr>
            <w:tcW w:w="1660" w:type="dxa"/>
            <w:vAlign w:val="bottom"/>
          </w:tcPr>
          <w:p>
            <w:pPr>
              <w:spacing w:after="0"/>
              <w:rPr>
                <w:sz w:val="20"/>
                <w:szCs w:val="20"/>
                <w:color w:val="auto"/>
              </w:rPr>
            </w:pPr>
            <w:r>
              <w:rPr>
                <w:rFonts w:ascii="Arial" w:cs="Arial" w:eastAsia="Arial" w:hAnsi="Arial"/>
                <w:sz w:val="22"/>
                <w:szCs w:val="22"/>
                <w:color w:val="auto"/>
              </w:rPr>
              <w:t>Thomas</w:t>
            </w:r>
          </w:p>
        </w:tc>
        <w:tc>
          <w:tcPr>
            <w:tcW w:w="600" w:type="dxa"/>
            <w:vAlign w:val="bottom"/>
          </w:tcPr>
          <w:p>
            <w:pPr>
              <w:spacing w:after="0"/>
              <w:rPr>
                <w:sz w:val="24"/>
                <w:szCs w:val="24"/>
                <w:color w:val="auto"/>
              </w:rPr>
            </w:pPr>
          </w:p>
        </w:tc>
        <w:tc>
          <w:tcPr>
            <w:tcW w:w="1960" w:type="dxa"/>
            <w:vAlign w:val="bottom"/>
          </w:tcPr>
          <w:p>
            <w:pPr>
              <w:ind w:left="400"/>
              <w:spacing w:after="0"/>
              <w:rPr>
                <w:sz w:val="20"/>
                <w:szCs w:val="20"/>
                <w:color w:val="auto"/>
              </w:rPr>
            </w:pPr>
            <w:r>
              <w:rPr>
                <w:rFonts w:ascii="Arial" w:cs="Arial" w:eastAsia="Arial" w:hAnsi="Arial"/>
                <w:sz w:val="22"/>
                <w:szCs w:val="22"/>
                <w:color w:val="auto"/>
              </w:rPr>
              <w:t>E.</w:t>
            </w:r>
          </w:p>
        </w:tc>
        <w:tc>
          <w:tcPr>
            <w:tcW w:w="7020" w:type="dxa"/>
            <w:vAlign w:val="bottom"/>
          </w:tcPr>
          <w:p>
            <w:pPr>
              <w:jc w:val="right"/>
              <w:spacing w:after="0"/>
              <w:rPr>
                <w:sz w:val="20"/>
                <w:szCs w:val="20"/>
                <w:color w:val="auto"/>
              </w:rPr>
            </w:pPr>
            <w:r>
              <w:rPr>
                <w:rFonts w:ascii="Arial" w:cs="Arial" w:eastAsia="Arial" w:hAnsi="Arial"/>
                <w:sz w:val="22"/>
                <w:szCs w:val="22"/>
                <w:color w:val="auto"/>
              </w:rPr>
              <w:t>BarryProfessor of marketing, emeritus at the Edwin L. Cox School of</w:t>
            </w:r>
          </w:p>
        </w:tc>
      </w:tr>
      <w:tr>
        <w:trPr>
          <w:trHeight w:val="243"/>
        </w:trPr>
        <w:tc>
          <w:tcPr>
            <w:tcW w:w="16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7020" w:type="dxa"/>
            <w:vAlign w:val="bottom"/>
          </w:tcPr>
          <w:p>
            <w:pPr>
              <w:ind w:left="1100"/>
              <w:spacing w:after="0" w:line="243" w:lineRule="exact"/>
              <w:rPr>
                <w:sz w:val="20"/>
                <w:szCs w:val="20"/>
                <w:color w:val="auto"/>
              </w:rPr>
            </w:pPr>
            <w:r>
              <w:rPr>
                <w:rFonts w:ascii="Arial" w:cs="Arial" w:eastAsia="Arial" w:hAnsi="Arial"/>
                <w:sz w:val="22"/>
                <w:szCs w:val="22"/>
                <w:color w:val="auto"/>
                <w:w w:val="93"/>
              </w:rPr>
              <w:t>Business  at  Southern  Methodist  University;  and  a  director  of</w:t>
            </w:r>
          </w:p>
        </w:tc>
      </w:tr>
      <w:tr>
        <w:trPr>
          <w:trHeight w:val="274"/>
        </w:trPr>
        <w:tc>
          <w:tcPr>
            <w:tcW w:w="16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7020" w:type="dxa"/>
            <w:vAlign w:val="bottom"/>
          </w:tcPr>
          <w:p>
            <w:pPr>
              <w:ind w:left="1100"/>
              <w:spacing w:after="0"/>
              <w:rPr>
                <w:sz w:val="20"/>
                <w:szCs w:val="20"/>
                <w:color w:val="auto"/>
              </w:rPr>
            </w:pPr>
            <w:r>
              <w:rPr>
                <w:rFonts w:ascii="Arial" w:cs="Arial" w:eastAsia="Arial" w:hAnsi="Arial"/>
                <w:sz w:val="22"/>
                <w:szCs w:val="22"/>
                <w:color w:val="auto"/>
              </w:rPr>
              <w:t>CompX and Valhi</w:t>
            </w:r>
          </w:p>
        </w:tc>
      </w:tr>
      <w:tr>
        <w:trPr>
          <w:trHeight w:val="459"/>
        </w:trPr>
        <w:tc>
          <w:tcPr>
            <w:tcW w:w="1660" w:type="dxa"/>
            <w:vAlign w:val="bottom"/>
          </w:tcPr>
          <w:p>
            <w:pPr>
              <w:spacing w:after="0"/>
              <w:rPr>
                <w:sz w:val="20"/>
                <w:szCs w:val="20"/>
                <w:color w:val="auto"/>
              </w:rPr>
            </w:pPr>
            <w:r>
              <w:rPr>
                <w:rFonts w:ascii="Arial" w:cs="Arial" w:eastAsia="Arial" w:hAnsi="Arial"/>
                <w:sz w:val="22"/>
                <w:szCs w:val="22"/>
                <w:color w:val="auto"/>
              </w:rPr>
              <w:t>Patty S. Brinda</w:t>
            </w:r>
          </w:p>
        </w:tc>
        <w:tc>
          <w:tcPr>
            <w:tcW w:w="6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7020" w:type="dxa"/>
            <w:vAlign w:val="bottom"/>
          </w:tcPr>
          <w:p>
            <w:pPr>
              <w:ind w:left="1100"/>
              <w:spacing w:after="0"/>
              <w:rPr>
                <w:sz w:val="20"/>
                <w:szCs w:val="20"/>
                <w:color w:val="auto"/>
              </w:rPr>
            </w:pPr>
            <w:r>
              <w:rPr>
                <w:rFonts w:ascii="Arial" w:cs="Arial" w:eastAsia="Arial" w:hAnsi="Arial"/>
                <w:sz w:val="22"/>
                <w:szCs w:val="22"/>
                <w:color w:val="auto"/>
              </w:rPr>
              <w:t>Vice president and controller of NL</w:t>
            </w:r>
          </w:p>
        </w:tc>
      </w:tr>
      <w:tr>
        <w:trPr>
          <w:trHeight w:val="428"/>
        </w:trPr>
        <w:tc>
          <w:tcPr>
            <w:tcW w:w="1660" w:type="dxa"/>
            <w:vAlign w:val="bottom"/>
          </w:tcPr>
          <w:p>
            <w:pPr>
              <w:spacing w:after="0"/>
              <w:rPr>
                <w:sz w:val="20"/>
                <w:szCs w:val="20"/>
                <w:color w:val="auto"/>
              </w:rPr>
            </w:pPr>
            <w:r>
              <w:rPr>
                <w:rFonts w:ascii="Arial" w:cs="Arial" w:eastAsia="Arial" w:hAnsi="Arial"/>
                <w:sz w:val="22"/>
                <w:szCs w:val="22"/>
                <w:color w:val="auto"/>
              </w:rPr>
              <w:t>James</w:t>
            </w:r>
          </w:p>
        </w:tc>
        <w:tc>
          <w:tcPr>
            <w:tcW w:w="600" w:type="dxa"/>
            <w:vAlign w:val="bottom"/>
          </w:tcPr>
          <w:p>
            <w:pPr>
              <w:spacing w:after="0"/>
              <w:rPr>
                <w:sz w:val="24"/>
                <w:szCs w:val="24"/>
                <w:color w:val="auto"/>
              </w:rPr>
            </w:pPr>
          </w:p>
        </w:tc>
        <w:tc>
          <w:tcPr>
            <w:tcW w:w="1960" w:type="dxa"/>
            <w:vAlign w:val="bottom"/>
          </w:tcPr>
          <w:p>
            <w:pPr>
              <w:ind w:left="240"/>
              <w:spacing w:after="0"/>
              <w:rPr>
                <w:sz w:val="20"/>
                <w:szCs w:val="20"/>
                <w:color w:val="auto"/>
              </w:rPr>
            </w:pPr>
            <w:r>
              <w:rPr>
                <w:rFonts w:ascii="Arial" w:cs="Arial" w:eastAsia="Arial" w:hAnsi="Arial"/>
                <w:sz w:val="22"/>
                <w:szCs w:val="22"/>
                <w:color w:val="auto"/>
              </w:rPr>
              <w:t>W.</w:t>
            </w:r>
          </w:p>
        </w:tc>
        <w:tc>
          <w:tcPr>
            <w:tcW w:w="7020" w:type="dxa"/>
            <w:vAlign w:val="bottom"/>
          </w:tcPr>
          <w:p>
            <w:pPr>
              <w:jc w:val="right"/>
              <w:spacing w:after="0"/>
              <w:rPr>
                <w:sz w:val="20"/>
                <w:szCs w:val="20"/>
                <w:color w:val="auto"/>
              </w:rPr>
            </w:pPr>
            <w:r>
              <w:rPr>
                <w:rFonts w:ascii="Arial" w:cs="Arial" w:eastAsia="Arial" w:hAnsi="Arial"/>
                <w:sz w:val="22"/>
                <w:szCs w:val="22"/>
                <w:color w:val="auto"/>
              </w:rPr>
              <w:t>BrownSenior  vice  president  and  chief  financial  officer  of  Kronos</w:t>
            </w:r>
          </w:p>
        </w:tc>
      </w:tr>
      <w:tr>
        <w:trPr>
          <w:trHeight w:val="274"/>
        </w:trPr>
        <w:tc>
          <w:tcPr>
            <w:tcW w:w="16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7020" w:type="dxa"/>
            <w:vAlign w:val="bottom"/>
          </w:tcPr>
          <w:p>
            <w:pPr>
              <w:ind w:left="1100"/>
              <w:spacing w:after="0"/>
              <w:rPr>
                <w:sz w:val="20"/>
                <w:szCs w:val="20"/>
                <w:color w:val="auto"/>
              </w:rPr>
            </w:pPr>
            <w:r>
              <w:rPr>
                <w:rFonts w:ascii="Arial" w:cs="Arial" w:eastAsia="Arial" w:hAnsi="Arial"/>
                <w:sz w:val="22"/>
                <w:szCs w:val="22"/>
                <w:color w:val="auto"/>
              </w:rPr>
              <w:t>Worldwide and Valhi</w:t>
            </w:r>
          </w:p>
        </w:tc>
      </w:tr>
      <w:tr>
        <w:trPr>
          <w:trHeight w:val="428"/>
        </w:trPr>
        <w:tc>
          <w:tcPr>
            <w:tcW w:w="1660" w:type="dxa"/>
            <w:vAlign w:val="bottom"/>
          </w:tcPr>
          <w:p>
            <w:pPr>
              <w:spacing w:after="0"/>
              <w:rPr>
                <w:sz w:val="20"/>
                <w:szCs w:val="20"/>
                <w:color w:val="auto"/>
              </w:rPr>
            </w:pPr>
            <w:r>
              <w:rPr>
                <w:rFonts w:ascii="Arial" w:cs="Arial" w:eastAsia="Arial" w:hAnsi="Arial"/>
                <w:sz w:val="22"/>
                <w:szCs w:val="22"/>
                <w:color w:val="auto"/>
              </w:rPr>
              <w:t>Clarence</w:t>
            </w:r>
          </w:p>
        </w:tc>
        <w:tc>
          <w:tcPr>
            <w:tcW w:w="600" w:type="dxa"/>
            <w:vAlign w:val="bottom"/>
          </w:tcPr>
          <w:p>
            <w:pPr>
              <w:ind w:left="280"/>
              <w:spacing w:after="0"/>
              <w:rPr>
                <w:sz w:val="20"/>
                <w:szCs w:val="20"/>
                <w:color w:val="auto"/>
              </w:rPr>
            </w:pPr>
            <w:r>
              <w:rPr>
                <w:rFonts w:ascii="Arial" w:cs="Arial" w:eastAsia="Arial" w:hAnsi="Arial"/>
                <w:sz w:val="22"/>
                <w:szCs w:val="22"/>
                <w:color w:val="auto"/>
              </w:rPr>
              <w:t>B.</w:t>
            </w:r>
          </w:p>
        </w:tc>
        <w:tc>
          <w:tcPr>
            <w:tcW w:w="1960" w:type="dxa"/>
            <w:vAlign w:val="bottom"/>
          </w:tcPr>
          <w:p>
            <w:pPr>
              <w:ind w:left="1020"/>
              <w:spacing w:after="0"/>
              <w:rPr>
                <w:sz w:val="20"/>
                <w:szCs w:val="20"/>
                <w:color w:val="auto"/>
              </w:rPr>
            </w:pPr>
            <w:r>
              <w:rPr>
                <w:rFonts w:ascii="Arial" w:cs="Arial" w:eastAsia="Arial" w:hAnsi="Arial"/>
                <w:sz w:val="22"/>
                <w:szCs w:val="22"/>
                <w:color w:val="auto"/>
              </w:rPr>
              <w:t>Brown,</w:t>
            </w:r>
          </w:p>
        </w:tc>
        <w:tc>
          <w:tcPr>
            <w:tcW w:w="7020" w:type="dxa"/>
            <w:vAlign w:val="bottom"/>
          </w:tcPr>
          <w:p>
            <w:pPr>
              <w:jc w:val="right"/>
              <w:spacing w:after="0"/>
              <w:rPr>
                <w:sz w:val="20"/>
                <w:szCs w:val="20"/>
                <w:color w:val="auto"/>
              </w:rPr>
            </w:pPr>
            <w:r>
              <w:rPr>
                <w:rFonts w:ascii="Arial" w:cs="Arial" w:eastAsia="Arial" w:hAnsi="Arial"/>
                <w:sz w:val="22"/>
                <w:szCs w:val="22"/>
                <w:color w:val="auto"/>
              </w:rPr>
              <w:t>IIIVice president, general counsel and secretary of Kronos Worldwide;</w:t>
            </w:r>
          </w:p>
        </w:tc>
      </w:tr>
      <w:tr>
        <w:trPr>
          <w:trHeight w:val="274"/>
        </w:trPr>
        <w:tc>
          <w:tcPr>
            <w:tcW w:w="16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7020" w:type="dxa"/>
            <w:vAlign w:val="bottom"/>
          </w:tcPr>
          <w:p>
            <w:pPr>
              <w:ind w:left="1100"/>
              <w:spacing w:after="0"/>
              <w:rPr>
                <w:sz w:val="20"/>
                <w:szCs w:val="20"/>
                <w:color w:val="auto"/>
              </w:rPr>
            </w:pPr>
            <w:r>
              <w:rPr>
                <w:rFonts w:ascii="Arial" w:cs="Arial" w:eastAsia="Arial" w:hAnsi="Arial"/>
                <w:sz w:val="22"/>
                <w:szCs w:val="22"/>
                <w:color w:val="auto"/>
              </w:rPr>
              <w:t>and vice president and secretary of NL</w:t>
            </w:r>
          </w:p>
        </w:tc>
      </w:tr>
      <w:tr>
        <w:trPr>
          <w:trHeight w:val="459"/>
        </w:trPr>
        <w:tc>
          <w:tcPr>
            <w:tcW w:w="1660" w:type="dxa"/>
            <w:vAlign w:val="bottom"/>
          </w:tcPr>
          <w:p>
            <w:pPr>
              <w:spacing w:after="0"/>
              <w:rPr>
                <w:sz w:val="20"/>
                <w:szCs w:val="20"/>
                <w:color w:val="auto"/>
              </w:rPr>
            </w:pPr>
            <w:r>
              <w:rPr>
                <w:rFonts w:ascii="Arial" w:cs="Arial" w:eastAsia="Arial" w:hAnsi="Arial"/>
                <w:sz w:val="22"/>
                <w:szCs w:val="22"/>
                <w:color w:val="auto"/>
              </w:rPr>
              <w:t>James Buch</w:t>
            </w:r>
          </w:p>
        </w:tc>
        <w:tc>
          <w:tcPr>
            <w:tcW w:w="6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7020" w:type="dxa"/>
            <w:vAlign w:val="bottom"/>
          </w:tcPr>
          <w:p>
            <w:pPr>
              <w:ind w:left="1100"/>
              <w:spacing w:after="0"/>
              <w:rPr>
                <w:sz w:val="20"/>
                <w:szCs w:val="20"/>
                <w:color w:val="auto"/>
              </w:rPr>
            </w:pPr>
            <w:r>
              <w:rPr>
                <w:rFonts w:ascii="Arial" w:cs="Arial" w:eastAsia="Arial" w:hAnsi="Arial"/>
                <w:sz w:val="22"/>
                <w:szCs w:val="22"/>
                <w:color w:val="auto"/>
              </w:rPr>
              <w:t>Chief operating officer of Kronos Worldwide</w:t>
            </w:r>
          </w:p>
        </w:tc>
      </w:tr>
      <w:tr>
        <w:trPr>
          <w:trHeight w:val="428"/>
        </w:trPr>
        <w:tc>
          <w:tcPr>
            <w:tcW w:w="1660" w:type="dxa"/>
            <w:vAlign w:val="bottom"/>
          </w:tcPr>
          <w:p>
            <w:pPr>
              <w:spacing w:after="0"/>
              <w:rPr>
                <w:sz w:val="20"/>
                <w:szCs w:val="20"/>
                <w:color w:val="auto"/>
              </w:rPr>
            </w:pPr>
            <w:r>
              <w:rPr>
                <w:rFonts w:ascii="Arial" w:cs="Arial" w:eastAsia="Arial" w:hAnsi="Arial"/>
                <w:sz w:val="22"/>
                <w:szCs w:val="22"/>
                <w:color w:val="auto"/>
              </w:rPr>
              <w:t>Brian</w:t>
            </w:r>
          </w:p>
        </w:tc>
        <w:tc>
          <w:tcPr>
            <w:tcW w:w="600" w:type="dxa"/>
            <w:vAlign w:val="bottom"/>
          </w:tcPr>
          <w:p>
            <w:pPr>
              <w:spacing w:after="0"/>
              <w:rPr>
                <w:sz w:val="24"/>
                <w:szCs w:val="24"/>
                <w:color w:val="auto"/>
              </w:rPr>
            </w:pPr>
          </w:p>
        </w:tc>
        <w:tc>
          <w:tcPr>
            <w:tcW w:w="1960" w:type="dxa"/>
            <w:vAlign w:val="bottom"/>
          </w:tcPr>
          <w:p>
            <w:pPr>
              <w:ind w:left="120"/>
              <w:spacing w:after="0"/>
              <w:rPr>
                <w:sz w:val="20"/>
                <w:szCs w:val="20"/>
                <w:color w:val="auto"/>
              </w:rPr>
            </w:pPr>
            <w:r>
              <w:rPr>
                <w:rFonts w:ascii="Arial" w:cs="Arial" w:eastAsia="Arial" w:hAnsi="Arial"/>
                <w:sz w:val="22"/>
                <w:szCs w:val="22"/>
                <w:color w:val="auto"/>
              </w:rPr>
              <w:t>W.</w:t>
            </w:r>
          </w:p>
        </w:tc>
        <w:tc>
          <w:tcPr>
            <w:tcW w:w="7020" w:type="dxa"/>
            <w:vAlign w:val="bottom"/>
          </w:tcPr>
          <w:p>
            <w:pPr>
              <w:jc w:val="right"/>
              <w:spacing w:after="0"/>
              <w:rPr>
                <w:sz w:val="20"/>
                <w:szCs w:val="20"/>
                <w:color w:val="auto"/>
              </w:rPr>
            </w:pPr>
            <w:r>
              <w:rPr>
                <w:rFonts w:ascii="Arial" w:cs="Arial" w:eastAsia="Arial" w:hAnsi="Arial"/>
                <w:sz w:val="22"/>
                <w:szCs w:val="22"/>
                <w:color w:val="auto"/>
              </w:rPr>
              <w:t>ChristianExecutive vice president of Kronos Worldwide; and senior vice</w:t>
            </w:r>
          </w:p>
        </w:tc>
      </w:tr>
      <w:tr>
        <w:trPr>
          <w:trHeight w:val="274"/>
        </w:trPr>
        <w:tc>
          <w:tcPr>
            <w:tcW w:w="16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7020" w:type="dxa"/>
            <w:vAlign w:val="bottom"/>
          </w:tcPr>
          <w:p>
            <w:pPr>
              <w:ind w:left="1100"/>
              <w:spacing w:after="0"/>
              <w:rPr>
                <w:sz w:val="20"/>
                <w:szCs w:val="20"/>
                <w:color w:val="auto"/>
              </w:rPr>
            </w:pPr>
            <w:r>
              <w:rPr>
                <w:rFonts w:ascii="Arial" w:cs="Arial" w:eastAsia="Arial" w:hAnsi="Arial"/>
                <w:sz w:val="22"/>
                <w:szCs w:val="22"/>
                <w:color w:val="auto"/>
              </w:rPr>
              <w:t>president of Contran</w:t>
            </w:r>
          </w:p>
        </w:tc>
      </w:tr>
      <w:tr>
        <w:trPr>
          <w:trHeight w:val="459"/>
        </w:trPr>
        <w:tc>
          <w:tcPr>
            <w:tcW w:w="1660" w:type="dxa"/>
            <w:vAlign w:val="bottom"/>
          </w:tcPr>
          <w:p>
            <w:pPr>
              <w:spacing w:after="0"/>
              <w:rPr>
                <w:sz w:val="20"/>
                <w:szCs w:val="20"/>
                <w:color w:val="auto"/>
              </w:rPr>
            </w:pPr>
            <w:r>
              <w:rPr>
                <w:rFonts w:ascii="Arial" w:cs="Arial" w:eastAsia="Arial" w:hAnsi="Arial"/>
                <w:sz w:val="22"/>
                <w:szCs w:val="22"/>
                <w:color w:val="auto"/>
              </w:rPr>
              <w:t>Benjamin</w:t>
            </w:r>
          </w:p>
        </w:tc>
        <w:tc>
          <w:tcPr>
            <w:tcW w:w="600" w:type="dxa"/>
            <w:vAlign w:val="bottom"/>
          </w:tcPr>
          <w:p>
            <w:pPr>
              <w:spacing w:after="0"/>
              <w:rPr>
                <w:sz w:val="24"/>
                <w:szCs w:val="24"/>
                <w:color w:val="auto"/>
              </w:rPr>
            </w:pPr>
          </w:p>
        </w:tc>
        <w:tc>
          <w:tcPr>
            <w:tcW w:w="1960" w:type="dxa"/>
            <w:vAlign w:val="bottom"/>
          </w:tcPr>
          <w:p>
            <w:pPr>
              <w:ind w:left="400"/>
              <w:spacing w:after="0"/>
              <w:rPr>
                <w:sz w:val="20"/>
                <w:szCs w:val="20"/>
                <w:color w:val="auto"/>
              </w:rPr>
            </w:pPr>
            <w:r>
              <w:rPr>
                <w:rFonts w:ascii="Arial" w:cs="Arial" w:eastAsia="Arial" w:hAnsi="Arial"/>
                <w:sz w:val="22"/>
                <w:szCs w:val="22"/>
                <w:color w:val="auto"/>
              </w:rPr>
              <w:t>R.</w:t>
            </w:r>
          </w:p>
        </w:tc>
        <w:tc>
          <w:tcPr>
            <w:tcW w:w="7020" w:type="dxa"/>
            <w:vAlign w:val="bottom"/>
          </w:tcPr>
          <w:p>
            <w:pPr>
              <w:ind w:left="460"/>
              <w:spacing w:after="0"/>
              <w:rPr>
                <w:sz w:val="20"/>
                <w:szCs w:val="20"/>
                <w:color w:val="auto"/>
              </w:rPr>
            </w:pPr>
            <w:r>
              <w:rPr>
                <w:rFonts w:ascii="Arial" w:cs="Arial" w:eastAsia="Arial" w:hAnsi="Arial"/>
                <w:sz w:val="22"/>
                <w:szCs w:val="22"/>
                <w:color w:val="auto"/>
              </w:rPr>
              <w:t>CoronaPresident, global sales management of Kronos Worldwide</w:t>
            </w:r>
          </w:p>
        </w:tc>
      </w:tr>
      <w:tr>
        <w:trPr>
          <w:trHeight w:val="441"/>
        </w:trPr>
        <w:tc>
          <w:tcPr>
            <w:tcW w:w="1660" w:type="dxa"/>
            <w:vAlign w:val="bottom"/>
          </w:tcPr>
          <w:p>
            <w:pPr>
              <w:spacing w:after="0"/>
              <w:rPr>
                <w:sz w:val="20"/>
                <w:szCs w:val="20"/>
                <w:color w:val="auto"/>
              </w:rPr>
            </w:pPr>
            <w:r>
              <w:rPr>
                <w:rFonts w:ascii="Arial" w:cs="Arial" w:eastAsia="Arial" w:hAnsi="Arial"/>
                <w:sz w:val="22"/>
                <w:szCs w:val="22"/>
                <w:color w:val="auto"/>
              </w:rPr>
              <w:t>Steven S. Eaton</w:t>
            </w:r>
          </w:p>
        </w:tc>
        <w:tc>
          <w:tcPr>
            <w:tcW w:w="6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7020" w:type="dxa"/>
            <w:vAlign w:val="bottom"/>
          </w:tcPr>
          <w:p>
            <w:pPr>
              <w:ind w:left="1100"/>
              <w:spacing w:after="0"/>
              <w:rPr>
                <w:sz w:val="20"/>
                <w:szCs w:val="20"/>
                <w:color w:val="auto"/>
              </w:rPr>
            </w:pPr>
            <w:r>
              <w:rPr>
                <w:rFonts w:ascii="Arial" w:cs="Arial" w:eastAsia="Arial" w:hAnsi="Arial"/>
                <w:sz w:val="22"/>
                <w:szCs w:val="22"/>
                <w:color w:val="auto"/>
                <w:w w:val="92"/>
              </w:rPr>
              <w:t>Vice president, internal control over financial reporting of CompX,</w:t>
            </w:r>
          </w:p>
        </w:tc>
      </w:tr>
      <w:tr>
        <w:trPr>
          <w:trHeight w:val="274"/>
        </w:trPr>
        <w:tc>
          <w:tcPr>
            <w:tcW w:w="16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7020" w:type="dxa"/>
            <w:vAlign w:val="bottom"/>
          </w:tcPr>
          <w:p>
            <w:pPr>
              <w:ind w:left="1100"/>
              <w:spacing w:after="0"/>
              <w:rPr>
                <w:sz w:val="20"/>
                <w:szCs w:val="20"/>
                <w:color w:val="auto"/>
              </w:rPr>
            </w:pPr>
            <w:r>
              <w:rPr>
                <w:rFonts w:ascii="Arial" w:cs="Arial" w:eastAsia="Arial" w:hAnsi="Arial"/>
                <w:sz w:val="22"/>
                <w:szCs w:val="22"/>
                <w:color w:val="auto"/>
              </w:rPr>
              <w:t>Kronos Worldwide, NL and Valhi</w:t>
            </w:r>
          </w:p>
        </w:tc>
      </w:tr>
      <w:tr>
        <w:trPr>
          <w:trHeight w:val="428"/>
        </w:trPr>
        <w:tc>
          <w:tcPr>
            <w:tcW w:w="1660" w:type="dxa"/>
            <w:vAlign w:val="bottom"/>
          </w:tcPr>
          <w:p>
            <w:pPr>
              <w:spacing w:after="0"/>
              <w:rPr>
                <w:sz w:val="20"/>
                <w:szCs w:val="20"/>
                <w:color w:val="auto"/>
              </w:rPr>
            </w:pPr>
            <w:r>
              <w:rPr>
                <w:rFonts w:ascii="Arial" w:cs="Arial" w:eastAsia="Arial" w:hAnsi="Arial"/>
                <w:sz w:val="22"/>
                <w:szCs w:val="22"/>
                <w:color w:val="auto"/>
              </w:rPr>
              <w:t>Loretta</w:t>
            </w:r>
          </w:p>
        </w:tc>
        <w:tc>
          <w:tcPr>
            <w:tcW w:w="600" w:type="dxa"/>
            <w:vAlign w:val="bottom"/>
          </w:tcPr>
          <w:p>
            <w:pPr>
              <w:spacing w:after="0"/>
              <w:rPr>
                <w:sz w:val="24"/>
                <w:szCs w:val="24"/>
                <w:color w:val="auto"/>
              </w:rPr>
            </w:pPr>
          </w:p>
        </w:tc>
        <w:tc>
          <w:tcPr>
            <w:tcW w:w="1960" w:type="dxa"/>
            <w:vAlign w:val="bottom"/>
          </w:tcPr>
          <w:p>
            <w:pPr>
              <w:ind w:left="320"/>
              <w:spacing w:after="0"/>
              <w:rPr>
                <w:sz w:val="20"/>
                <w:szCs w:val="20"/>
                <w:color w:val="auto"/>
              </w:rPr>
            </w:pPr>
            <w:r>
              <w:rPr>
                <w:rFonts w:ascii="Arial" w:cs="Arial" w:eastAsia="Arial" w:hAnsi="Arial"/>
                <w:sz w:val="22"/>
                <w:szCs w:val="22"/>
                <w:color w:val="auto"/>
              </w:rPr>
              <w:t>J.</w:t>
            </w:r>
          </w:p>
        </w:tc>
        <w:tc>
          <w:tcPr>
            <w:tcW w:w="7020" w:type="dxa"/>
            <w:vAlign w:val="bottom"/>
          </w:tcPr>
          <w:p>
            <w:pPr>
              <w:jc w:val="right"/>
              <w:spacing w:after="0"/>
              <w:rPr>
                <w:sz w:val="20"/>
                <w:szCs w:val="20"/>
                <w:color w:val="auto"/>
              </w:rPr>
            </w:pPr>
            <w:r>
              <w:rPr>
                <w:rFonts w:ascii="Arial" w:cs="Arial" w:eastAsia="Arial" w:hAnsi="Arial"/>
                <w:sz w:val="22"/>
                <w:szCs w:val="22"/>
                <w:color w:val="auto"/>
                <w:w w:val="98"/>
              </w:rPr>
              <w:t>FeehanChair of the board (non-executive) of CompX, Kronos Worldwide,</w:t>
            </w:r>
          </w:p>
        </w:tc>
      </w:tr>
      <w:tr>
        <w:trPr>
          <w:trHeight w:val="243"/>
        </w:trPr>
        <w:tc>
          <w:tcPr>
            <w:tcW w:w="16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7020" w:type="dxa"/>
            <w:vAlign w:val="bottom"/>
          </w:tcPr>
          <w:p>
            <w:pPr>
              <w:ind w:left="1100"/>
              <w:spacing w:after="0" w:line="243" w:lineRule="exact"/>
              <w:rPr>
                <w:sz w:val="20"/>
                <w:szCs w:val="20"/>
                <w:color w:val="auto"/>
              </w:rPr>
            </w:pPr>
            <w:r>
              <w:rPr>
                <w:rFonts w:ascii="Arial" w:cs="Arial" w:eastAsia="Arial" w:hAnsi="Arial"/>
                <w:sz w:val="22"/>
                <w:szCs w:val="22"/>
                <w:color w:val="auto"/>
                <w:w w:val="98"/>
              </w:rPr>
              <w:t>NL and Valhi; and certified public accountant who consults on</w:t>
            </w:r>
          </w:p>
        </w:tc>
      </w:tr>
      <w:tr>
        <w:trPr>
          <w:trHeight w:val="274"/>
        </w:trPr>
        <w:tc>
          <w:tcPr>
            <w:tcW w:w="16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7020" w:type="dxa"/>
            <w:vAlign w:val="bottom"/>
          </w:tcPr>
          <w:p>
            <w:pPr>
              <w:ind w:left="1100"/>
              <w:spacing w:after="0"/>
              <w:rPr>
                <w:sz w:val="20"/>
                <w:szCs w:val="20"/>
                <w:color w:val="auto"/>
              </w:rPr>
            </w:pPr>
            <w:r>
              <w:rPr>
                <w:rFonts w:ascii="Arial" w:cs="Arial" w:eastAsia="Arial" w:hAnsi="Arial"/>
                <w:sz w:val="22"/>
                <w:szCs w:val="22"/>
                <w:color w:val="auto"/>
              </w:rPr>
              <w:t>financial and tax matters</w:t>
            </w:r>
          </w:p>
        </w:tc>
      </w:tr>
      <w:tr>
        <w:trPr>
          <w:trHeight w:val="428"/>
        </w:trPr>
        <w:tc>
          <w:tcPr>
            <w:tcW w:w="1660" w:type="dxa"/>
            <w:vAlign w:val="bottom"/>
          </w:tcPr>
          <w:p>
            <w:pPr>
              <w:spacing w:after="0"/>
              <w:rPr>
                <w:sz w:val="20"/>
                <w:szCs w:val="20"/>
                <w:color w:val="auto"/>
              </w:rPr>
            </w:pPr>
            <w:r>
              <w:rPr>
                <w:rFonts w:ascii="Arial" w:cs="Arial" w:eastAsia="Arial" w:hAnsi="Arial"/>
                <w:sz w:val="22"/>
                <w:szCs w:val="22"/>
                <w:color w:val="auto"/>
              </w:rPr>
              <w:t>Robert</w:t>
            </w:r>
          </w:p>
        </w:tc>
        <w:tc>
          <w:tcPr>
            <w:tcW w:w="600" w:type="dxa"/>
            <w:vAlign w:val="bottom"/>
          </w:tcPr>
          <w:p>
            <w:pPr>
              <w:spacing w:after="0"/>
              <w:rPr>
                <w:sz w:val="24"/>
                <w:szCs w:val="24"/>
                <w:color w:val="auto"/>
              </w:rPr>
            </w:pPr>
          </w:p>
        </w:tc>
        <w:tc>
          <w:tcPr>
            <w:tcW w:w="1960" w:type="dxa"/>
            <w:vAlign w:val="bottom"/>
          </w:tcPr>
          <w:p>
            <w:pPr>
              <w:ind w:left="240"/>
              <w:spacing w:after="0"/>
              <w:rPr>
                <w:sz w:val="20"/>
                <w:szCs w:val="20"/>
                <w:color w:val="auto"/>
              </w:rPr>
            </w:pPr>
            <w:r>
              <w:rPr>
                <w:rFonts w:ascii="Arial" w:cs="Arial" w:eastAsia="Arial" w:hAnsi="Arial"/>
                <w:sz w:val="22"/>
                <w:szCs w:val="22"/>
                <w:color w:val="auto"/>
              </w:rPr>
              <w:t>D.</w:t>
            </w:r>
          </w:p>
        </w:tc>
        <w:tc>
          <w:tcPr>
            <w:tcW w:w="7020" w:type="dxa"/>
            <w:vAlign w:val="bottom"/>
          </w:tcPr>
          <w:p>
            <w:pPr>
              <w:jc w:val="right"/>
              <w:spacing w:after="0"/>
              <w:rPr>
                <w:sz w:val="20"/>
                <w:szCs w:val="20"/>
                <w:color w:val="auto"/>
              </w:rPr>
            </w:pPr>
            <w:r>
              <w:rPr>
                <w:rFonts w:ascii="Arial" w:cs="Arial" w:eastAsia="Arial" w:hAnsi="Arial"/>
                <w:sz w:val="22"/>
                <w:szCs w:val="22"/>
                <w:color w:val="auto"/>
                <w:w w:val="97"/>
              </w:rPr>
              <w:t>GrahamVice chairman of the board of CompX; vice chairman of the board</w:t>
            </w:r>
          </w:p>
        </w:tc>
      </w:tr>
      <w:tr>
        <w:trPr>
          <w:trHeight w:val="243"/>
        </w:trPr>
        <w:tc>
          <w:tcPr>
            <w:tcW w:w="16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7020" w:type="dxa"/>
            <w:vAlign w:val="bottom"/>
          </w:tcPr>
          <w:p>
            <w:pPr>
              <w:ind w:left="1100"/>
              <w:spacing w:after="0" w:line="243" w:lineRule="exact"/>
              <w:rPr>
                <w:sz w:val="20"/>
                <w:szCs w:val="20"/>
                <w:color w:val="auto"/>
              </w:rPr>
            </w:pPr>
            <w:r>
              <w:rPr>
                <w:rFonts w:ascii="Arial" w:cs="Arial" w:eastAsia="Arial" w:hAnsi="Arial"/>
                <w:sz w:val="22"/>
                <w:szCs w:val="22"/>
                <w:color w:val="auto"/>
                <w:w w:val="99"/>
              </w:rPr>
              <w:t>and chief executive officer of NL; vice chairman of the board,</w:t>
            </w:r>
          </w:p>
        </w:tc>
      </w:tr>
      <w:tr>
        <w:trPr>
          <w:trHeight w:val="243"/>
        </w:trPr>
        <w:tc>
          <w:tcPr>
            <w:tcW w:w="16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7020" w:type="dxa"/>
            <w:vAlign w:val="bottom"/>
          </w:tcPr>
          <w:p>
            <w:pPr>
              <w:ind w:left="1100"/>
              <w:spacing w:after="0" w:line="243" w:lineRule="exact"/>
              <w:rPr>
                <w:sz w:val="20"/>
                <w:szCs w:val="20"/>
                <w:color w:val="auto"/>
              </w:rPr>
            </w:pPr>
            <w:r>
              <w:rPr>
                <w:rFonts w:ascii="Arial" w:cs="Arial" w:eastAsia="Arial" w:hAnsi="Arial"/>
                <w:sz w:val="22"/>
                <w:szCs w:val="22"/>
                <w:color w:val="auto"/>
                <w:w w:val="97"/>
              </w:rPr>
              <w:t>president and chief executive officer of Kronos Worldwide and</w:t>
            </w:r>
          </w:p>
        </w:tc>
      </w:tr>
      <w:tr>
        <w:trPr>
          <w:trHeight w:val="243"/>
        </w:trPr>
        <w:tc>
          <w:tcPr>
            <w:tcW w:w="16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7020" w:type="dxa"/>
            <w:vAlign w:val="bottom"/>
          </w:tcPr>
          <w:p>
            <w:pPr>
              <w:ind w:left="1100"/>
              <w:spacing w:after="0" w:line="243" w:lineRule="exact"/>
              <w:rPr>
                <w:sz w:val="20"/>
                <w:szCs w:val="20"/>
                <w:color w:val="auto"/>
              </w:rPr>
            </w:pPr>
            <w:r>
              <w:rPr>
                <w:rFonts w:ascii="Arial" w:cs="Arial" w:eastAsia="Arial" w:hAnsi="Arial"/>
                <w:sz w:val="22"/>
                <w:szCs w:val="22"/>
                <w:color w:val="auto"/>
                <w:w w:val="92"/>
              </w:rPr>
              <w:t>Valhi; chairman of the board, president and chief executive officer</w:t>
            </w:r>
          </w:p>
        </w:tc>
      </w:tr>
      <w:tr>
        <w:trPr>
          <w:trHeight w:val="243"/>
        </w:trPr>
        <w:tc>
          <w:tcPr>
            <w:tcW w:w="16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7020" w:type="dxa"/>
            <w:vAlign w:val="bottom"/>
          </w:tcPr>
          <w:p>
            <w:pPr>
              <w:ind w:left="1100"/>
              <w:spacing w:after="0" w:line="243" w:lineRule="exact"/>
              <w:rPr>
                <w:sz w:val="20"/>
                <w:szCs w:val="20"/>
                <w:color w:val="auto"/>
              </w:rPr>
            </w:pPr>
            <w:r>
              <w:rPr>
                <w:rFonts w:ascii="Arial" w:cs="Arial" w:eastAsia="Arial" w:hAnsi="Arial"/>
                <w:sz w:val="22"/>
                <w:szCs w:val="22"/>
                <w:color w:val="auto"/>
                <w:w w:val="92"/>
              </w:rPr>
              <w:t>of Dixie Rice; and director, president and chief executive officer of</w:t>
            </w:r>
          </w:p>
        </w:tc>
      </w:tr>
      <w:tr>
        <w:trPr>
          <w:trHeight w:val="274"/>
        </w:trPr>
        <w:tc>
          <w:tcPr>
            <w:tcW w:w="16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7020" w:type="dxa"/>
            <w:vAlign w:val="bottom"/>
          </w:tcPr>
          <w:p>
            <w:pPr>
              <w:ind w:left="1100"/>
              <w:spacing w:after="0"/>
              <w:rPr>
                <w:sz w:val="20"/>
                <w:szCs w:val="20"/>
                <w:color w:val="auto"/>
              </w:rPr>
            </w:pPr>
            <w:r>
              <w:rPr>
                <w:rFonts w:ascii="Arial" w:cs="Arial" w:eastAsia="Arial" w:hAnsi="Arial"/>
                <w:sz w:val="22"/>
                <w:szCs w:val="22"/>
                <w:color w:val="auto"/>
              </w:rPr>
              <w:t>Contran</w:t>
            </w:r>
          </w:p>
        </w:tc>
      </w:tr>
      <w:tr>
        <w:trPr>
          <w:trHeight w:val="388"/>
        </w:trPr>
        <w:tc>
          <w:tcPr>
            <w:tcW w:w="16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7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41" w:right="33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13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ind w:left="220"/>
              <w:spacing w:after="0"/>
              <w:rPr>
                <w:sz w:val="20"/>
                <w:szCs w:val="20"/>
                <w:color w:val="auto"/>
              </w:rPr>
            </w:pPr>
            <w:r>
              <w:rPr>
                <w:rFonts w:ascii="Arial" w:cs="Arial" w:eastAsia="Arial" w:hAnsi="Arial"/>
                <w:sz w:val="22"/>
                <w:szCs w:val="22"/>
                <w:b w:val="1"/>
                <w:bCs w:val="1"/>
                <w:color w:val="auto"/>
              </w:rPr>
              <w:t>Name</w:t>
            </w:r>
          </w:p>
        </w:tc>
        <w:tc>
          <w:tcPr>
            <w:tcW w:w="7100" w:type="dxa"/>
            <w:vAlign w:val="bottom"/>
            <w:tcBorders>
              <w:bottom w:val="single" w:sz="8" w:color="auto"/>
            </w:tcBorders>
          </w:tcPr>
          <w:p>
            <w:pPr>
              <w:ind w:left="2780"/>
              <w:spacing w:after="0"/>
              <w:rPr>
                <w:sz w:val="20"/>
                <w:szCs w:val="20"/>
                <w:color w:val="auto"/>
              </w:rPr>
            </w:pPr>
            <w:r>
              <w:rPr>
                <w:rFonts w:ascii="Arial" w:cs="Arial" w:eastAsia="Arial" w:hAnsi="Arial"/>
                <w:sz w:val="22"/>
                <w:szCs w:val="22"/>
                <w:b w:val="1"/>
                <w:bCs w:val="1"/>
                <w:color w:val="auto"/>
              </w:rPr>
              <w:t>Present Principal Occupation</w:t>
            </w:r>
          </w:p>
        </w:tc>
      </w:tr>
      <w:tr>
        <w:trPr>
          <w:trHeight w:val="469"/>
        </w:trPr>
        <w:tc>
          <w:tcPr>
            <w:tcW w:w="1360" w:type="dxa"/>
            <w:vAlign w:val="bottom"/>
          </w:tcPr>
          <w:p>
            <w:pPr>
              <w:spacing w:after="0"/>
              <w:rPr>
                <w:sz w:val="20"/>
                <w:szCs w:val="20"/>
                <w:color w:val="auto"/>
              </w:rPr>
            </w:pPr>
            <w:r>
              <w:rPr>
                <w:rFonts w:ascii="Arial" w:cs="Arial" w:eastAsia="Arial" w:hAnsi="Arial"/>
                <w:sz w:val="22"/>
                <w:szCs w:val="22"/>
                <w:color w:val="auto"/>
                <w:w w:val="90"/>
              </w:rPr>
              <w:t>Jane R. Grimm</w:t>
            </w:r>
          </w:p>
        </w:tc>
        <w:tc>
          <w:tcPr>
            <w:tcW w:w="8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7100" w:type="dxa"/>
            <w:vAlign w:val="bottom"/>
          </w:tcPr>
          <w:p>
            <w:pPr>
              <w:ind w:left="1180"/>
              <w:spacing w:after="0"/>
              <w:rPr>
                <w:sz w:val="20"/>
                <w:szCs w:val="20"/>
                <w:color w:val="auto"/>
              </w:rPr>
            </w:pPr>
            <w:r>
              <w:rPr>
                <w:rFonts w:ascii="Arial" w:cs="Arial" w:eastAsia="Arial" w:hAnsi="Arial"/>
                <w:sz w:val="22"/>
                <w:szCs w:val="22"/>
                <w:color w:val="auto"/>
              </w:rPr>
              <w:t>Vice president and secretary of CompX and Valhi</w:t>
            </w:r>
          </w:p>
        </w:tc>
      </w:tr>
      <w:tr>
        <w:trPr>
          <w:trHeight w:val="459"/>
        </w:trPr>
        <w:tc>
          <w:tcPr>
            <w:tcW w:w="1360" w:type="dxa"/>
            <w:vAlign w:val="bottom"/>
          </w:tcPr>
          <w:p>
            <w:pPr>
              <w:spacing w:after="0"/>
              <w:rPr>
                <w:sz w:val="20"/>
                <w:szCs w:val="20"/>
                <w:color w:val="auto"/>
              </w:rPr>
            </w:pPr>
            <w:r>
              <w:rPr>
                <w:rFonts w:ascii="Arial" w:cs="Arial" w:eastAsia="Arial" w:hAnsi="Arial"/>
                <w:sz w:val="22"/>
                <w:szCs w:val="22"/>
                <w:color w:val="auto"/>
              </w:rPr>
              <w:t>Tim C. Hafer</w:t>
            </w:r>
          </w:p>
        </w:tc>
        <w:tc>
          <w:tcPr>
            <w:tcW w:w="8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7100" w:type="dxa"/>
            <w:vAlign w:val="bottom"/>
          </w:tcPr>
          <w:p>
            <w:pPr>
              <w:ind w:left="1180"/>
              <w:spacing w:after="0"/>
              <w:rPr>
                <w:sz w:val="20"/>
                <w:szCs w:val="20"/>
                <w:color w:val="auto"/>
              </w:rPr>
            </w:pPr>
            <w:r>
              <w:rPr>
                <w:rFonts w:ascii="Arial" w:cs="Arial" w:eastAsia="Arial" w:hAnsi="Arial"/>
                <w:sz w:val="22"/>
                <w:szCs w:val="22"/>
                <w:color w:val="auto"/>
              </w:rPr>
              <w:t>Senior vice president and controller of Kronos Worldwide</w:t>
            </w:r>
          </w:p>
        </w:tc>
      </w:tr>
      <w:tr>
        <w:trPr>
          <w:trHeight w:val="428"/>
        </w:trPr>
        <w:tc>
          <w:tcPr>
            <w:tcW w:w="1360" w:type="dxa"/>
            <w:vAlign w:val="bottom"/>
          </w:tcPr>
          <w:p>
            <w:pPr>
              <w:spacing w:after="0"/>
              <w:rPr>
                <w:sz w:val="20"/>
                <w:szCs w:val="20"/>
                <w:color w:val="auto"/>
              </w:rPr>
            </w:pPr>
            <w:r>
              <w:rPr>
                <w:rFonts w:ascii="Arial" w:cs="Arial" w:eastAsia="Arial" w:hAnsi="Arial"/>
                <w:sz w:val="22"/>
                <w:szCs w:val="22"/>
                <w:color w:val="auto"/>
              </w:rPr>
              <w:t>Bryan</w:t>
            </w:r>
          </w:p>
        </w:tc>
        <w:tc>
          <w:tcPr>
            <w:tcW w:w="820" w:type="dxa"/>
            <w:vAlign w:val="bottom"/>
          </w:tcPr>
          <w:p>
            <w:pPr>
              <w:spacing w:after="0"/>
              <w:rPr>
                <w:sz w:val="24"/>
                <w:szCs w:val="24"/>
                <w:color w:val="auto"/>
              </w:rPr>
            </w:pPr>
          </w:p>
        </w:tc>
        <w:tc>
          <w:tcPr>
            <w:tcW w:w="1960" w:type="dxa"/>
            <w:vAlign w:val="bottom"/>
          </w:tcPr>
          <w:p>
            <w:pPr>
              <w:ind w:left="320"/>
              <w:spacing w:after="0"/>
              <w:rPr>
                <w:sz w:val="20"/>
                <w:szCs w:val="20"/>
                <w:color w:val="auto"/>
              </w:rPr>
            </w:pPr>
            <w:r>
              <w:rPr>
                <w:rFonts w:ascii="Arial" w:cs="Arial" w:eastAsia="Arial" w:hAnsi="Arial"/>
                <w:sz w:val="22"/>
                <w:szCs w:val="22"/>
                <w:color w:val="auto"/>
              </w:rPr>
              <w:t>A.</w:t>
            </w:r>
          </w:p>
        </w:tc>
        <w:tc>
          <w:tcPr>
            <w:tcW w:w="7100" w:type="dxa"/>
            <w:vAlign w:val="bottom"/>
          </w:tcPr>
          <w:p>
            <w:pPr>
              <w:jc w:val="right"/>
              <w:spacing w:after="0"/>
              <w:rPr>
                <w:sz w:val="20"/>
                <w:szCs w:val="20"/>
                <w:color w:val="auto"/>
              </w:rPr>
            </w:pPr>
            <w:r>
              <w:rPr>
                <w:rFonts w:ascii="Arial" w:cs="Arial" w:eastAsia="Arial" w:hAnsi="Arial"/>
                <w:sz w:val="22"/>
                <w:szCs w:val="22"/>
                <w:color w:val="auto"/>
              </w:rPr>
              <w:t>HanleyVice president and treasurer of CompX, NL, Kronos Worldwide,</w:t>
            </w:r>
          </w:p>
        </w:tc>
      </w:tr>
      <w:tr>
        <w:trPr>
          <w:trHeight w:val="274"/>
        </w:trPr>
        <w:tc>
          <w:tcPr>
            <w:tcW w:w="1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7100" w:type="dxa"/>
            <w:vAlign w:val="bottom"/>
          </w:tcPr>
          <w:p>
            <w:pPr>
              <w:ind w:left="1180"/>
              <w:spacing w:after="0"/>
              <w:rPr>
                <w:sz w:val="20"/>
                <w:szCs w:val="20"/>
                <w:color w:val="auto"/>
              </w:rPr>
            </w:pPr>
            <w:r>
              <w:rPr>
                <w:rFonts w:ascii="Arial" w:cs="Arial" w:eastAsia="Arial" w:hAnsi="Arial"/>
                <w:sz w:val="22"/>
                <w:szCs w:val="22"/>
                <w:color w:val="auto"/>
              </w:rPr>
              <w:t>Valhi and Contran</w:t>
            </w:r>
          </w:p>
        </w:tc>
      </w:tr>
      <w:tr>
        <w:trPr>
          <w:trHeight w:val="459"/>
        </w:trPr>
        <w:tc>
          <w:tcPr>
            <w:tcW w:w="1360" w:type="dxa"/>
            <w:vAlign w:val="bottom"/>
          </w:tcPr>
          <w:p>
            <w:pPr>
              <w:spacing w:after="0"/>
              <w:rPr>
                <w:sz w:val="20"/>
                <w:szCs w:val="20"/>
                <w:color w:val="auto"/>
              </w:rPr>
            </w:pPr>
            <w:r>
              <w:rPr>
                <w:rFonts w:ascii="Arial" w:cs="Arial" w:eastAsia="Arial" w:hAnsi="Arial"/>
                <w:sz w:val="22"/>
                <w:szCs w:val="22"/>
                <w:color w:val="auto"/>
                <w:w w:val="90"/>
              </w:rPr>
              <w:t>John E. Harper</w:t>
            </w:r>
          </w:p>
        </w:tc>
        <w:tc>
          <w:tcPr>
            <w:tcW w:w="8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7100" w:type="dxa"/>
            <w:vAlign w:val="bottom"/>
          </w:tcPr>
          <w:p>
            <w:pPr>
              <w:ind w:left="1180"/>
              <w:spacing w:after="0"/>
              <w:rPr>
                <w:sz w:val="20"/>
                <w:szCs w:val="20"/>
                <w:color w:val="auto"/>
              </w:rPr>
            </w:pPr>
            <w:r>
              <w:rPr>
                <w:rFonts w:ascii="Arial" w:cs="Arial" w:eastAsia="Arial" w:hAnsi="Arial"/>
                <w:sz w:val="22"/>
                <w:szCs w:val="22"/>
                <w:color w:val="auto"/>
              </w:rPr>
              <w:t>Private investor; and a director of Kronos Worldwide and NL</w:t>
            </w:r>
          </w:p>
        </w:tc>
      </w:tr>
      <w:tr>
        <w:trPr>
          <w:trHeight w:val="459"/>
        </w:trPr>
        <w:tc>
          <w:tcPr>
            <w:tcW w:w="1360" w:type="dxa"/>
            <w:vAlign w:val="bottom"/>
          </w:tcPr>
          <w:p>
            <w:pPr>
              <w:spacing w:after="0"/>
              <w:rPr>
                <w:sz w:val="20"/>
                <w:szCs w:val="20"/>
                <w:color w:val="auto"/>
              </w:rPr>
            </w:pPr>
            <w:r>
              <w:rPr>
                <w:rFonts w:ascii="Arial" w:cs="Arial" w:eastAsia="Arial" w:hAnsi="Arial"/>
                <w:sz w:val="22"/>
                <w:szCs w:val="22"/>
                <w:color w:val="auto"/>
              </w:rPr>
              <w:t>Terri</w:t>
            </w:r>
          </w:p>
        </w:tc>
        <w:tc>
          <w:tcPr>
            <w:tcW w:w="820" w:type="dxa"/>
            <w:vAlign w:val="bottom"/>
          </w:tcPr>
          <w:p>
            <w:pPr>
              <w:spacing w:after="0"/>
              <w:rPr>
                <w:sz w:val="24"/>
                <w:szCs w:val="24"/>
                <w:color w:val="auto"/>
              </w:rPr>
            </w:pPr>
          </w:p>
        </w:tc>
        <w:tc>
          <w:tcPr>
            <w:tcW w:w="1960" w:type="dxa"/>
            <w:vAlign w:val="bottom"/>
          </w:tcPr>
          <w:p>
            <w:pPr>
              <w:ind w:left="120"/>
              <w:spacing w:after="0"/>
              <w:rPr>
                <w:sz w:val="20"/>
                <w:szCs w:val="20"/>
                <w:color w:val="auto"/>
              </w:rPr>
            </w:pPr>
            <w:r>
              <w:rPr>
                <w:rFonts w:ascii="Arial" w:cs="Arial" w:eastAsia="Arial" w:hAnsi="Arial"/>
                <w:sz w:val="22"/>
                <w:szCs w:val="22"/>
                <w:color w:val="auto"/>
              </w:rPr>
              <w:t>L.</w:t>
            </w:r>
          </w:p>
        </w:tc>
        <w:tc>
          <w:tcPr>
            <w:tcW w:w="7100" w:type="dxa"/>
            <w:vAlign w:val="bottom"/>
          </w:tcPr>
          <w:p>
            <w:pPr>
              <w:ind w:left="220"/>
              <w:spacing w:after="0"/>
              <w:rPr>
                <w:sz w:val="20"/>
                <w:szCs w:val="20"/>
                <w:color w:val="auto"/>
              </w:rPr>
            </w:pPr>
            <w:r>
              <w:rPr>
                <w:rFonts w:ascii="Arial" w:cs="Arial" w:eastAsia="Arial" w:hAnsi="Arial"/>
                <w:sz w:val="22"/>
                <w:szCs w:val="22"/>
                <w:color w:val="auto"/>
              </w:rPr>
              <w:t>HerringtonPrivate investor; and a director of CompX and Valhi</w:t>
            </w:r>
          </w:p>
        </w:tc>
      </w:tr>
      <w:tr>
        <w:trPr>
          <w:trHeight w:val="441"/>
        </w:trPr>
        <w:tc>
          <w:tcPr>
            <w:tcW w:w="1360" w:type="dxa"/>
            <w:vAlign w:val="bottom"/>
          </w:tcPr>
          <w:p>
            <w:pPr>
              <w:spacing w:after="0"/>
              <w:rPr>
                <w:sz w:val="20"/>
                <w:szCs w:val="20"/>
                <w:color w:val="auto"/>
              </w:rPr>
            </w:pPr>
            <w:r>
              <w:rPr>
                <w:rFonts w:ascii="Arial" w:cs="Arial" w:eastAsia="Arial" w:hAnsi="Arial"/>
                <w:sz w:val="22"/>
                <w:szCs w:val="22"/>
                <w:color w:val="auto"/>
              </w:rPr>
              <w:t>Janet</w:t>
            </w:r>
          </w:p>
        </w:tc>
        <w:tc>
          <w:tcPr>
            <w:tcW w:w="820" w:type="dxa"/>
            <w:vAlign w:val="bottom"/>
          </w:tcPr>
          <w:p>
            <w:pPr>
              <w:spacing w:after="0"/>
              <w:rPr>
                <w:sz w:val="24"/>
                <w:szCs w:val="24"/>
                <w:color w:val="auto"/>
              </w:rPr>
            </w:pPr>
          </w:p>
        </w:tc>
        <w:tc>
          <w:tcPr>
            <w:tcW w:w="1960" w:type="dxa"/>
            <w:vAlign w:val="bottom"/>
          </w:tcPr>
          <w:p>
            <w:pPr>
              <w:ind w:left="140"/>
              <w:spacing w:after="0"/>
              <w:rPr>
                <w:sz w:val="20"/>
                <w:szCs w:val="20"/>
                <w:color w:val="auto"/>
              </w:rPr>
            </w:pPr>
            <w:r>
              <w:rPr>
                <w:rFonts w:ascii="Arial" w:cs="Arial" w:eastAsia="Arial" w:hAnsi="Arial"/>
                <w:sz w:val="22"/>
                <w:szCs w:val="22"/>
                <w:color w:val="auto"/>
              </w:rPr>
              <w:t>G.</w:t>
            </w:r>
          </w:p>
        </w:tc>
        <w:tc>
          <w:tcPr>
            <w:tcW w:w="7100" w:type="dxa"/>
            <w:vAlign w:val="bottom"/>
          </w:tcPr>
          <w:p>
            <w:pPr>
              <w:jc w:val="right"/>
              <w:spacing w:after="0"/>
              <w:rPr>
                <w:sz w:val="20"/>
                <w:szCs w:val="20"/>
                <w:color w:val="auto"/>
              </w:rPr>
            </w:pPr>
            <w:r>
              <w:rPr>
                <w:rFonts w:ascii="Arial" w:cs="Arial" w:eastAsia="Arial" w:hAnsi="Arial"/>
                <w:sz w:val="22"/>
                <w:szCs w:val="22"/>
                <w:color w:val="auto"/>
                <w:w w:val="94"/>
              </w:rPr>
              <w:t>KeckeisenVice president, corporate strategy and investor relations of Kronos</w:t>
            </w:r>
          </w:p>
        </w:tc>
      </w:tr>
      <w:tr>
        <w:trPr>
          <w:trHeight w:val="274"/>
        </w:trPr>
        <w:tc>
          <w:tcPr>
            <w:tcW w:w="1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7100" w:type="dxa"/>
            <w:vAlign w:val="bottom"/>
          </w:tcPr>
          <w:p>
            <w:pPr>
              <w:ind w:left="1180"/>
              <w:spacing w:after="0"/>
              <w:rPr>
                <w:sz w:val="20"/>
                <w:szCs w:val="20"/>
                <w:color w:val="auto"/>
              </w:rPr>
            </w:pPr>
            <w:r>
              <w:rPr>
                <w:rFonts w:ascii="Arial" w:cs="Arial" w:eastAsia="Arial" w:hAnsi="Arial"/>
                <w:sz w:val="22"/>
                <w:szCs w:val="22"/>
                <w:color w:val="auto"/>
              </w:rPr>
              <w:t>Worldwide and Valhi</w:t>
            </w:r>
          </w:p>
        </w:tc>
      </w:tr>
      <w:tr>
        <w:trPr>
          <w:trHeight w:val="428"/>
        </w:trPr>
        <w:tc>
          <w:tcPr>
            <w:tcW w:w="1360" w:type="dxa"/>
            <w:vAlign w:val="bottom"/>
          </w:tcPr>
          <w:p>
            <w:pPr>
              <w:spacing w:after="0"/>
              <w:rPr>
                <w:sz w:val="20"/>
                <w:szCs w:val="20"/>
                <w:color w:val="auto"/>
              </w:rPr>
            </w:pPr>
            <w:r>
              <w:rPr>
                <w:rFonts w:ascii="Arial" w:cs="Arial" w:eastAsia="Arial" w:hAnsi="Arial"/>
                <w:sz w:val="22"/>
                <w:szCs w:val="22"/>
                <w:color w:val="auto"/>
              </w:rPr>
              <w:t>Patricia</w:t>
            </w:r>
          </w:p>
        </w:tc>
        <w:tc>
          <w:tcPr>
            <w:tcW w:w="820" w:type="dxa"/>
            <w:vAlign w:val="bottom"/>
          </w:tcPr>
          <w:p>
            <w:pPr>
              <w:spacing w:after="0"/>
              <w:rPr>
                <w:sz w:val="24"/>
                <w:szCs w:val="24"/>
                <w:color w:val="auto"/>
              </w:rPr>
            </w:pPr>
          </w:p>
        </w:tc>
        <w:tc>
          <w:tcPr>
            <w:tcW w:w="1960" w:type="dxa"/>
            <w:vAlign w:val="bottom"/>
          </w:tcPr>
          <w:p>
            <w:pPr>
              <w:ind w:left="420"/>
              <w:spacing w:after="0"/>
              <w:rPr>
                <w:sz w:val="20"/>
                <w:szCs w:val="20"/>
                <w:color w:val="auto"/>
              </w:rPr>
            </w:pPr>
            <w:r>
              <w:rPr>
                <w:rFonts w:ascii="Arial" w:cs="Arial" w:eastAsia="Arial" w:hAnsi="Arial"/>
                <w:sz w:val="22"/>
                <w:szCs w:val="22"/>
                <w:color w:val="auto"/>
              </w:rPr>
              <w:t>A.</w:t>
            </w:r>
          </w:p>
        </w:tc>
        <w:tc>
          <w:tcPr>
            <w:tcW w:w="7100" w:type="dxa"/>
            <w:vAlign w:val="bottom"/>
          </w:tcPr>
          <w:p>
            <w:pPr>
              <w:jc w:val="right"/>
              <w:spacing w:after="0"/>
              <w:rPr>
                <w:sz w:val="20"/>
                <w:szCs w:val="20"/>
                <w:color w:val="auto"/>
              </w:rPr>
            </w:pPr>
            <w:r>
              <w:rPr>
                <w:rFonts w:ascii="Arial" w:cs="Arial" w:eastAsia="Arial" w:hAnsi="Arial"/>
                <w:sz w:val="22"/>
                <w:szCs w:val="22"/>
                <w:color w:val="auto"/>
              </w:rPr>
              <w:t>KroppVice president, global human resources of Kronos Worldwide; vice</w:t>
            </w:r>
          </w:p>
        </w:tc>
      </w:tr>
      <w:tr>
        <w:trPr>
          <w:trHeight w:val="243"/>
        </w:trPr>
        <w:tc>
          <w:tcPr>
            <w:tcW w:w="1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7100" w:type="dxa"/>
            <w:vAlign w:val="bottom"/>
          </w:tcPr>
          <w:p>
            <w:pPr>
              <w:ind w:left="1180"/>
              <w:spacing w:after="0" w:line="243" w:lineRule="exact"/>
              <w:rPr>
                <w:sz w:val="20"/>
                <w:szCs w:val="20"/>
                <w:color w:val="auto"/>
              </w:rPr>
            </w:pPr>
            <w:r>
              <w:rPr>
                <w:rFonts w:ascii="Arial" w:cs="Arial" w:eastAsia="Arial" w:hAnsi="Arial"/>
                <w:sz w:val="22"/>
                <w:szCs w:val="22"/>
                <w:color w:val="auto"/>
                <w:w w:val="96"/>
              </w:rPr>
              <w:t>president, employee benefits of NL; and vice president, human</w:t>
            </w:r>
          </w:p>
        </w:tc>
      </w:tr>
      <w:tr>
        <w:trPr>
          <w:trHeight w:val="274"/>
        </w:trPr>
        <w:tc>
          <w:tcPr>
            <w:tcW w:w="1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7100" w:type="dxa"/>
            <w:vAlign w:val="bottom"/>
          </w:tcPr>
          <w:p>
            <w:pPr>
              <w:ind w:left="1180"/>
              <w:spacing w:after="0"/>
              <w:rPr>
                <w:sz w:val="20"/>
                <w:szCs w:val="20"/>
                <w:color w:val="auto"/>
              </w:rPr>
            </w:pPr>
            <w:r>
              <w:rPr>
                <w:rFonts w:ascii="Arial" w:cs="Arial" w:eastAsia="Arial" w:hAnsi="Arial"/>
                <w:sz w:val="22"/>
                <w:szCs w:val="22"/>
                <w:color w:val="auto"/>
              </w:rPr>
              <w:t>resources of Contran</w:t>
            </w:r>
          </w:p>
        </w:tc>
      </w:tr>
      <w:tr>
        <w:trPr>
          <w:trHeight w:val="428"/>
        </w:trPr>
        <w:tc>
          <w:tcPr>
            <w:tcW w:w="1360" w:type="dxa"/>
            <w:vAlign w:val="bottom"/>
          </w:tcPr>
          <w:p>
            <w:pPr>
              <w:spacing w:after="0"/>
              <w:rPr>
                <w:sz w:val="20"/>
                <w:szCs w:val="20"/>
                <w:color w:val="auto"/>
              </w:rPr>
            </w:pPr>
            <w:r>
              <w:rPr>
                <w:rFonts w:ascii="Arial" w:cs="Arial" w:eastAsia="Arial" w:hAnsi="Arial"/>
                <w:sz w:val="22"/>
                <w:szCs w:val="22"/>
                <w:color w:val="auto"/>
              </w:rPr>
              <w:t>Kelly</w:t>
            </w:r>
          </w:p>
        </w:tc>
        <w:tc>
          <w:tcPr>
            <w:tcW w:w="820" w:type="dxa"/>
            <w:vAlign w:val="bottom"/>
          </w:tcPr>
          <w:p>
            <w:pPr>
              <w:spacing w:after="0"/>
              <w:rPr>
                <w:sz w:val="24"/>
                <w:szCs w:val="24"/>
                <w:color w:val="auto"/>
              </w:rPr>
            </w:pPr>
          </w:p>
        </w:tc>
        <w:tc>
          <w:tcPr>
            <w:tcW w:w="1960" w:type="dxa"/>
            <w:vAlign w:val="bottom"/>
          </w:tcPr>
          <w:p>
            <w:pPr>
              <w:ind w:left="260"/>
              <w:spacing w:after="0"/>
              <w:rPr>
                <w:sz w:val="20"/>
                <w:szCs w:val="20"/>
                <w:color w:val="auto"/>
              </w:rPr>
            </w:pPr>
            <w:r>
              <w:rPr>
                <w:rFonts w:ascii="Arial" w:cs="Arial" w:eastAsia="Arial" w:hAnsi="Arial"/>
                <w:sz w:val="22"/>
                <w:szCs w:val="22"/>
                <w:color w:val="auto"/>
              </w:rPr>
              <w:t>D.</w:t>
            </w:r>
          </w:p>
        </w:tc>
        <w:tc>
          <w:tcPr>
            <w:tcW w:w="7100" w:type="dxa"/>
            <w:vAlign w:val="bottom"/>
          </w:tcPr>
          <w:p>
            <w:pPr>
              <w:jc w:val="right"/>
              <w:spacing w:after="0"/>
              <w:rPr>
                <w:sz w:val="20"/>
                <w:szCs w:val="20"/>
                <w:color w:val="auto"/>
              </w:rPr>
            </w:pPr>
            <w:r>
              <w:rPr>
                <w:rFonts w:ascii="Arial" w:cs="Arial" w:eastAsia="Arial" w:hAnsi="Arial"/>
                <w:sz w:val="22"/>
                <w:szCs w:val="22"/>
                <w:color w:val="auto"/>
              </w:rPr>
              <w:t>LuttmerExecutive vice president and chief tax officer of CompX, Kronos</w:t>
            </w:r>
          </w:p>
        </w:tc>
      </w:tr>
      <w:tr>
        <w:trPr>
          <w:trHeight w:val="274"/>
        </w:trPr>
        <w:tc>
          <w:tcPr>
            <w:tcW w:w="1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7100" w:type="dxa"/>
            <w:vAlign w:val="bottom"/>
          </w:tcPr>
          <w:p>
            <w:pPr>
              <w:ind w:left="1180"/>
              <w:spacing w:after="0"/>
              <w:rPr>
                <w:sz w:val="20"/>
                <w:szCs w:val="20"/>
                <w:color w:val="auto"/>
              </w:rPr>
            </w:pPr>
            <w:r>
              <w:rPr>
                <w:rFonts w:ascii="Arial" w:cs="Arial" w:eastAsia="Arial" w:hAnsi="Arial"/>
                <w:sz w:val="22"/>
                <w:szCs w:val="22"/>
                <w:color w:val="auto"/>
              </w:rPr>
              <w:t>Worldwide, NL, Valhi, Dixie Rice and Contran</w:t>
            </w:r>
          </w:p>
        </w:tc>
      </w:tr>
      <w:tr>
        <w:trPr>
          <w:trHeight w:val="459"/>
        </w:trPr>
        <w:tc>
          <w:tcPr>
            <w:tcW w:w="1360" w:type="dxa"/>
            <w:vAlign w:val="bottom"/>
          </w:tcPr>
          <w:p>
            <w:pPr>
              <w:spacing w:after="0"/>
              <w:rPr>
                <w:sz w:val="20"/>
                <w:szCs w:val="20"/>
                <w:color w:val="auto"/>
              </w:rPr>
            </w:pPr>
            <w:r>
              <w:rPr>
                <w:rFonts w:ascii="Arial" w:cs="Arial" w:eastAsia="Arial" w:hAnsi="Arial"/>
                <w:sz w:val="22"/>
                <w:szCs w:val="22"/>
                <w:color w:val="auto"/>
              </w:rPr>
              <w:t>W.</w:t>
            </w:r>
          </w:p>
        </w:tc>
        <w:tc>
          <w:tcPr>
            <w:tcW w:w="820" w:type="dxa"/>
            <w:vAlign w:val="bottom"/>
          </w:tcPr>
          <w:p>
            <w:pPr>
              <w:ind w:left="20"/>
              <w:spacing w:after="0"/>
              <w:rPr>
                <w:sz w:val="20"/>
                <w:szCs w:val="20"/>
                <w:color w:val="auto"/>
              </w:rPr>
            </w:pPr>
            <w:r>
              <w:rPr>
                <w:rFonts w:ascii="Arial" w:cs="Arial" w:eastAsia="Arial" w:hAnsi="Arial"/>
                <w:sz w:val="22"/>
                <w:szCs w:val="22"/>
                <w:color w:val="auto"/>
              </w:rPr>
              <w:t>Hayden</w:t>
            </w:r>
          </w:p>
        </w:tc>
        <w:tc>
          <w:tcPr>
            <w:tcW w:w="1960" w:type="dxa"/>
            <w:vAlign w:val="bottom"/>
          </w:tcPr>
          <w:p>
            <w:pPr>
              <w:ind w:left="1020"/>
              <w:spacing w:after="0"/>
              <w:rPr>
                <w:sz w:val="20"/>
                <w:szCs w:val="20"/>
                <w:color w:val="auto"/>
              </w:rPr>
            </w:pPr>
            <w:r>
              <w:rPr>
                <w:rFonts w:ascii="Arial" w:cs="Arial" w:eastAsia="Arial" w:hAnsi="Arial"/>
                <w:sz w:val="22"/>
                <w:szCs w:val="22"/>
                <w:color w:val="auto"/>
              </w:rPr>
              <w:t>McIlroy</w:t>
            </w:r>
          </w:p>
        </w:tc>
        <w:tc>
          <w:tcPr>
            <w:tcW w:w="7100" w:type="dxa"/>
            <w:vAlign w:val="bottom"/>
          </w:tcPr>
          <w:p>
            <w:pPr>
              <w:ind w:left="920"/>
              <w:spacing w:after="0"/>
              <w:rPr>
                <w:sz w:val="20"/>
                <w:szCs w:val="20"/>
                <w:color w:val="auto"/>
              </w:rPr>
            </w:pPr>
            <w:r>
              <w:rPr>
                <w:rFonts w:ascii="Arial" w:cs="Arial" w:eastAsia="Arial" w:hAnsi="Arial"/>
                <w:sz w:val="22"/>
                <w:szCs w:val="22"/>
                <w:color w:val="auto"/>
                <w:w w:val="98"/>
              </w:rPr>
              <w:t>(1)Private investor primarily in real estate; and a director of Valhi</w:t>
            </w:r>
          </w:p>
        </w:tc>
      </w:tr>
      <w:tr>
        <w:trPr>
          <w:trHeight w:val="441"/>
        </w:trPr>
        <w:tc>
          <w:tcPr>
            <w:tcW w:w="1360" w:type="dxa"/>
            <w:vAlign w:val="bottom"/>
          </w:tcPr>
          <w:p>
            <w:pPr>
              <w:spacing w:after="0"/>
              <w:rPr>
                <w:sz w:val="20"/>
                <w:szCs w:val="20"/>
                <w:color w:val="auto"/>
              </w:rPr>
            </w:pPr>
            <w:r>
              <w:rPr>
                <w:rFonts w:ascii="Arial" w:cs="Arial" w:eastAsia="Arial" w:hAnsi="Arial"/>
                <w:sz w:val="22"/>
                <w:szCs w:val="22"/>
                <w:color w:val="auto"/>
              </w:rPr>
              <w:t>Meredith</w:t>
            </w:r>
          </w:p>
        </w:tc>
        <w:tc>
          <w:tcPr>
            <w:tcW w:w="820" w:type="dxa"/>
            <w:vAlign w:val="bottom"/>
          </w:tcPr>
          <w:p>
            <w:pPr>
              <w:spacing w:after="0"/>
              <w:rPr>
                <w:sz w:val="24"/>
                <w:szCs w:val="24"/>
                <w:color w:val="auto"/>
              </w:rPr>
            </w:pPr>
          </w:p>
        </w:tc>
        <w:tc>
          <w:tcPr>
            <w:tcW w:w="1960" w:type="dxa"/>
            <w:vAlign w:val="bottom"/>
          </w:tcPr>
          <w:p>
            <w:pPr>
              <w:ind w:left="420"/>
              <w:spacing w:after="0"/>
              <w:rPr>
                <w:sz w:val="20"/>
                <w:szCs w:val="20"/>
                <w:color w:val="auto"/>
              </w:rPr>
            </w:pPr>
            <w:r>
              <w:rPr>
                <w:rFonts w:ascii="Arial" w:cs="Arial" w:eastAsia="Arial" w:hAnsi="Arial"/>
                <w:sz w:val="22"/>
                <w:szCs w:val="22"/>
                <w:color w:val="auto"/>
              </w:rPr>
              <w:t>W.</w:t>
            </w:r>
          </w:p>
        </w:tc>
        <w:tc>
          <w:tcPr>
            <w:tcW w:w="7100" w:type="dxa"/>
            <w:vAlign w:val="bottom"/>
          </w:tcPr>
          <w:p>
            <w:pPr>
              <w:jc w:val="right"/>
              <w:spacing w:after="0"/>
              <w:rPr>
                <w:sz w:val="20"/>
                <w:szCs w:val="20"/>
                <w:color w:val="auto"/>
              </w:rPr>
            </w:pPr>
            <w:r>
              <w:rPr>
                <w:rFonts w:ascii="Arial" w:cs="Arial" w:eastAsia="Arial" w:hAnsi="Arial"/>
                <w:sz w:val="22"/>
                <w:szCs w:val="22"/>
                <w:color w:val="auto"/>
              </w:rPr>
              <w:t>MendesExecutive director and chief operating officer of Jenner &amp; Block</w:t>
            </w:r>
          </w:p>
        </w:tc>
      </w:tr>
      <w:tr>
        <w:trPr>
          <w:trHeight w:val="274"/>
        </w:trPr>
        <w:tc>
          <w:tcPr>
            <w:tcW w:w="1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7100" w:type="dxa"/>
            <w:vAlign w:val="bottom"/>
          </w:tcPr>
          <w:p>
            <w:pPr>
              <w:ind w:left="1180"/>
              <w:spacing w:after="0"/>
              <w:rPr>
                <w:sz w:val="20"/>
                <w:szCs w:val="20"/>
                <w:color w:val="auto"/>
              </w:rPr>
            </w:pPr>
            <w:r>
              <w:rPr>
                <w:rFonts w:ascii="Arial" w:cs="Arial" w:eastAsia="Arial" w:hAnsi="Arial"/>
                <w:sz w:val="22"/>
                <w:szCs w:val="22"/>
                <w:color w:val="auto"/>
              </w:rPr>
              <w:t>LLP; and a director of Kronos Worldwide and NL</w:t>
            </w:r>
          </w:p>
        </w:tc>
      </w:tr>
      <w:tr>
        <w:trPr>
          <w:trHeight w:val="459"/>
        </w:trPr>
        <w:tc>
          <w:tcPr>
            <w:tcW w:w="1360" w:type="dxa"/>
            <w:vAlign w:val="bottom"/>
          </w:tcPr>
          <w:p>
            <w:pPr>
              <w:spacing w:after="0"/>
              <w:rPr>
                <w:sz w:val="20"/>
                <w:szCs w:val="20"/>
                <w:color w:val="auto"/>
              </w:rPr>
            </w:pPr>
            <w:r>
              <w:rPr>
                <w:rFonts w:ascii="Arial" w:cs="Arial" w:eastAsia="Arial" w:hAnsi="Arial"/>
                <w:sz w:val="22"/>
                <w:szCs w:val="22"/>
                <w:color w:val="auto"/>
              </w:rPr>
              <w:t>Cecil</w:t>
            </w:r>
          </w:p>
        </w:tc>
        <w:tc>
          <w:tcPr>
            <w:tcW w:w="820" w:type="dxa"/>
            <w:vAlign w:val="bottom"/>
          </w:tcPr>
          <w:p>
            <w:pPr>
              <w:ind w:left="380"/>
              <w:spacing w:after="0"/>
              <w:rPr>
                <w:sz w:val="20"/>
                <w:szCs w:val="20"/>
                <w:color w:val="auto"/>
              </w:rPr>
            </w:pPr>
            <w:r>
              <w:rPr>
                <w:rFonts w:ascii="Arial" w:cs="Arial" w:eastAsia="Arial" w:hAnsi="Arial"/>
                <w:sz w:val="22"/>
                <w:szCs w:val="22"/>
                <w:color w:val="auto"/>
              </w:rPr>
              <w:t>H.</w:t>
            </w:r>
          </w:p>
        </w:tc>
        <w:tc>
          <w:tcPr>
            <w:tcW w:w="1960" w:type="dxa"/>
            <w:vAlign w:val="bottom"/>
          </w:tcPr>
          <w:p>
            <w:pPr>
              <w:ind w:left="1040"/>
              <w:spacing w:after="0"/>
              <w:rPr>
                <w:sz w:val="20"/>
                <w:szCs w:val="20"/>
                <w:color w:val="auto"/>
              </w:rPr>
            </w:pPr>
            <w:r>
              <w:rPr>
                <w:rFonts w:ascii="Arial" w:cs="Arial" w:eastAsia="Arial" w:hAnsi="Arial"/>
                <w:sz w:val="22"/>
                <w:szCs w:val="22"/>
                <w:color w:val="auto"/>
              </w:rPr>
              <w:t>Moore,</w:t>
            </w:r>
          </w:p>
        </w:tc>
        <w:tc>
          <w:tcPr>
            <w:tcW w:w="7100" w:type="dxa"/>
            <w:vAlign w:val="bottom"/>
          </w:tcPr>
          <w:p>
            <w:pPr>
              <w:ind w:left="980"/>
              <w:spacing w:after="0"/>
              <w:rPr>
                <w:sz w:val="20"/>
                <w:szCs w:val="20"/>
                <w:color w:val="auto"/>
              </w:rPr>
            </w:pPr>
            <w:r>
              <w:rPr>
                <w:rFonts w:ascii="Arial" w:cs="Arial" w:eastAsia="Arial" w:hAnsi="Arial"/>
                <w:sz w:val="22"/>
                <w:szCs w:val="22"/>
                <w:color w:val="auto"/>
              </w:rPr>
              <w:t>Jr.Private investor; and a director of Kronos Worldwide and NL</w:t>
            </w:r>
          </w:p>
        </w:tc>
      </w:tr>
      <w:tr>
        <w:trPr>
          <w:trHeight w:val="441"/>
        </w:trPr>
        <w:tc>
          <w:tcPr>
            <w:tcW w:w="1360" w:type="dxa"/>
            <w:vAlign w:val="bottom"/>
          </w:tcPr>
          <w:p>
            <w:pPr>
              <w:spacing w:after="0"/>
              <w:rPr>
                <w:sz w:val="20"/>
                <w:szCs w:val="20"/>
                <w:color w:val="auto"/>
              </w:rPr>
            </w:pPr>
            <w:r>
              <w:rPr>
                <w:rFonts w:ascii="Arial" w:cs="Arial" w:eastAsia="Arial" w:hAnsi="Arial"/>
                <w:sz w:val="22"/>
                <w:szCs w:val="22"/>
                <w:color w:val="auto"/>
              </w:rPr>
              <w:t>Andrew</w:t>
            </w:r>
          </w:p>
        </w:tc>
        <w:tc>
          <w:tcPr>
            <w:tcW w:w="820" w:type="dxa"/>
            <w:vAlign w:val="bottom"/>
          </w:tcPr>
          <w:p>
            <w:pPr>
              <w:spacing w:after="0"/>
              <w:rPr>
                <w:sz w:val="24"/>
                <w:szCs w:val="24"/>
                <w:color w:val="auto"/>
              </w:rPr>
            </w:pPr>
          </w:p>
        </w:tc>
        <w:tc>
          <w:tcPr>
            <w:tcW w:w="1960" w:type="dxa"/>
            <w:vAlign w:val="bottom"/>
          </w:tcPr>
          <w:p>
            <w:pPr>
              <w:ind w:left="500"/>
              <w:spacing w:after="0"/>
              <w:rPr>
                <w:sz w:val="20"/>
                <w:szCs w:val="20"/>
                <w:color w:val="auto"/>
              </w:rPr>
            </w:pPr>
            <w:r>
              <w:rPr>
                <w:rFonts w:ascii="Arial" w:cs="Arial" w:eastAsia="Arial" w:hAnsi="Arial"/>
                <w:sz w:val="22"/>
                <w:szCs w:val="22"/>
                <w:color w:val="auto"/>
              </w:rPr>
              <w:t>B.</w:t>
            </w:r>
          </w:p>
        </w:tc>
        <w:tc>
          <w:tcPr>
            <w:tcW w:w="7100" w:type="dxa"/>
            <w:vAlign w:val="bottom"/>
          </w:tcPr>
          <w:p>
            <w:pPr>
              <w:jc w:val="right"/>
              <w:spacing w:after="0"/>
              <w:rPr>
                <w:sz w:val="20"/>
                <w:szCs w:val="20"/>
                <w:color w:val="auto"/>
              </w:rPr>
            </w:pPr>
            <w:r>
              <w:rPr>
                <w:rFonts w:ascii="Arial" w:cs="Arial" w:eastAsia="Arial" w:hAnsi="Arial"/>
                <w:sz w:val="22"/>
                <w:szCs w:val="22"/>
                <w:color w:val="auto"/>
              </w:rPr>
              <w:t>NaceExecutive vice president of CompX, Kronos Worldwide and NL;</w:t>
            </w:r>
          </w:p>
        </w:tc>
      </w:tr>
      <w:tr>
        <w:trPr>
          <w:trHeight w:val="243"/>
        </w:trPr>
        <w:tc>
          <w:tcPr>
            <w:tcW w:w="1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7100" w:type="dxa"/>
            <w:vAlign w:val="bottom"/>
          </w:tcPr>
          <w:p>
            <w:pPr>
              <w:ind w:left="1180"/>
              <w:spacing w:after="0" w:line="243" w:lineRule="exact"/>
              <w:rPr>
                <w:sz w:val="20"/>
                <w:szCs w:val="20"/>
                <w:color w:val="auto"/>
              </w:rPr>
            </w:pPr>
            <w:r>
              <w:rPr>
                <w:rFonts w:ascii="Arial" w:cs="Arial" w:eastAsia="Arial" w:hAnsi="Arial"/>
                <w:sz w:val="22"/>
                <w:szCs w:val="22"/>
                <w:color w:val="auto"/>
                <w:w w:val="88"/>
              </w:rPr>
              <w:t>executive vice president, general counsel and secretary of Valhi; and</w:t>
            </w:r>
          </w:p>
        </w:tc>
      </w:tr>
      <w:tr>
        <w:trPr>
          <w:trHeight w:val="243"/>
        </w:trPr>
        <w:tc>
          <w:tcPr>
            <w:tcW w:w="1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7100" w:type="dxa"/>
            <w:vAlign w:val="bottom"/>
          </w:tcPr>
          <w:p>
            <w:pPr>
              <w:ind w:left="1180"/>
              <w:spacing w:after="0" w:line="243" w:lineRule="exact"/>
              <w:rPr>
                <w:sz w:val="20"/>
                <w:szCs w:val="20"/>
                <w:color w:val="auto"/>
              </w:rPr>
            </w:pPr>
            <w:r>
              <w:rPr>
                <w:rFonts w:ascii="Arial" w:cs="Arial" w:eastAsia="Arial" w:hAnsi="Arial"/>
                <w:sz w:val="22"/>
                <w:szCs w:val="22"/>
                <w:color w:val="auto"/>
                <w:w w:val="94"/>
              </w:rPr>
              <w:t>executive vice president, general counsel and secretary of Dixie</w:t>
            </w:r>
          </w:p>
        </w:tc>
      </w:tr>
      <w:tr>
        <w:trPr>
          <w:trHeight w:val="274"/>
        </w:trPr>
        <w:tc>
          <w:tcPr>
            <w:tcW w:w="1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7100" w:type="dxa"/>
            <w:vAlign w:val="bottom"/>
          </w:tcPr>
          <w:p>
            <w:pPr>
              <w:ind w:left="1180"/>
              <w:spacing w:after="0"/>
              <w:rPr>
                <w:sz w:val="20"/>
                <w:szCs w:val="20"/>
                <w:color w:val="auto"/>
              </w:rPr>
            </w:pPr>
            <w:r>
              <w:rPr>
                <w:rFonts w:ascii="Arial" w:cs="Arial" w:eastAsia="Arial" w:hAnsi="Arial"/>
                <w:sz w:val="22"/>
                <w:szCs w:val="22"/>
                <w:color w:val="auto"/>
              </w:rPr>
              <w:t>Rice and Contran</w:t>
            </w:r>
          </w:p>
        </w:tc>
      </w:tr>
      <w:tr>
        <w:trPr>
          <w:trHeight w:val="388"/>
        </w:trPr>
        <w:tc>
          <w:tcPr>
            <w:tcW w:w="13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7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55" w:right="339" w:bottom="144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1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jc w:val="right"/>
              <w:ind w:right="1112"/>
              <w:spacing w:after="0"/>
              <w:rPr>
                <w:sz w:val="20"/>
                <w:szCs w:val="20"/>
                <w:color w:val="auto"/>
              </w:rPr>
            </w:pPr>
            <w:r>
              <w:rPr>
                <w:rFonts w:ascii="Arial" w:cs="Arial" w:eastAsia="Arial" w:hAnsi="Arial"/>
                <w:sz w:val="22"/>
                <w:szCs w:val="22"/>
                <w:b w:val="1"/>
                <w:bCs w:val="1"/>
                <w:color w:val="auto"/>
              </w:rPr>
              <w:t>Name</w:t>
            </w:r>
          </w:p>
        </w:tc>
        <w:tc>
          <w:tcPr>
            <w:tcW w:w="7080" w:type="dxa"/>
            <w:vAlign w:val="bottom"/>
            <w:tcBorders>
              <w:bottom w:val="single" w:sz="8" w:color="auto"/>
            </w:tcBorders>
          </w:tcPr>
          <w:p>
            <w:pPr>
              <w:ind w:left="2760"/>
              <w:spacing w:after="0"/>
              <w:rPr>
                <w:sz w:val="20"/>
                <w:szCs w:val="20"/>
                <w:color w:val="auto"/>
              </w:rPr>
            </w:pPr>
            <w:r>
              <w:rPr>
                <w:rFonts w:ascii="Arial" w:cs="Arial" w:eastAsia="Arial" w:hAnsi="Arial"/>
                <w:sz w:val="22"/>
                <w:szCs w:val="22"/>
                <w:b w:val="1"/>
                <w:bCs w:val="1"/>
                <w:color w:val="auto"/>
              </w:rPr>
              <w:t>Present Principal Occupation</w:t>
            </w:r>
          </w:p>
        </w:tc>
      </w:tr>
      <w:tr>
        <w:trPr>
          <w:trHeight w:val="469"/>
        </w:trPr>
        <w:tc>
          <w:tcPr>
            <w:tcW w:w="1360" w:type="dxa"/>
            <w:vAlign w:val="bottom"/>
          </w:tcPr>
          <w:p>
            <w:pPr>
              <w:spacing w:after="0"/>
              <w:rPr>
                <w:sz w:val="20"/>
                <w:szCs w:val="20"/>
                <w:color w:val="auto"/>
              </w:rPr>
            </w:pPr>
            <w:r>
              <w:rPr>
                <w:rFonts w:ascii="Arial" w:cs="Arial" w:eastAsia="Arial" w:hAnsi="Arial"/>
                <w:sz w:val="22"/>
                <w:szCs w:val="22"/>
                <w:color w:val="auto"/>
              </w:rPr>
              <w:t>John</w:t>
            </w:r>
          </w:p>
        </w:tc>
        <w:tc>
          <w:tcPr>
            <w:tcW w:w="740" w:type="dxa"/>
            <w:vAlign w:val="bottom"/>
          </w:tcPr>
          <w:p>
            <w:pPr>
              <w:ind w:left="320"/>
              <w:spacing w:after="0"/>
              <w:rPr>
                <w:sz w:val="20"/>
                <w:szCs w:val="20"/>
                <w:color w:val="auto"/>
              </w:rPr>
            </w:pPr>
            <w:r>
              <w:rPr>
                <w:rFonts w:ascii="Arial" w:cs="Arial" w:eastAsia="Arial" w:hAnsi="Arial"/>
                <w:sz w:val="22"/>
                <w:szCs w:val="22"/>
                <w:color w:val="auto"/>
              </w:rPr>
              <w:t>R.</w:t>
            </w:r>
          </w:p>
        </w:tc>
        <w:tc>
          <w:tcPr>
            <w:tcW w:w="2060" w:type="dxa"/>
            <w:vAlign w:val="bottom"/>
          </w:tcPr>
          <w:p>
            <w:pPr>
              <w:jc w:val="right"/>
              <w:ind w:right="212"/>
              <w:spacing w:after="0"/>
              <w:rPr>
                <w:sz w:val="20"/>
                <w:szCs w:val="20"/>
                <w:color w:val="auto"/>
              </w:rPr>
            </w:pPr>
            <w:r>
              <w:rPr>
                <w:rFonts w:ascii="Arial" w:cs="Arial" w:eastAsia="Arial" w:hAnsi="Arial"/>
                <w:sz w:val="22"/>
                <w:szCs w:val="22"/>
                <w:color w:val="auto"/>
              </w:rPr>
              <w:t>Powers,</w:t>
            </w:r>
          </w:p>
        </w:tc>
        <w:tc>
          <w:tcPr>
            <w:tcW w:w="7080" w:type="dxa"/>
            <w:vAlign w:val="bottom"/>
          </w:tcPr>
          <w:p>
            <w:pPr>
              <w:ind w:left="940"/>
              <w:spacing w:after="0"/>
              <w:rPr>
                <w:sz w:val="20"/>
                <w:szCs w:val="20"/>
                <w:color w:val="auto"/>
              </w:rPr>
            </w:pPr>
            <w:r>
              <w:rPr>
                <w:rFonts w:ascii="Arial" w:cs="Arial" w:eastAsia="Arial" w:hAnsi="Arial"/>
                <w:sz w:val="22"/>
                <w:szCs w:val="22"/>
                <w:color w:val="auto"/>
              </w:rPr>
              <w:t>IIIVice president and general counsel of NL</w:t>
            </w:r>
          </w:p>
        </w:tc>
      </w:tr>
      <w:tr>
        <w:trPr>
          <w:trHeight w:val="441"/>
        </w:trPr>
        <w:tc>
          <w:tcPr>
            <w:tcW w:w="1360" w:type="dxa"/>
            <w:vAlign w:val="bottom"/>
          </w:tcPr>
          <w:p>
            <w:pPr>
              <w:spacing w:after="0"/>
              <w:rPr>
                <w:sz w:val="20"/>
                <w:szCs w:val="20"/>
                <w:color w:val="auto"/>
              </w:rPr>
            </w:pPr>
            <w:r>
              <w:rPr>
                <w:rFonts w:ascii="Arial" w:cs="Arial" w:eastAsia="Arial" w:hAnsi="Arial"/>
                <w:sz w:val="22"/>
                <w:szCs w:val="22"/>
                <w:color w:val="auto"/>
              </w:rPr>
              <w:t>Courtney</w:t>
            </w:r>
          </w:p>
        </w:tc>
        <w:tc>
          <w:tcPr>
            <w:tcW w:w="740" w:type="dxa"/>
            <w:vAlign w:val="bottom"/>
          </w:tcPr>
          <w:p>
            <w:pPr>
              <w:spacing w:after="0"/>
              <w:rPr>
                <w:sz w:val="24"/>
                <w:szCs w:val="24"/>
                <w:color w:val="auto"/>
              </w:rPr>
            </w:pPr>
          </w:p>
        </w:tc>
        <w:tc>
          <w:tcPr>
            <w:tcW w:w="2060" w:type="dxa"/>
            <w:vAlign w:val="bottom"/>
          </w:tcPr>
          <w:p>
            <w:pPr>
              <w:jc w:val="right"/>
              <w:ind w:right="1152"/>
              <w:spacing w:after="0"/>
              <w:rPr>
                <w:sz w:val="20"/>
                <w:szCs w:val="20"/>
                <w:color w:val="auto"/>
              </w:rPr>
            </w:pPr>
            <w:r>
              <w:rPr>
                <w:rFonts w:ascii="Arial" w:cs="Arial" w:eastAsia="Arial" w:hAnsi="Arial"/>
                <w:sz w:val="22"/>
                <w:szCs w:val="22"/>
                <w:color w:val="auto"/>
              </w:rPr>
              <w:t>J.</w:t>
            </w:r>
          </w:p>
        </w:tc>
        <w:tc>
          <w:tcPr>
            <w:tcW w:w="7080" w:type="dxa"/>
            <w:vAlign w:val="bottom"/>
          </w:tcPr>
          <w:p>
            <w:pPr>
              <w:jc w:val="right"/>
              <w:spacing w:after="0"/>
              <w:rPr>
                <w:sz w:val="20"/>
                <w:szCs w:val="20"/>
                <w:color w:val="auto"/>
              </w:rPr>
            </w:pPr>
            <w:r>
              <w:rPr>
                <w:rFonts w:ascii="Arial" w:cs="Arial" w:eastAsia="Arial" w:hAnsi="Arial"/>
                <w:sz w:val="22"/>
                <w:szCs w:val="22"/>
                <w:color w:val="auto"/>
              </w:rPr>
              <w:t>RileyVice  president,  environmental  affairs  of  Kronos  Worldwide;</w:t>
            </w:r>
          </w:p>
        </w:tc>
      </w:tr>
      <w:tr>
        <w:trPr>
          <w:trHeight w:val="243"/>
        </w:trPr>
        <w:tc>
          <w:tcPr>
            <w:tcW w:w="1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7080" w:type="dxa"/>
            <w:vAlign w:val="bottom"/>
          </w:tcPr>
          <w:p>
            <w:pPr>
              <w:ind w:left="1160"/>
              <w:spacing w:after="0" w:line="243" w:lineRule="exact"/>
              <w:rPr>
                <w:sz w:val="20"/>
                <w:szCs w:val="20"/>
                <w:color w:val="auto"/>
              </w:rPr>
            </w:pPr>
            <w:r>
              <w:rPr>
                <w:rFonts w:ascii="Arial" w:cs="Arial" w:eastAsia="Arial" w:hAnsi="Arial"/>
                <w:sz w:val="22"/>
                <w:szCs w:val="22"/>
                <w:color w:val="auto"/>
                <w:w w:val="92"/>
              </w:rPr>
              <w:t>president of NL; executive vice president, environmental affairs of</w:t>
            </w:r>
          </w:p>
        </w:tc>
      </w:tr>
      <w:tr>
        <w:trPr>
          <w:trHeight w:val="274"/>
        </w:trPr>
        <w:tc>
          <w:tcPr>
            <w:tcW w:w="13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7080" w:type="dxa"/>
            <w:vAlign w:val="bottom"/>
          </w:tcPr>
          <w:p>
            <w:pPr>
              <w:ind w:left="1160"/>
              <w:spacing w:after="0"/>
              <w:rPr>
                <w:sz w:val="20"/>
                <w:szCs w:val="20"/>
                <w:color w:val="auto"/>
              </w:rPr>
            </w:pPr>
            <w:r>
              <w:rPr>
                <w:rFonts w:ascii="Arial" w:cs="Arial" w:eastAsia="Arial" w:hAnsi="Arial"/>
                <w:sz w:val="22"/>
                <w:szCs w:val="22"/>
                <w:color w:val="auto"/>
                <w:w w:val="93"/>
              </w:rPr>
              <w:t>Valhi; and senior vice president, environmental affairs of Contran</w:t>
            </w:r>
          </w:p>
        </w:tc>
      </w:tr>
      <w:tr>
        <w:trPr>
          <w:trHeight w:val="428"/>
        </w:trPr>
        <w:tc>
          <w:tcPr>
            <w:tcW w:w="1360" w:type="dxa"/>
            <w:vAlign w:val="bottom"/>
          </w:tcPr>
          <w:p>
            <w:pPr>
              <w:spacing w:after="0"/>
              <w:rPr>
                <w:sz w:val="20"/>
                <w:szCs w:val="20"/>
                <w:color w:val="auto"/>
              </w:rPr>
            </w:pPr>
            <w:r>
              <w:rPr>
                <w:rFonts w:ascii="Arial" w:cs="Arial" w:eastAsia="Arial" w:hAnsi="Arial"/>
                <w:sz w:val="22"/>
                <w:szCs w:val="22"/>
                <w:color w:val="auto"/>
              </w:rPr>
              <w:t>Amy</w:t>
            </w:r>
          </w:p>
        </w:tc>
        <w:tc>
          <w:tcPr>
            <w:tcW w:w="740" w:type="dxa"/>
            <w:vAlign w:val="bottom"/>
          </w:tcPr>
          <w:p>
            <w:pPr>
              <w:spacing w:after="0"/>
              <w:rPr>
                <w:sz w:val="24"/>
                <w:szCs w:val="24"/>
                <w:color w:val="auto"/>
              </w:rPr>
            </w:pPr>
          </w:p>
        </w:tc>
        <w:tc>
          <w:tcPr>
            <w:tcW w:w="2060" w:type="dxa"/>
            <w:vAlign w:val="bottom"/>
          </w:tcPr>
          <w:p>
            <w:pPr>
              <w:jc w:val="right"/>
              <w:ind w:right="1212"/>
              <w:spacing w:after="0"/>
              <w:rPr>
                <w:sz w:val="20"/>
                <w:szCs w:val="20"/>
                <w:color w:val="auto"/>
              </w:rPr>
            </w:pPr>
            <w:r>
              <w:rPr>
                <w:rFonts w:ascii="Arial" w:cs="Arial" w:eastAsia="Arial" w:hAnsi="Arial"/>
                <w:sz w:val="22"/>
                <w:szCs w:val="22"/>
                <w:color w:val="auto"/>
                <w:w w:val="99"/>
              </w:rPr>
              <w:t>Allbach</w:t>
            </w:r>
          </w:p>
        </w:tc>
        <w:tc>
          <w:tcPr>
            <w:tcW w:w="7080" w:type="dxa"/>
            <w:vAlign w:val="bottom"/>
          </w:tcPr>
          <w:p>
            <w:pPr>
              <w:jc w:val="right"/>
              <w:spacing w:after="0"/>
              <w:rPr>
                <w:sz w:val="20"/>
                <w:szCs w:val="20"/>
                <w:color w:val="auto"/>
              </w:rPr>
            </w:pPr>
            <w:r>
              <w:rPr>
                <w:rFonts w:ascii="Arial" w:cs="Arial" w:eastAsia="Arial" w:hAnsi="Arial"/>
                <w:sz w:val="22"/>
                <w:szCs w:val="22"/>
                <w:color w:val="auto"/>
              </w:rPr>
              <w:t>SamfordVice president and chief financial officer of CompX and NL; and</w:t>
            </w:r>
          </w:p>
        </w:tc>
      </w:tr>
      <w:tr>
        <w:trPr>
          <w:trHeight w:val="274"/>
        </w:trPr>
        <w:tc>
          <w:tcPr>
            <w:tcW w:w="13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7080" w:type="dxa"/>
            <w:vAlign w:val="bottom"/>
          </w:tcPr>
          <w:p>
            <w:pPr>
              <w:ind w:left="1160"/>
              <w:spacing w:after="0"/>
              <w:rPr>
                <w:sz w:val="20"/>
                <w:szCs w:val="20"/>
                <w:color w:val="auto"/>
              </w:rPr>
            </w:pPr>
            <w:r>
              <w:rPr>
                <w:rFonts w:ascii="Arial" w:cs="Arial" w:eastAsia="Arial" w:hAnsi="Arial"/>
                <w:sz w:val="22"/>
                <w:szCs w:val="22"/>
                <w:color w:val="auto"/>
              </w:rPr>
              <w:t>vice president and controller of Valhi and Contran</w:t>
            </w:r>
          </w:p>
        </w:tc>
      </w:tr>
      <w:tr>
        <w:trPr>
          <w:trHeight w:val="428"/>
        </w:trPr>
        <w:tc>
          <w:tcPr>
            <w:tcW w:w="1360" w:type="dxa"/>
            <w:vAlign w:val="bottom"/>
          </w:tcPr>
          <w:p>
            <w:pPr>
              <w:spacing w:after="0"/>
              <w:rPr>
                <w:sz w:val="20"/>
                <w:szCs w:val="20"/>
                <w:color w:val="auto"/>
              </w:rPr>
            </w:pPr>
            <w:r>
              <w:rPr>
                <w:rFonts w:ascii="Arial" w:cs="Arial" w:eastAsia="Arial" w:hAnsi="Arial"/>
                <w:sz w:val="22"/>
                <w:szCs w:val="22"/>
                <w:color w:val="auto"/>
              </w:rPr>
              <w:t>Michael</w:t>
            </w:r>
          </w:p>
        </w:tc>
        <w:tc>
          <w:tcPr>
            <w:tcW w:w="740" w:type="dxa"/>
            <w:vAlign w:val="bottom"/>
          </w:tcPr>
          <w:p>
            <w:pPr>
              <w:spacing w:after="0"/>
              <w:rPr>
                <w:sz w:val="24"/>
                <w:szCs w:val="24"/>
                <w:color w:val="auto"/>
              </w:rPr>
            </w:pPr>
          </w:p>
        </w:tc>
        <w:tc>
          <w:tcPr>
            <w:tcW w:w="2060" w:type="dxa"/>
            <w:vAlign w:val="bottom"/>
          </w:tcPr>
          <w:p>
            <w:pPr>
              <w:jc w:val="right"/>
              <w:ind w:right="1352"/>
              <w:spacing w:after="0"/>
              <w:rPr>
                <w:sz w:val="20"/>
                <w:szCs w:val="20"/>
                <w:color w:val="auto"/>
              </w:rPr>
            </w:pPr>
            <w:r>
              <w:rPr>
                <w:rFonts w:ascii="Arial" w:cs="Arial" w:eastAsia="Arial" w:hAnsi="Arial"/>
                <w:sz w:val="22"/>
                <w:szCs w:val="22"/>
                <w:color w:val="auto"/>
              </w:rPr>
              <w:t>S.</w:t>
            </w:r>
          </w:p>
        </w:tc>
        <w:tc>
          <w:tcPr>
            <w:tcW w:w="7080" w:type="dxa"/>
            <w:vAlign w:val="bottom"/>
          </w:tcPr>
          <w:p>
            <w:pPr>
              <w:jc w:val="right"/>
              <w:spacing w:after="0"/>
              <w:rPr>
                <w:sz w:val="20"/>
                <w:szCs w:val="20"/>
                <w:color w:val="auto"/>
              </w:rPr>
            </w:pPr>
            <w:r>
              <w:rPr>
                <w:rFonts w:ascii="Arial" w:cs="Arial" w:eastAsia="Arial" w:hAnsi="Arial"/>
                <w:sz w:val="22"/>
                <w:szCs w:val="22"/>
                <w:color w:val="auto"/>
                <w:w w:val="98"/>
              </w:rPr>
              <w:t>SimmonsVice president, finance of Kronos Worldwide; and  vice president</w:t>
            </w:r>
          </w:p>
        </w:tc>
      </w:tr>
      <w:tr>
        <w:trPr>
          <w:trHeight w:val="274"/>
        </w:trPr>
        <w:tc>
          <w:tcPr>
            <w:tcW w:w="13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7080" w:type="dxa"/>
            <w:vAlign w:val="bottom"/>
          </w:tcPr>
          <w:p>
            <w:pPr>
              <w:ind w:left="1160"/>
              <w:spacing w:after="0"/>
              <w:rPr>
                <w:sz w:val="20"/>
                <w:szCs w:val="20"/>
                <w:color w:val="auto"/>
              </w:rPr>
            </w:pPr>
            <w:r>
              <w:rPr>
                <w:rFonts w:ascii="Arial" w:cs="Arial" w:eastAsia="Arial" w:hAnsi="Arial"/>
                <w:sz w:val="22"/>
                <w:szCs w:val="22"/>
                <w:color w:val="auto"/>
              </w:rPr>
              <w:t>and chief accounting officer of Valhi</w:t>
            </w:r>
          </w:p>
        </w:tc>
      </w:tr>
      <w:tr>
        <w:trPr>
          <w:trHeight w:val="459"/>
        </w:trPr>
        <w:tc>
          <w:tcPr>
            <w:tcW w:w="1360" w:type="dxa"/>
            <w:vAlign w:val="bottom"/>
          </w:tcPr>
          <w:p>
            <w:pPr>
              <w:spacing w:after="0"/>
              <w:rPr>
                <w:sz w:val="20"/>
                <w:szCs w:val="20"/>
                <w:color w:val="auto"/>
              </w:rPr>
            </w:pPr>
            <w:r>
              <w:rPr>
                <w:rFonts w:ascii="Arial" w:cs="Arial" w:eastAsia="Arial" w:hAnsi="Arial"/>
                <w:sz w:val="22"/>
                <w:szCs w:val="22"/>
                <w:color w:val="auto"/>
              </w:rPr>
              <w:t>Lisa</w:t>
            </w:r>
          </w:p>
        </w:tc>
        <w:tc>
          <w:tcPr>
            <w:tcW w:w="740" w:type="dxa"/>
            <w:vAlign w:val="bottom"/>
          </w:tcPr>
          <w:p>
            <w:pPr>
              <w:spacing w:after="0"/>
              <w:rPr>
                <w:sz w:val="24"/>
                <w:szCs w:val="24"/>
                <w:color w:val="auto"/>
              </w:rPr>
            </w:pPr>
          </w:p>
        </w:tc>
        <w:tc>
          <w:tcPr>
            <w:tcW w:w="2060" w:type="dxa"/>
            <w:vAlign w:val="bottom"/>
          </w:tcPr>
          <w:p>
            <w:pPr>
              <w:jc w:val="right"/>
              <w:ind w:right="1512"/>
              <w:spacing w:after="0"/>
              <w:rPr>
                <w:sz w:val="20"/>
                <w:szCs w:val="20"/>
                <w:color w:val="auto"/>
              </w:rPr>
            </w:pPr>
            <w:r>
              <w:rPr>
                <w:rFonts w:ascii="Arial" w:cs="Arial" w:eastAsia="Arial" w:hAnsi="Arial"/>
                <w:sz w:val="22"/>
                <w:szCs w:val="22"/>
                <w:color w:val="auto"/>
              </w:rPr>
              <w:t>K.</w:t>
            </w:r>
          </w:p>
        </w:tc>
        <w:tc>
          <w:tcPr>
            <w:tcW w:w="7080" w:type="dxa"/>
            <w:vAlign w:val="bottom"/>
          </w:tcPr>
          <w:p>
            <w:pPr>
              <w:ind w:left="340"/>
              <w:spacing w:after="0"/>
              <w:rPr>
                <w:sz w:val="20"/>
                <w:szCs w:val="20"/>
                <w:color w:val="auto"/>
              </w:rPr>
            </w:pPr>
            <w:r>
              <w:rPr>
                <w:rFonts w:ascii="Arial" w:cs="Arial" w:eastAsia="Arial" w:hAnsi="Arial"/>
                <w:sz w:val="22"/>
                <w:szCs w:val="22"/>
                <w:color w:val="auto"/>
              </w:rPr>
              <w:t>SimmonsChair of the board of Contran</w:t>
            </w:r>
          </w:p>
        </w:tc>
      </w:tr>
      <w:tr>
        <w:trPr>
          <w:trHeight w:val="441"/>
        </w:trPr>
        <w:tc>
          <w:tcPr>
            <w:tcW w:w="1360" w:type="dxa"/>
            <w:vAlign w:val="bottom"/>
          </w:tcPr>
          <w:p>
            <w:pPr>
              <w:spacing w:after="0"/>
              <w:rPr>
                <w:sz w:val="20"/>
                <w:szCs w:val="20"/>
                <w:color w:val="auto"/>
              </w:rPr>
            </w:pPr>
            <w:r>
              <w:rPr>
                <w:rFonts w:ascii="Arial" w:cs="Arial" w:eastAsia="Arial" w:hAnsi="Arial"/>
                <w:sz w:val="22"/>
                <w:szCs w:val="22"/>
                <w:color w:val="auto"/>
              </w:rPr>
              <w:t>Thomas</w:t>
            </w:r>
          </w:p>
        </w:tc>
        <w:tc>
          <w:tcPr>
            <w:tcW w:w="740" w:type="dxa"/>
            <w:vAlign w:val="bottom"/>
          </w:tcPr>
          <w:p>
            <w:pPr>
              <w:spacing w:after="0"/>
              <w:rPr>
                <w:sz w:val="24"/>
                <w:szCs w:val="24"/>
                <w:color w:val="auto"/>
              </w:rPr>
            </w:pPr>
          </w:p>
        </w:tc>
        <w:tc>
          <w:tcPr>
            <w:tcW w:w="2060" w:type="dxa"/>
            <w:vAlign w:val="bottom"/>
          </w:tcPr>
          <w:p>
            <w:pPr>
              <w:jc w:val="right"/>
              <w:ind w:right="1312"/>
              <w:spacing w:after="0"/>
              <w:rPr>
                <w:sz w:val="20"/>
                <w:szCs w:val="20"/>
                <w:color w:val="auto"/>
              </w:rPr>
            </w:pPr>
            <w:r>
              <w:rPr>
                <w:rFonts w:ascii="Arial" w:cs="Arial" w:eastAsia="Arial" w:hAnsi="Arial"/>
                <w:sz w:val="22"/>
                <w:szCs w:val="22"/>
                <w:color w:val="auto"/>
              </w:rPr>
              <w:t>P.</w:t>
            </w:r>
          </w:p>
        </w:tc>
        <w:tc>
          <w:tcPr>
            <w:tcW w:w="7080" w:type="dxa"/>
            <w:vAlign w:val="bottom"/>
          </w:tcPr>
          <w:p>
            <w:pPr>
              <w:jc w:val="right"/>
              <w:spacing w:after="0"/>
              <w:rPr>
                <w:sz w:val="20"/>
                <w:szCs w:val="20"/>
                <w:color w:val="auto"/>
              </w:rPr>
            </w:pPr>
            <w:r>
              <w:rPr>
                <w:rFonts w:ascii="Arial" w:cs="Arial" w:eastAsia="Arial" w:hAnsi="Arial"/>
                <w:sz w:val="22"/>
                <w:szCs w:val="22"/>
                <w:color w:val="auto"/>
              </w:rPr>
              <w:t>StaffordChairman of the NASA Advisory Council Task Force on the</w:t>
            </w:r>
          </w:p>
        </w:tc>
      </w:tr>
      <w:tr>
        <w:trPr>
          <w:trHeight w:val="243"/>
        </w:trPr>
        <w:tc>
          <w:tcPr>
            <w:tcW w:w="1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7080" w:type="dxa"/>
            <w:vAlign w:val="bottom"/>
          </w:tcPr>
          <w:p>
            <w:pPr>
              <w:ind w:left="1160"/>
              <w:spacing w:after="0" w:line="243" w:lineRule="exact"/>
              <w:rPr>
                <w:sz w:val="20"/>
                <w:szCs w:val="20"/>
                <w:color w:val="auto"/>
              </w:rPr>
            </w:pPr>
            <w:r>
              <w:rPr>
                <w:rFonts w:ascii="Arial" w:cs="Arial" w:eastAsia="Arial" w:hAnsi="Arial"/>
                <w:sz w:val="22"/>
                <w:szCs w:val="22"/>
                <w:color w:val="auto"/>
                <w:w w:val="98"/>
              </w:rPr>
              <w:t>International Space Station Program; and a director of Kronos</w:t>
            </w:r>
          </w:p>
        </w:tc>
      </w:tr>
      <w:tr>
        <w:trPr>
          <w:trHeight w:val="274"/>
        </w:trPr>
        <w:tc>
          <w:tcPr>
            <w:tcW w:w="13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7080" w:type="dxa"/>
            <w:vAlign w:val="bottom"/>
          </w:tcPr>
          <w:p>
            <w:pPr>
              <w:ind w:left="1160"/>
              <w:spacing w:after="0"/>
              <w:rPr>
                <w:sz w:val="20"/>
                <w:szCs w:val="20"/>
                <w:color w:val="auto"/>
              </w:rPr>
            </w:pPr>
            <w:r>
              <w:rPr>
                <w:rFonts w:ascii="Arial" w:cs="Arial" w:eastAsia="Arial" w:hAnsi="Arial"/>
                <w:sz w:val="22"/>
                <w:szCs w:val="22"/>
                <w:color w:val="auto"/>
              </w:rPr>
              <w:t>Worldwide and NL</w:t>
            </w:r>
          </w:p>
        </w:tc>
      </w:tr>
      <w:tr>
        <w:trPr>
          <w:trHeight w:val="428"/>
        </w:trPr>
        <w:tc>
          <w:tcPr>
            <w:tcW w:w="1360" w:type="dxa"/>
            <w:vAlign w:val="bottom"/>
          </w:tcPr>
          <w:p>
            <w:pPr>
              <w:spacing w:after="0"/>
              <w:rPr>
                <w:sz w:val="20"/>
                <w:szCs w:val="20"/>
                <w:color w:val="auto"/>
              </w:rPr>
            </w:pPr>
            <w:r>
              <w:rPr>
                <w:rFonts w:ascii="Arial" w:cs="Arial" w:eastAsia="Arial" w:hAnsi="Arial"/>
                <w:sz w:val="22"/>
                <w:szCs w:val="22"/>
                <w:color w:val="auto"/>
                <w:w w:val="93"/>
              </w:rPr>
              <w:t>John A. Sunny</w:t>
            </w:r>
          </w:p>
        </w:tc>
        <w:tc>
          <w:tcPr>
            <w:tcW w:w="7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7080" w:type="dxa"/>
            <w:vAlign w:val="bottom"/>
          </w:tcPr>
          <w:p>
            <w:pPr>
              <w:ind w:left="1160"/>
              <w:spacing w:after="0"/>
              <w:rPr>
                <w:sz w:val="20"/>
                <w:szCs w:val="20"/>
                <w:color w:val="auto"/>
              </w:rPr>
            </w:pPr>
            <w:r>
              <w:rPr>
                <w:rFonts w:ascii="Arial" w:cs="Arial" w:eastAsia="Arial" w:hAnsi="Arial"/>
                <w:sz w:val="22"/>
                <w:szCs w:val="22"/>
                <w:color w:val="auto"/>
                <w:w w:val="93"/>
              </w:rPr>
              <w:t>Vice president and chief information officer of Kronos Worldwide;</w:t>
            </w:r>
          </w:p>
        </w:tc>
      </w:tr>
      <w:tr>
        <w:trPr>
          <w:trHeight w:val="274"/>
        </w:trPr>
        <w:tc>
          <w:tcPr>
            <w:tcW w:w="13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7080" w:type="dxa"/>
            <w:vAlign w:val="bottom"/>
          </w:tcPr>
          <w:p>
            <w:pPr>
              <w:ind w:left="1160"/>
              <w:spacing w:after="0"/>
              <w:rPr>
                <w:sz w:val="20"/>
                <w:szCs w:val="20"/>
                <w:color w:val="auto"/>
              </w:rPr>
            </w:pPr>
            <w:r>
              <w:rPr>
                <w:rFonts w:ascii="Arial" w:cs="Arial" w:eastAsia="Arial" w:hAnsi="Arial"/>
                <w:sz w:val="22"/>
                <w:szCs w:val="22"/>
                <w:color w:val="auto"/>
                <w:w w:val="95"/>
              </w:rPr>
              <w:t>and vice president, information technology of Valhi and Contran</w:t>
            </w:r>
          </w:p>
        </w:tc>
      </w:tr>
      <w:tr>
        <w:trPr>
          <w:trHeight w:val="428"/>
        </w:trPr>
        <w:tc>
          <w:tcPr>
            <w:tcW w:w="1360" w:type="dxa"/>
            <w:vAlign w:val="bottom"/>
          </w:tcPr>
          <w:p>
            <w:pPr>
              <w:spacing w:after="0"/>
              <w:rPr>
                <w:sz w:val="20"/>
                <w:szCs w:val="20"/>
                <w:color w:val="auto"/>
              </w:rPr>
            </w:pPr>
            <w:r>
              <w:rPr>
                <w:rFonts w:ascii="Arial" w:cs="Arial" w:eastAsia="Arial" w:hAnsi="Arial"/>
                <w:sz w:val="22"/>
                <w:szCs w:val="22"/>
                <w:color w:val="auto"/>
              </w:rPr>
              <w:t>Gregory</w:t>
            </w:r>
          </w:p>
        </w:tc>
        <w:tc>
          <w:tcPr>
            <w:tcW w:w="740" w:type="dxa"/>
            <w:vAlign w:val="bottom"/>
          </w:tcPr>
          <w:p>
            <w:pPr>
              <w:spacing w:after="0"/>
              <w:rPr>
                <w:sz w:val="24"/>
                <w:szCs w:val="24"/>
                <w:color w:val="auto"/>
              </w:rPr>
            </w:pPr>
          </w:p>
        </w:tc>
        <w:tc>
          <w:tcPr>
            <w:tcW w:w="2060" w:type="dxa"/>
            <w:vAlign w:val="bottom"/>
          </w:tcPr>
          <w:p>
            <w:pPr>
              <w:jc w:val="right"/>
              <w:ind w:right="1312"/>
              <w:spacing w:after="0"/>
              <w:rPr>
                <w:sz w:val="20"/>
                <w:szCs w:val="20"/>
                <w:color w:val="auto"/>
              </w:rPr>
            </w:pPr>
            <w:r>
              <w:rPr>
                <w:rFonts w:ascii="Arial" w:cs="Arial" w:eastAsia="Arial" w:hAnsi="Arial"/>
                <w:sz w:val="22"/>
                <w:szCs w:val="22"/>
                <w:color w:val="auto"/>
              </w:rPr>
              <w:t>M.</w:t>
            </w:r>
          </w:p>
        </w:tc>
        <w:tc>
          <w:tcPr>
            <w:tcW w:w="7080" w:type="dxa"/>
            <w:vAlign w:val="bottom"/>
          </w:tcPr>
          <w:p>
            <w:pPr>
              <w:jc w:val="right"/>
              <w:spacing w:after="0"/>
              <w:rPr>
                <w:sz w:val="20"/>
                <w:szCs w:val="20"/>
                <w:color w:val="auto"/>
              </w:rPr>
            </w:pPr>
            <w:r>
              <w:rPr>
                <w:rFonts w:ascii="Arial" w:cs="Arial" w:eastAsia="Arial" w:hAnsi="Arial"/>
                <w:sz w:val="22"/>
                <w:szCs w:val="22"/>
                <w:color w:val="auto"/>
              </w:rPr>
              <w:t>SwalwellExecutive  vice  president,  chief  financial  officer  and  chief</w:t>
            </w:r>
          </w:p>
        </w:tc>
      </w:tr>
      <w:tr>
        <w:trPr>
          <w:trHeight w:val="274"/>
        </w:trPr>
        <w:tc>
          <w:tcPr>
            <w:tcW w:w="13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7080" w:type="dxa"/>
            <w:vAlign w:val="bottom"/>
          </w:tcPr>
          <w:p>
            <w:pPr>
              <w:ind w:left="1160"/>
              <w:spacing w:after="0"/>
              <w:rPr>
                <w:sz w:val="20"/>
                <w:szCs w:val="20"/>
                <w:color w:val="auto"/>
              </w:rPr>
            </w:pPr>
            <w:r>
              <w:rPr>
                <w:rFonts w:ascii="Arial" w:cs="Arial" w:eastAsia="Arial" w:hAnsi="Arial"/>
                <w:sz w:val="22"/>
                <w:szCs w:val="22"/>
                <w:color w:val="auto"/>
              </w:rPr>
              <w:t>accounting officer of Dixie Rice and Contran</w:t>
            </w:r>
          </w:p>
        </w:tc>
      </w:tr>
      <w:tr>
        <w:trPr>
          <w:trHeight w:val="459"/>
        </w:trPr>
        <w:tc>
          <w:tcPr>
            <w:tcW w:w="1360" w:type="dxa"/>
            <w:vAlign w:val="bottom"/>
          </w:tcPr>
          <w:p>
            <w:pPr>
              <w:spacing w:after="0"/>
              <w:rPr>
                <w:sz w:val="20"/>
                <w:szCs w:val="20"/>
                <w:color w:val="auto"/>
              </w:rPr>
            </w:pPr>
            <w:r>
              <w:rPr>
                <w:rFonts w:ascii="Arial" w:cs="Arial" w:eastAsia="Arial" w:hAnsi="Arial"/>
                <w:sz w:val="22"/>
                <w:szCs w:val="22"/>
                <w:color w:val="auto"/>
              </w:rPr>
              <w:t>Mary</w:t>
            </w:r>
          </w:p>
        </w:tc>
        <w:tc>
          <w:tcPr>
            <w:tcW w:w="740" w:type="dxa"/>
            <w:vAlign w:val="bottom"/>
          </w:tcPr>
          <w:p>
            <w:pPr>
              <w:ind w:left="340"/>
              <w:spacing w:after="0"/>
              <w:rPr>
                <w:sz w:val="20"/>
                <w:szCs w:val="20"/>
                <w:color w:val="auto"/>
              </w:rPr>
            </w:pPr>
            <w:r>
              <w:rPr>
                <w:rFonts w:ascii="Arial" w:cs="Arial" w:eastAsia="Arial" w:hAnsi="Arial"/>
                <w:sz w:val="22"/>
                <w:szCs w:val="22"/>
                <w:color w:val="auto"/>
              </w:rPr>
              <w:t>A.</w:t>
            </w:r>
          </w:p>
        </w:tc>
        <w:tc>
          <w:tcPr>
            <w:tcW w:w="2060" w:type="dxa"/>
            <w:vAlign w:val="bottom"/>
          </w:tcPr>
          <w:p>
            <w:pPr>
              <w:jc w:val="right"/>
              <w:ind w:right="232"/>
              <w:spacing w:after="0"/>
              <w:rPr>
                <w:sz w:val="20"/>
                <w:szCs w:val="20"/>
                <w:color w:val="auto"/>
              </w:rPr>
            </w:pPr>
            <w:r>
              <w:rPr>
                <w:rFonts w:ascii="Arial" w:cs="Arial" w:eastAsia="Arial" w:hAnsi="Arial"/>
                <w:sz w:val="22"/>
                <w:szCs w:val="22"/>
                <w:color w:val="auto"/>
              </w:rPr>
              <w:t>Tidlund</w:t>
            </w:r>
          </w:p>
        </w:tc>
        <w:tc>
          <w:tcPr>
            <w:tcW w:w="7080" w:type="dxa"/>
            <w:vAlign w:val="bottom"/>
          </w:tcPr>
          <w:p>
            <w:pPr>
              <w:ind w:left="900"/>
              <w:spacing w:after="0"/>
              <w:rPr>
                <w:sz w:val="20"/>
                <w:szCs w:val="20"/>
                <w:color w:val="auto"/>
              </w:rPr>
            </w:pPr>
            <w:r>
              <w:rPr>
                <w:rFonts w:ascii="Arial" w:cs="Arial" w:eastAsia="Arial" w:hAnsi="Arial"/>
                <w:sz w:val="22"/>
                <w:szCs w:val="22"/>
                <w:color w:val="auto"/>
              </w:rPr>
              <w:t>(2)Private investor; and a director of CompX and Valhi</w:t>
            </w:r>
          </w:p>
        </w:tc>
      </w:tr>
      <w:tr>
        <w:trPr>
          <w:trHeight w:val="441"/>
        </w:trPr>
        <w:tc>
          <w:tcPr>
            <w:tcW w:w="1360" w:type="dxa"/>
            <w:vAlign w:val="bottom"/>
          </w:tcPr>
          <w:p>
            <w:pPr>
              <w:spacing w:after="0"/>
              <w:rPr>
                <w:sz w:val="20"/>
                <w:szCs w:val="20"/>
                <w:color w:val="auto"/>
              </w:rPr>
            </w:pPr>
            <w:r>
              <w:rPr>
                <w:rFonts w:ascii="Arial" w:cs="Arial" w:eastAsia="Arial" w:hAnsi="Arial"/>
                <w:sz w:val="22"/>
                <w:szCs w:val="22"/>
                <w:color w:val="auto"/>
              </w:rPr>
              <w:t>R.</w:t>
            </w:r>
          </w:p>
        </w:tc>
        <w:tc>
          <w:tcPr>
            <w:tcW w:w="740" w:type="dxa"/>
            <w:vAlign w:val="bottom"/>
          </w:tcPr>
          <w:p>
            <w:pPr>
              <w:ind w:left="80"/>
              <w:spacing w:after="0"/>
              <w:rPr>
                <w:sz w:val="20"/>
                <w:szCs w:val="20"/>
                <w:color w:val="auto"/>
              </w:rPr>
            </w:pPr>
            <w:r>
              <w:rPr>
                <w:rFonts w:ascii="Arial" w:cs="Arial" w:eastAsia="Arial" w:hAnsi="Arial"/>
                <w:sz w:val="22"/>
                <w:szCs w:val="22"/>
                <w:color w:val="auto"/>
                <w:w w:val="96"/>
              </w:rPr>
              <w:t>Gerald</w:t>
            </w:r>
          </w:p>
        </w:tc>
        <w:tc>
          <w:tcPr>
            <w:tcW w:w="2060" w:type="dxa"/>
            <w:vAlign w:val="bottom"/>
          </w:tcPr>
          <w:p>
            <w:pPr>
              <w:jc w:val="right"/>
              <w:ind w:right="212"/>
              <w:spacing w:after="0"/>
              <w:rPr>
                <w:sz w:val="20"/>
                <w:szCs w:val="20"/>
                <w:color w:val="auto"/>
              </w:rPr>
            </w:pPr>
            <w:r>
              <w:rPr>
                <w:rFonts w:ascii="Arial" w:cs="Arial" w:eastAsia="Arial" w:hAnsi="Arial"/>
                <w:sz w:val="22"/>
                <w:szCs w:val="22"/>
                <w:color w:val="auto"/>
              </w:rPr>
              <w:t>Turner</w:t>
            </w:r>
          </w:p>
        </w:tc>
        <w:tc>
          <w:tcPr>
            <w:tcW w:w="7080" w:type="dxa"/>
            <w:vAlign w:val="bottom"/>
          </w:tcPr>
          <w:p>
            <w:pPr>
              <w:jc w:val="right"/>
              <w:spacing w:after="0"/>
              <w:rPr>
                <w:sz w:val="20"/>
                <w:szCs w:val="20"/>
                <w:color w:val="auto"/>
              </w:rPr>
            </w:pPr>
            <w:r>
              <w:rPr>
                <w:rFonts w:ascii="Arial" w:cs="Arial" w:eastAsia="Arial" w:hAnsi="Arial"/>
                <w:sz w:val="22"/>
                <w:szCs w:val="22"/>
                <w:color w:val="auto"/>
              </w:rPr>
              <w:t>(3)President of Southern Methodist University; and a director of</w:t>
            </w:r>
          </w:p>
        </w:tc>
      </w:tr>
      <w:tr>
        <w:trPr>
          <w:trHeight w:val="274"/>
        </w:trPr>
        <w:tc>
          <w:tcPr>
            <w:tcW w:w="13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7080" w:type="dxa"/>
            <w:vAlign w:val="bottom"/>
          </w:tcPr>
          <w:p>
            <w:pPr>
              <w:ind w:left="1160"/>
              <w:spacing w:after="0"/>
              <w:rPr>
                <w:sz w:val="20"/>
                <w:szCs w:val="20"/>
                <w:color w:val="auto"/>
              </w:rPr>
            </w:pPr>
            <w:r>
              <w:rPr>
                <w:rFonts w:ascii="Arial" w:cs="Arial" w:eastAsia="Arial" w:hAnsi="Arial"/>
                <w:sz w:val="22"/>
                <w:szCs w:val="22"/>
                <w:color w:val="auto"/>
              </w:rPr>
              <w:t>Kronos Worldwide</w:t>
            </w:r>
          </w:p>
        </w:tc>
      </w:tr>
    </w:tbl>
    <w:p>
      <w:pPr>
        <w:spacing w:after="0" w:line="200" w:lineRule="exact"/>
        <w:rPr>
          <w:sz w:val="20"/>
          <w:szCs w:val="20"/>
          <w:color w:val="auto"/>
        </w:rPr>
      </w:pPr>
    </w:p>
    <w:p>
      <w:pPr>
        <w:spacing w:after="0" w:line="255" w:lineRule="exact"/>
        <w:rPr>
          <w:sz w:val="20"/>
          <w:szCs w:val="20"/>
          <w:color w:val="auto"/>
        </w:rPr>
      </w:pPr>
    </w:p>
    <w:p>
      <w:pPr>
        <w:ind w:left="660" w:hanging="652"/>
        <w:spacing w:after="0"/>
        <w:tabs>
          <w:tab w:leader="none" w:pos="660" w:val="left"/>
        </w:tabs>
        <w:numPr>
          <w:ilvl w:val="0"/>
          <w:numId w:val="66"/>
        </w:numPr>
        <w:rPr>
          <w:rFonts w:ascii="Arial" w:cs="Arial" w:eastAsia="Arial" w:hAnsi="Arial"/>
          <w:sz w:val="21"/>
          <w:szCs w:val="21"/>
          <w:color w:val="auto"/>
        </w:rPr>
      </w:pPr>
      <w:r>
        <w:rPr>
          <w:rFonts w:ascii="Arial" w:cs="Arial" w:eastAsia="Arial" w:hAnsi="Arial"/>
          <w:sz w:val="21"/>
          <w:szCs w:val="21"/>
          <w:color w:val="auto"/>
        </w:rPr>
        <w:t>The principal business address for Mr. McIlroy is 25 Highland Park Village, Suite 100-341, Dallas, Texas 75205.</w:t>
      </w:r>
    </w:p>
    <w:p>
      <w:pPr>
        <w:spacing w:after="0" w:line="244" w:lineRule="exact"/>
        <w:rPr>
          <w:rFonts w:ascii="Arial" w:cs="Arial" w:eastAsia="Arial" w:hAnsi="Arial"/>
          <w:sz w:val="21"/>
          <w:szCs w:val="21"/>
          <w:color w:val="auto"/>
        </w:rPr>
      </w:pPr>
    </w:p>
    <w:p>
      <w:pPr>
        <w:ind w:left="660" w:hanging="652"/>
        <w:spacing w:after="0"/>
        <w:tabs>
          <w:tab w:leader="none" w:pos="660" w:val="left"/>
        </w:tabs>
        <w:numPr>
          <w:ilvl w:val="0"/>
          <w:numId w:val="66"/>
        </w:numPr>
        <w:rPr>
          <w:rFonts w:ascii="Arial" w:cs="Arial" w:eastAsia="Arial" w:hAnsi="Arial"/>
          <w:sz w:val="22"/>
          <w:szCs w:val="22"/>
          <w:color w:val="auto"/>
        </w:rPr>
      </w:pPr>
      <w:r>
        <w:rPr>
          <w:rFonts w:ascii="Arial" w:cs="Arial" w:eastAsia="Arial" w:hAnsi="Arial"/>
          <w:sz w:val="22"/>
          <w:szCs w:val="22"/>
          <w:color w:val="auto"/>
        </w:rPr>
        <w:t>Ms. Tidlund is a citizen of Canada.</w:t>
      </w:r>
    </w:p>
    <w:p>
      <w:pPr>
        <w:spacing w:after="0" w:line="233" w:lineRule="exact"/>
        <w:rPr>
          <w:rFonts w:ascii="Arial" w:cs="Arial" w:eastAsia="Arial" w:hAnsi="Arial"/>
          <w:sz w:val="22"/>
          <w:szCs w:val="22"/>
          <w:color w:val="auto"/>
        </w:rPr>
      </w:pPr>
    </w:p>
    <w:p>
      <w:pPr>
        <w:ind w:left="660" w:hanging="652"/>
        <w:spacing w:after="0" w:line="250" w:lineRule="auto"/>
        <w:tabs>
          <w:tab w:leader="none" w:pos="660" w:val="left"/>
        </w:tabs>
        <w:numPr>
          <w:ilvl w:val="0"/>
          <w:numId w:val="66"/>
        </w:numPr>
        <w:rPr>
          <w:rFonts w:ascii="Arial" w:cs="Arial" w:eastAsia="Arial" w:hAnsi="Arial"/>
          <w:sz w:val="22"/>
          <w:szCs w:val="22"/>
          <w:color w:val="auto"/>
        </w:rPr>
      </w:pPr>
      <w:r>
        <w:rPr>
          <w:rFonts w:ascii="Arial" w:cs="Arial" w:eastAsia="Arial" w:hAnsi="Arial"/>
          <w:sz w:val="22"/>
          <w:szCs w:val="22"/>
          <w:color w:val="auto"/>
        </w:rPr>
        <w:t>The principal business address for Dr. Turner is Southern Methodist University, Perkins Administration Bldg. #225, 6425 Boaz Lane, Dallas, Texas 75275.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22"/>
          <w:szCs w:val="22"/>
          <w:b w:val="1"/>
          <w:bCs w:val="1"/>
          <w:color w:val="auto"/>
        </w:rPr>
        <w:t>SCHEDULE C</w:t>
      </w:r>
    </w:p>
    <w:p>
      <w:pPr>
        <w:spacing w:after="0" w:line="240" w:lineRule="exact"/>
        <w:rPr>
          <w:sz w:val="20"/>
          <w:szCs w:val="20"/>
          <w:color w:val="auto"/>
        </w:rPr>
      </w:pPr>
    </w:p>
    <w:p>
      <w:pPr>
        <w:ind w:right="20" w:firstLine="648"/>
        <w:spacing w:after="0" w:line="328" w:lineRule="auto"/>
        <w:rPr>
          <w:sz w:val="20"/>
          <w:szCs w:val="20"/>
          <w:color w:val="auto"/>
        </w:rPr>
      </w:pPr>
      <w:r>
        <w:rPr>
          <w:rFonts w:ascii="Arial" w:cs="Arial" w:eastAsia="Arial" w:hAnsi="Arial"/>
          <w:sz w:val="19"/>
          <w:szCs w:val="19"/>
          <w:color w:val="auto"/>
        </w:rPr>
        <w:t>Based upon ownership filings with the Commission or upon information provided by the persons listed on Schedule B to this Statement, such persons may be deemed to personally beneficially own Class A Shares, as outlined below:</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6900" w:type="dxa"/>
            <w:vAlign w:val="bottom"/>
            <w:tcBorders>
              <w:bottom w:val="single" w:sz="8" w:color="auto"/>
            </w:tcBorders>
          </w:tcPr>
          <w:p>
            <w:pPr>
              <w:ind w:left="4160"/>
              <w:spacing w:after="0"/>
              <w:rPr>
                <w:sz w:val="20"/>
                <w:szCs w:val="20"/>
                <w:color w:val="auto"/>
              </w:rPr>
            </w:pPr>
            <w:r>
              <w:rPr>
                <w:rFonts w:ascii="Arial" w:cs="Arial" w:eastAsia="Arial" w:hAnsi="Arial"/>
                <w:sz w:val="22"/>
                <w:szCs w:val="22"/>
                <w:b w:val="1"/>
                <w:bCs w:val="1"/>
                <w:color w:val="auto"/>
              </w:rPr>
              <w:t>Name</w:t>
            </w:r>
          </w:p>
        </w:tc>
        <w:tc>
          <w:tcPr>
            <w:tcW w:w="434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b w:val="1"/>
                <w:bCs w:val="1"/>
                <w:color w:val="auto"/>
              </w:rPr>
              <w:t>Class A Shares Held</w:t>
            </w:r>
          </w:p>
        </w:tc>
      </w:tr>
      <w:tr>
        <w:trPr>
          <w:trHeight w:val="216"/>
        </w:trPr>
        <w:tc>
          <w:tcPr>
            <w:tcW w:w="690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43"/>
        </w:trPr>
        <w:tc>
          <w:tcPr>
            <w:tcW w:w="69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Thomas E. Barry</w:t>
            </w:r>
          </w:p>
        </w:tc>
        <w:tc>
          <w:tcPr>
            <w:tcW w:w="4340" w:type="dxa"/>
            <w:vAlign w:val="bottom"/>
            <w:shd w:val="clear" w:color="auto" w:fill="CCEEFF"/>
          </w:tcPr>
          <w:p>
            <w:pPr>
              <w:jc w:val="right"/>
              <w:ind w:right="792"/>
              <w:spacing w:after="0" w:line="243" w:lineRule="exact"/>
              <w:rPr>
                <w:sz w:val="20"/>
                <w:szCs w:val="20"/>
                <w:color w:val="auto"/>
              </w:rPr>
            </w:pPr>
            <w:r>
              <w:rPr>
                <w:rFonts w:ascii="Arial" w:cs="Arial" w:eastAsia="Arial" w:hAnsi="Arial"/>
                <w:sz w:val="22"/>
                <w:szCs w:val="22"/>
                <w:color w:val="auto"/>
              </w:rPr>
              <w:t>4,600</w:t>
            </w:r>
          </w:p>
        </w:tc>
      </w:tr>
      <w:tr>
        <w:trPr>
          <w:trHeight w:val="216"/>
        </w:trPr>
        <w:tc>
          <w:tcPr>
            <w:tcW w:w="690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43"/>
        </w:trPr>
        <w:tc>
          <w:tcPr>
            <w:tcW w:w="69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Clarence B. Brown, III</w:t>
            </w:r>
          </w:p>
        </w:tc>
        <w:tc>
          <w:tcPr>
            <w:tcW w:w="4340" w:type="dxa"/>
            <w:vAlign w:val="bottom"/>
            <w:shd w:val="clear" w:color="auto" w:fill="CCEEFF"/>
          </w:tcPr>
          <w:p>
            <w:pPr>
              <w:jc w:val="right"/>
              <w:ind w:right="792"/>
              <w:spacing w:after="0" w:line="243" w:lineRule="exact"/>
              <w:rPr>
                <w:sz w:val="20"/>
                <w:szCs w:val="20"/>
                <w:color w:val="auto"/>
              </w:rPr>
            </w:pPr>
            <w:r>
              <w:rPr>
                <w:rFonts w:ascii="Arial" w:cs="Arial" w:eastAsia="Arial" w:hAnsi="Arial"/>
                <w:sz w:val="22"/>
                <w:szCs w:val="22"/>
                <w:color w:val="auto"/>
              </w:rPr>
              <w:t>-0-</w:t>
            </w:r>
          </w:p>
        </w:tc>
      </w:tr>
      <w:tr>
        <w:trPr>
          <w:trHeight w:val="216"/>
        </w:trPr>
        <w:tc>
          <w:tcPr>
            <w:tcW w:w="690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43"/>
        </w:trPr>
        <w:tc>
          <w:tcPr>
            <w:tcW w:w="69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James W. Brown</w:t>
            </w:r>
          </w:p>
        </w:tc>
        <w:tc>
          <w:tcPr>
            <w:tcW w:w="4340" w:type="dxa"/>
            <w:vAlign w:val="bottom"/>
            <w:shd w:val="clear" w:color="auto" w:fill="CCEEFF"/>
          </w:tcPr>
          <w:p>
            <w:pPr>
              <w:jc w:val="right"/>
              <w:ind w:right="792"/>
              <w:spacing w:after="0" w:line="243" w:lineRule="exact"/>
              <w:rPr>
                <w:sz w:val="20"/>
                <w:szCs w:val="20"/>
                <w:color w:val="auto"/>
              </w:rPr>
            </w:pPr>
            <w:r>
              <w:rPr>
                <w:rFonts w:ascii="Arial" w:cs="Arial" w:eastAsia="Arial" w:hAnsi="Arial"/>
                <w:sz w:val="22"/>
                <w:szCs w:val="22"/>
                <w:color w:val="auto"/>
              </w:rPr>
              <w:t>-0-</w:t>
            </w:r>
          </w:p>
        </w:tc>
      </w:tr>
      <w:tr>
        <w:trPr>
          <w:trHeight w:val="216"/>
        </w:trPr>
        <w:tc>
          <w:tcPr>
            <w:tcW w:w="690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43"/>
        </w:trPr>
        <w:tc>
          <w:tcPr>
            <w:tcW w:w="69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James Buch</w:t>
            </w:r>
          </w:p>
        </w:tc>
        <w:tc>
          <w:tcPr>
            <w:tcW w:w="4340" w:type="dxa"/>
            <w:vAlign w:val="bottom"/>
            <w:shd w:val="clear" w:color="auto" w:fill="CCEEFF"/>
          </w:tcPr>
          <w:p>
            <w:pPr>
              <w:jc w:val="right"/>
              <w:ind w:right="792"/>
              <w:spacing w:after="0" w:line="243" w:lineRule="exact"/>
              <w:rPr>
                <w:sz w:val="20"/>
                <w:szCs w:val="20"/>
                <w:color w:val="auto"/>
              </w:rPr>
            </w:pPr>
            <w:r>
              <w:rPr>
                <w:rFonts w:ascii="Arial" w:cs="Arial" w:eastAsia="Arial" w:hAnsi="Arial"/>
                <w:sz w:val="22"/>
                <w:szCs w:val="22"/>
                <w:color w:val="auto"/>
              </w:rPr>
              <w:t>-0-</w:t>
            </w:r>
          </w:p>
        </w:tc>
      </w:tr>
      <w:tr>
        <w:trPr>
          <w:trHeight w:val="216"/>
        </w:trPr>
        <w:tc>
          <w:tcPr>
            <w:tcW w:w="690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43"/>
        </w:trPr>
        <w:tc>
          <w:tcPr>
            <w:tcW w:w="69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Brian W. Christian</w:t>
            </w:r>
          </w:p>
        </w:tc>
        <w:tc>
          <w:tcPr>
            <w:tcW w:w="4340" w:type="dxa"/>
            <w:vAlign w:val="bottom"/>
            <w:shd w:val="clear" w:color="auto" w:fill="CCEEFF"/>
          </w:tcPr>
          <w:p>
            <w:pPr>
              <w:jc w:val="right"/>
              <w:ind w:right="792"/>
              <w:spacing w:after="0" w:line="243" w:lineRule="exact"/>
              <w:rPr>
                <w:sz w:val="20"/>
                <w:szCs w:val="20"/>
                <w:color w:val="auto"/>
              </w:rPr>
            </w:pPr>
            <w:r>
              <w:rPr>
                <w:rFonts w:ascii="Arial" w:cs="Arial" w:eastAsia="Arial" w:hAnsi="Arial"/>
                <w:sz w:val="22"/>
                <w:szCs w:val="22"/>
                <w:color w:val="auto"/>
              </w:rPr>
              <w:t>-0-</w:t>
            </w:r>
          </w:p>
        </w:tc>
      </w:tr>
      <w:tr>
        <w:trPr>
          <w:trHeight w:val="216"/>
        </w:trPr>
        <w:tc>
          <w:tcPr>
            <w:tcW w:w="690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43"/>
        </w:trPr>
        <w:tc>
          <w:tcPr>
            <w:tcW w:w="69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Benjamin R. Corona</w:t>
            </w:r>
          </w:p>
        </w:tc>
        <w:tc>
          <w:tcPr>
            <w:tcW w:w="4340" w:type="dxa"/>
            <w:vAlign w:val="bottom"/>
            <w:shd w:val="clear" w:color="auto" w:fill="CCEEFF"/>
          </w:tcPr>
          <w:p>
            <w:pPr>
              <w:jc w:val="right"/>
              <w:ind w:right="792"/>
              <w:spacing w:after="0" w:line="243" w:lineRule="exact"/>
              <w:rPr>
                <w:sz w:val="20"/>
                <w:szCs w:val="20"/>
                <w:color w:val="auto"/>
              </w:rPr>
            </w:pPr>
            <w:r>
              <w:rPr>
                <w:rFonts w:ascii="Arial" w:cs="Arial" w:eastAsia="Arial" w:hAnsi="Arial"/>
                <w:sz w:val="22"/>
                <w:szCs w:val="22"/>
                <w:color w:val="auto"/>
              </w:rPr>
              <w:t>-0-</w:t>
            </w:r>
          </w:p>
        </w:tc>
      </w:tr>
      <w:tr>
        <w:trPr>
          <w:trHeight w:val="216"/>
        </w:trPr>
        <w:tc>
          <w:tcPr>
            <w:tcW w:w="690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43"/>
        </w:trPr>
        <w:tc>
          <w:tcPr>
            <w:tcW w:w="69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Steven S. Eaton</w:t>
            </w:r>
          </w:p>
        </w:tc>
        <w:tc>
          <w:tcPr>
            <w:tcW w:w="4340" w:type="dxa"/>
            <w:vAlign w:val="bottom"/>
            <w:shd w:val="clear" w:color="auto" w:fill="CCEEFF"/>
          </w:tcPr>
          <w:p>
            <w:pPr>
              <w:jc w:val="right"/>
              <w:ind w:right="792"/>
              <w:spacing w:after="0" w:line="243" w:lineRule="exact"/>
              <w:rPr>
                <w:sz w:val="20"/>
                <w:szCs w:val="20"/>
                <w:color w:val="auto"/>
              </w:rPr>
            </w:pPr>
            <w:r>
              <w:rPr>
                <w:rFonts w:ascii="Arial" w:cs="Arial" w:eastAsia="Arial" w:hAnsi="Arial"/>
                <w:sz w:val="22"/>
                <w:szCs w:val="22"/>
                <w:color w:val="auto"/>
              </w:rPr>
              <w:t>-0-</w:t>
            </w:r>
          </w:p>
        </w:tc>
      </w:tr>
      <w:tr>
        <w:trPr>
          <w:trHeight w:val="216"/>
        </w:trPr>
        <w:tc>
          <w:tcPr>
            <w:tcW w:w="690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43"/>
        </w:trPr>
        <w:tc>
          <w:tcPr>
            <w:tcW w:w="69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Loretta J. Feehan</w:t>
            </w:r>
          </w:p>
        </w:tc>
        <w:tc>
          <w:tcPr>
            <w:tcW w:w="4340" w:type="dxa"/>
            <w:vAlign w:val="bottom"/>
            <w:shd w:val="clear" w:color="auto" w:fill="CCEEFF"/>
          </w:tcPr>
          <w:p>
            <w:pPr>
              <w:jc w:val="right"/>
              <w:ind w:right="792"/>
              <w:spacing w:after="0" w:line="243" w:lineRule="exact"/>
              <w:rPr>
                <w:sz w:val="20"/>
                <w:szCs w:val="20"/>
                <w:color w:val="auto"/>
              </w:rPr>
            </w:pPr>
            <w:r>
              <w:rPr>
                <w:rFonts w:ascii="Arial" w:cs="Arial" w:eastAsia="Arial" w:hAnsi="Arial"/>
                <w:sz w:val="22"/>
                <w:szCs w:val="22"/>
                <w:color w:val="auto"/>
              </w:rPr>
              <w:t>6,600</w:t>
            </w:r>
          </w:p>
        </w:tc>
      </w:tr>
      <w:tr>
        <w:trPr>
          <w:trHeight w:val="216"/>
        </w:trPr>
        <w:tc>
          <w:tcPr>
            <w:tcW w:w="690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43"/>
        </w:trPr>
        <w:tc>
          <w:tcPr>
            <w:tcW w:w="69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Robert D. Graham</w:t>
            </w:r>
          </w:p>
        </w:tc>
        <w:tc>
          <w:tcPr>
            <w:tcW w:w="4340" w:type="dxa"/>
            <w:vAlign w:val="bottom"/>
            <w:shd w:val="clear" w:color="auto" w:fill="CCEEFF"/>
          </w:tcPr>
          <w:p>
            <w:pPr>
              <w:jc w:val="right"/>
              <w:ind w:right="792"/>
              <w:spacing w:after="0" w:line="243" w:lineRule="exact"/>
              <w:rPr>
                <w:sz w:val="20"/>
                <w:szCs w:val="20"/>
                <w:color w:val="auto"/>
              </w:rPr>
            </w:pPr>
            <w:r>
              <w:rPr>
                <w:rFonts w:ascii="Arial" w:cs="Arial" w:eastAsia="Arial" w:hAnsi="Arial"/>
                <w:sz w:val="22"/>
                <w:szCs w:val="22"/>
                <w:color w:val="auto"/>
              </w:rPr>
              <w:t>2,000</w:t>
            </w:r>
          </w:p>
        </w:tc>
      </w:tr>
      <w:tr>
        <w:trPr>
          <w:trHeight w:val="216"/>
        </w:trPr>
        <w:tc>
          <w:tcPr>
            <w:tcW w:w="690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43"/>
        </w:trPr>
        <w:tc>
          <w:tcPr>
            <w:tcW w:w="69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Tim C. Hafer</w:t>
            </w:r>
          </w:p>
        </w:tc>
        <w:tc>
          <w:tcPr>
            <w:tcW w:w="4340" w:type="dxa"/>
            <w:vAlign w:val="bottom"/>
            <w:shd w:val="clear" w:color="auto" w:fill="CCEEFF"/>
          </w:tcPr>
          <w:p>
            <w:pPr>
              <w:jc w:val="right"/>
              <w:ind w:right="792"/>
              <w:spacing w:after="0" w:line="243" w:lineRule="exact"/>
              <w:rPr>
                <w:sz w:val="20"/>
                <w:szCs w:val="20"/>
                <w:color w:val="auto"/>
              </w:rPr>
            </w:pPr>
            <w:r>
              <w:rPr>
                <w:rFonts w:ascii="Arial" w:cs="Arial" w:eastAsia="Arial" w:hAnsi="Arial"/>
                <w:sz w:val="22"/>
                <w:szCs w:val="22"/>
                <w:color w:val="auto"/>
              </w:rPr>
              <w:t>-0-</w:t>
            </w:r>
          </w:p>
        </w:tc>
      </w:tr>
      <w:tr>
        <w:trPr>
          <w:trHeight w:val="216"/>
        </w:trPr>
        <w:tc>
          <w:tcPr>
            <w:tcW w:w="690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43"/>
        </w:trPr>
        <w:tc>
          <w:tcPr>
            <w:tcW w:w="69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Bryan A. Hanley</w:t>
            </w:r>
          </w:p>
        </w:tc>
        <w:tc>
          <w:tcPr>
            <w:tcW w:w="4340" w:type="dxa"/>
            <w:vAlign w:val="bottom"/>
            <w:shd w:val="clear" w:color="auto" w:fill="CCEEFF"/>
          </w:tcPr>
          <w:p>
            <w:pPr>
              <w:jc w:val="right"/>
              <w:ind w:right="792"/>
              <w:spacing w:after="0" w:line="243" w:lineRule="exact"/>
              <w:rPr>
                <w:sz w:val="20"/>
                <w:szCs w:val="20"/>
                <w:color w:val="auto"/>
              </w:rPr>
            </w:pPr>
            <w:r>
              <w:rPr>
                <w:rFonts w:ascii="Arial" w:cs="Arial" w:eastAsia="Arial" w:hAnsi="Arial"/>
                <w:sz w:val="22"/>
                <w:szCs w:val="22"/>
                <w:color w:val="auto"/>
              </w:rPr>
              <w:t>250</w:t>
            </w:r>
          </w:p>
        </w:tc>
      </w:tr>
      <w:tr>
        <w:trPr>
          <w:trHeight w:val="216"/>
        </w:trPr>
        <w:tc>
          <w:tcPr>
            <w:tcW w:w="690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43"/>
        </w:trPr>
        <w:tc>
          <w:tcPr>
            <w:tcW w:w="69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John E. Harper</w:t>
            </w:r>
          </w:p>
        </w:tc>
        <w:tc>
          <w:tcPr>
            <w:tcW w:w="4340" w:type="dxa"/>
            <w:vAlign w:val="bottom"/>
            <w:shd w:val="clear" w:color="auto" w:fill="CCEEFF"/>
          </w:tcPr>
          <w:p>
            <w:pPr>
              <w:jc w:val="right"/>
              <w:ind w:right="792"/>
              <w:spacing w:after="0" w:line="243" w:lineRule="exact"/>
              <w:rPr>
                <w:sz w:val="20"/>
                <w:szCs w:val="20"/>
                <w:color w:val="auto"/>
              </w:rPr>
            </w:pPr>
            <w:r>
              <w:rPr>
                <w:rFonts w:ascii="Arial" w:cs="Arial" w:eastAsia="Arial" w:hAnsi="Arial"/>
                <w:sz w:val="22"/>
                <w:szCs w:val="22"/>
                <w:color w:val="auto"/>
              </w:rPr>
              <w:t>-0-</w:t>
            </w:r>
          </w:p>
        </w:tc>
      </w:tr>
      <w:tr>
        <w:trPr>
          <w:trHeight w:val="216"/>
        </w:trPr>
        <w:tc>
          <w:tcPr>
            <w:tcW w:w="690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43"/>
        </w:trPr>
        <w:tc>
          <w:tcPr>
            <w:tcW w:w="69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Terri L. Herrington</w:t>
            </w:r>
          </w:p>
        </w:tc>
        <w:tc>
          <w:tcPr>
            <w:tcW w:w="4340" w:type="dxa"/>
            <w:vAlign w:val="bottom"/>
            <w:shd w:val="clear" w:color="auto" w:fill="CCEEFF"/>
          </w:tcPr>
          <w:p>
            <w:pPr>
              <w:jc w:val="right"/>
              <w:ind w:right="792"/>
              <w:spacing w:after="0" w:line="243" w:lineRule="exact"/>
              <w:rPr>
                <w:sz w:val="20"/>
                <w:szCs w:val="20"/>
                <w:color w:val="auto"/>
              </w:rPr>
            </w:pPr>
            <w:r>
              <w:rPr>
                <w:rFonts w:ascii="Arial" w:cs="Arial" w:eastAsia="Arial" w:hAnsi="Arial"/>
                <w:sz w:val="22"/>
                <w:szCs w:val="22"/>
                <w:color w:val="auto"/>
              </w:rPr>
              <w:t>2,600</w:t>
            </w:r>
          </w:p>
        </w:tc>
      </w:tr>
      <w:tr>
        <w:trPr>
          <w:trHeight w:val="216"/>
        </w:trPr>
        <w:tc>
          <w:tcPr>
            <w:tcW w:w="690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43"/>
        </w:trPr>
        <w:tc>
          <w:tcPr>
            <w:tcW w:w="69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Janet G. Keckeisen</w:t>
            </w:r>
          </w:p>
        </w:tc>
        <w:tc>
          <w:tcPr>
            <w:tcW w:w="4340" w:type="dxa"/>
            <w:vAlign w:val="bottom"/>
            <w:shd w:val="clear" w:color="auto" w:fill="CCEEFF"/>
          </w:tcPr>
          <w:p>
            <w:pPr>
              <w:jc w:val="right"/>
              <w:ind w:right="792"/>
              <w:spacing w:after="0" w:line="243" w:lineRule="exact"/>
              <w:rPr>
                <w:sz w:val="20"/>
                <w:szCs w:val="20"/>
                <w:color w:val="auto"/>
              </w:rPr>
            </w:pPr>
            <w:r>
              <w:rPr>
                <w:rFonts w:ascii="Arial" w:cs="Arial" w:eastAsia="Arial" w:hAnsi="Arial"/>
                <w:sz w:val="22"/>
                <w:szCs w:val="22"/>
                <w:color w:val="auto"/>
              </w:rPr>
              <w:t>-0-</w:t>
            </w:r>
          </w:p>
        </w:tc>
      </w:tr>
      <w:tr>
        <w:trPr>
          <w:trHeight w:val="216"/>
        </w:trPr>
        <w:tc>
          <w:tcPr>
            <w:tcW w:w="690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43"/>
        </w:trPr>
        <w:tc>
          <w:tcPr>
            <w:tcW w:w="69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Patricia A. Kropp</w:t>
            </w:r>
          </w:p>
        </w:tc>
        <w:tc>
          <w:tcPr>
            <w:tcW w:w="4340" w:type="dxa"/>
            <w:vAlign w:val="bottom"/>
            <w:shd w:val="clear" w:color="auto" w:fill="CCEEFF"/>
          </w:tcPr>
          <w:p>
            <w:pPr>
              <w:jc w:val="right"/>
              <w:ind w:right="792"/>
              <w:spacing w:after="0" w:line="243" w:lineRule="exact"/>
              <w:rPr>
                <w:sz w:val="20"/>
                <w:szCs w:val="20"/>
                <w:color w:val="auto"/>
              </w:rPr>
            </w:pPr>
            <w:r>
              <w:rPr>
                <w:rFonts w:ascii="Arial" w:cs="Arial" w:eastAsia="Arial" w:hAnsi="Arial"/>
                <w:sz w:val="22"/>
                <w:szCs w:val="22"/>
                <w:color w:val="auto"/>
              </w:rPr>
              <w:t>-0-</w:t>
            </w:r>
          </w:p>
        </w:tc>
      </w:tr>
      <w:tr>
        <w:trPr>
          <w:trHeight w:val="216"/>
        </w:trPr>
        <w:tc>
          <w:tcPr>
            <w:tcW w:w="690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43"/>
        </w:trPr>
        <w:tc>
          <w:tcPr>
            <w:tcW w:w="69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Kelly D. Luttmer</w:t>
            </w:r>
          </w:p>
        </w:tc>
        <w:tc>
          <w:tcPr>
            <w:tcW w:w="4340" w:type="dxa"/>
            <w:vAlign w:val="bottom"/>
            <w:shd w:val="clear" w:color="auto" w:fill="CCEEFF"/>
          </w:tcPr>
          <w:p>
            <w:pPr>
              <w:jc w:val="right"/>
              <w:ind w:right="792"/>
              <w:spacing w:after="0" w:line="243" w:lineRule="exact"/>
              <w:rPr>
                <w:sz w:val="20"/>
                <w:szCs w:val="20"/>
                <w:color w:val="auto"/>
              </w:rPr>
            </w:pPr>
            <w:r>
              <w:rPr>
                <w:rFonts w:ascii="Arial" w:cs="Arial" w:eastAsia="Arial" w:hAnsi="Arial"/>
                <w:sz w:val="22"/>
                <w:szCs w:val="22"/>
                <w:color w:val="auto"/>
              </w:rPr>
              <w:t>200</w:t>
            </w:r>
          </w:p>
        </w:tc>
      </w:tr>
      <w:tr>
        <w:trPr>
          <w:trHeight w:val="216"/>
        </w:trPr>
        <w:tc>
          <w:tcPr>
            <w:tcW w:w="690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43"/>
        </w:trPr>
        <w:tc>
          <w:tcPr>
            <w:tcW w:w="69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Meredith W. Mendes</w:t>
            </w:r>
          </w:p>
        </w:tc>
        <w:tc>
          <w:tcPr>
            <w:tcW w:w="4340" w:type="dxa"/>
            <w:vAlign w:val="bottom"/>
            <w:shd w:val="clear" w:color="auto" w:fill="CCEEFF"/>
          </w:tcPr>
          <w:p>
            <w:pPr>
              <w:jc w:val="right"/>
              <w:ind w:right="792"/>
              <w:spacing w:after="0" w:line="243" w:lineRule="exact"/>
              <w:rPr>
                <w:sz w:val="20"/>
                <w:szCs w:val="20"/>
                <w:color w:val="auto"/>
              </w:rPr>
            </w:pPr>
            <w:r>
              <w:rPr>
                <w:rFonts w:ascii="Arial" w:cs="Arial" w:eastAsia="Arial" w:hAnsi="Arial"/>
                <w:sz w:val="22"/>
                <w:szCs w:val="22"/>
                <w:color w:val="auto"/>
              </w:rPr>
              <w:t>-0-</w:t>
            </w:r>
          </w:p>
        </w:tc>
      </w:tr>
      <w:tr>
        <w:trPr>
          <w:trHeight w:val="216"/>
        </w:trPr>
        <w:tc>
          <w:tcPr>
            <w:tcW w:w="690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43"/>
        </w:trPr>
        <w:tc>
          <w:tcPr>
            <w:tcW w:w="69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W. Hayden McIlroy</w:t>
            </w:r>
          </w:p>
        </w:tc>
        <w:tc>
          <w:tcPr>
            <w:tcW w:w="4340" w:type="dxa"/>
            <w:vAlign w:val="bottom"/>
            <w:shd w:val="clear" w:color="auto" w:fill="CCEEFF"/>
          </w:tcPr>
          <w:p>
            <w:pPr>
              <w:jc w:val="right"/>
              <w:ind w:right="792"/>
              <w:spacing w:after="0" w:line="243" w:lineRule="exact"/>
              <w:rPr>
                <w:sz w:val="20"/>
                <w:szCs w:val="20"/>
                <w:color w:val="auto"/>
              </w:rPr>
            </w:pPr>
            <w:r>
              <w:rPr>
                <w:rFonts w:ascii="Arial" w:cs="Arial" w:eastAsia="Arial" w:hAnsi="Arial"/>
                <w:sz w:val="22"/>
                <w:szCs w:val="22"/>
                <w:color w:val="auto"/>
              </w:rPr>
              <w:t>-0-</w:t>
            </w:r>
          </w:p>
        </w:tc>
      </w:tr>
      <w:tr>
        <w:trPr>
          <w:trHeight w:val="216"/>
        </w:trPr>
        <w:tc>
          <w:tcPr>
            <w:tcW w:w="690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43"/>
        </w:trPr>
        <w:tc>
          <w:tcPr>
            <w:tcW w:w="69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Cecil H. Moore, Jr.</w:t>
            </w:r>
          </w:p>
        </w:tc>
        <w:tc>
          <w:tcPr>
            <w:tcW w:w="4340" w:type="dxa"/>
            <w:vAlign w:val="bottom"/>
            <w:shd w:val="clear" w:color="auto" w:fill="CCEEFF"/>
          </w:tcPr>
          <w:p>
            <w:pPr>
              <w:jc w:val="right"/>
              <w:ind w:right="792"/>
              <w:spacing w:after="0" w:line="243" w:lineRule="exact"/>
              <w:rPr>
                <w:sz w:val="20"/>
                <w:szCs w:val="20"/>
                <w:color w:val="auto"/>
              </w:rPr>
            </w:pPr>
            <w:r>
              <w:rPr>
                <w:rFonts w:ascii="Arial" w:cs="Arial" w:eastAsia="Arial" w:hAnsi="Arial"/>
                <w:sz w:val="22"/>
                <w:szCs w:val="22"/>
                <w:color w:val="auto"/>
              </w:rPr>
              <w:t>3,350</w:t>
            </w:r>
          </w:p>
        </w:tc>
      </w:tr>
      <w:tr>
        <w:trPr>
          <w:trHeight w:val="216"/>
        </w:trPr>
        <w:tc>
          <w:tcPr>
            <w:tcW w:w="690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43"/>
        </w:trPr>
        <w:tc>
          <w:tcPr>
            <w:tcW w:w="69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Andrew B. Nace</w:t>
            </w:r>
          </w:p>
        </w:tc>
        <w:tc>
          <w:tcPr>
            <w:tcW w:w="4340" w:type="dxa"/>
            <w:vAlign w:val="bottom"/>
            <w:shd w:val="clear" w:color="auto" w:fill="CCEEFF"/>
          </w:tcPr>
          <w:p>
            <w:pPr>
              <w:jc w:val="right"/>
              <w:ind w:right="792"/>
              <w:spacing w:after="0" w:line="243" w:lineRule="exact"/>
              <w:rPr>
                <w:sz w:val="20"/>
                <w:szCs w:val="20"/>
                <w:color w:val="auto"/>
              </w:rPr>
            </w:pPr>
            <w:r>
              <w:rPr>
                <w:rFonts w:ascii="Arial" w:cs="Arial" w:eastAsia="Arial" w:hAnsi="Arial"/>
                <w:sz w:val="22"/>
                <w:szCs w:val="22"/>
                <w:color w:val="auto"/>
              </w:rPr>
              <w:t>-0-</w:t>
            </w:r>
          </w:p>
        </w:tc>
      </w:tr>
      <w:tr>
        <w:trPr>
          <w:trHeight w:val="216"/>
        </w:trPr>
        <w:tc>
          <w:tcPr>
            <w:tcW w:w="690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43"/>
        </w:trPr>
        <w:tc>
          <w:tcPr>
            <w:tcW w:w="69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John R. Powers, III</w:t>
            </w:r>
          </w:p>
        </w:tc>
        <w:tc>
          <w:tcPr>
            <w:tcW w:w="4340" w:type="dxa"/>
            <w:vAlign w:val="bottom"/>
            <w:shd w:val="clear" w:color="auto" w:fill="CCEEFF"/>
          </w:tcPr>
          <w:p>
            <w:pPr>
              <w:jc w:val="right"/>
              <w:ind w:right="792"/>
              <w:spacing w:after="0" w:line="243" w:lineRule="exact"/>
              <w:rPr>
                <w:sz w:val="20"/>
                <w:szCs w:val="20"/>
                <w:color w:val="auto"/>
              </w:rPr>
            </w:pPr>
            <w:r>
              <w:rPr>
                <w:rFonts w:ascii="Arial" w:cs="Arial" w:eastAsia="Arial" w:hAnsi="Arial"/>
                <w:sz w:val="22"/>
                <w:szCs w:val="22"/>
                <w:color w:val="auto"/>
              </w:rPr>
              <w:t>-0-</w:t>
            </w:r>
          </w:p>
        </w:tc>
      </w:tr>
      <w:tr>
        <w:trPr>
          <w:trHeight w:val="216"/>
        </w:trPr>
        <w:tc>
          <w:tcPr>
            <w:tcW w:w="690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43"/>
        </w:trPr>
        <w:tc>
          <w:tcPr>
            <w:tcW w:w="69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Courtney J. Riley</w:t>
            </w:r>
          </w:p>
        </w:tc>
        <w:tc>
          <w:tcPr>
            <w:tcW w:w="4340" w:type="dxa"/>
            <w:vAlign w:val="bottom"/>
            <w:shd w:val="clear" w:color="auto" w:fill="CCEEFF"/>
          </w:tcPr>
          <w:p>
            <w:pPr>
              <w:jc w:val="right"/>
              <w:ind w:right="792"/>
              <w:spacing w:after="0" w:line="243" w:lineRule="exact"/>
              <w:rPr>
                <w:sz w:val="20"/>
                <w:szCs w:val="20"/>
                <w:color w:val="auto"/>
              </w:rPr>
            </w:pPr>
            <w:r>
              <w:rPr>
                <w:rFonts w:ascii="Arial" w:cs="Arial" w:eastAsia="Arial" w:hAnsi="Arial"/>
                <w:sz w:val="22"/>
                <w:szCs w:val="22"/>
                <w:color w:val="auto"/>
              </w:rPr>
              <w:t>-0-</w:t>
            </w:r>
          </w:p>
        </w:tc>
      </w:tr>
      <w:tr>
        <w:trPr>
          <w:trHeight w:val="216"/>
        </w:trPr>
        <w:tc>
          <w:tcPr>
            <w:tcW w:w="690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43"/>
        </w:trPr>
        <w:tc>
          <w:tcPr>
            <w:tcW w:w="69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Amy Allbach Samford</w:t>
            </w:r>
          </w:p>
        </w:tc>
        <w:tc>
          <w:tcPr>
            <w:tcW w:w="4340" w:type="dxa"/>
            <w:vAlign w:val="bottom"/>
            <w:shd w:val="clear" w:color="auto" w:fill="CCEEFF"/>
          </w:tcPr>
          <w:p>
            <w:pPr>
              <w:jc w:val="right"/>
              <w:ind w:right="792"/>
              <w:spacing w:after="0" w:line="243" w:lineRule="exact"/>
              <w:rPr>
                <w:sz w:val="20"/>
                <w:szCs w:val="20"/>
                <w:color w:val="auto"/>
              </w:rPr>
            </w:pPr>
            <w:r>
              <w:rPr>
                <w:rFonts w:ascii="Arial" w:cs="Arial" w:eastAsia="Arial" w:hAnsi="Arial"/>
                <w:sz w:val="22"/>
                <w:szCs w:val="22"/>
                <w:color w:val="auto"/>
              </w:rPr>
              <w:t>-0-</w:t>
            </w:r>
          </w:p>
        </w:tc>
      </w:tr>
      <w:tr>
        <w:trPr>
          <w:trHeight w:val="216"/>
        </w:trPr>
        <w:tc>
          <w:tcPr>
            <w:tcW w:w="690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43"/>
        </w:trPr>
        <w:tc>
          <w:tcPr>
            <w:tcW w:w="69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Lisa K. Simmons</w:t>
            </w:r>
          </w:p>
        </w:tc>
        <w:tc>
          <w:tcPr>
            <w:tcW w:w="4340" w:type="dxa"/>
            <w:vAlign w:val="bottom"/>
            <w:shd w:val="clear" w:color="auto" w:fill="CCEEFF"/>
          </w:tcPr>
          <w:p>
            <w:pPr>
              <w:jc w:val="right"/>
              <w:ind w:right="552"/>
              <w:spacing w:after="0" w:line="243" w:lineRule="exact"/>
              <w:rPr>
                <w:sz w:val="20"/>
                <w:szCs w:val="20"/>
                <w:color w:val="auto"/>
              </w:rPr>
            </w:pPr>
            <w:r>
              <w:rPr>
                <w:rFonts w:ascii="Arial" w:cs="Arial" w:eastAsia="Arial" w:hAnsi="Arial"/>
                <w:sz w:val="22"/>
                <w:szCs w:val="22"/>
                <w:color w:val="auto"/>
              </w:rPr>
              <w:t>-0-(1)</w:t>
            </w:r>
          </w:p>
        </w:tc>
      </w:tr>
      <w:tr>
        <w:trPr>
          <w:trHeight w:val="216"/>
        </w:trPr>
        <w:tc>
          <w:tcPr>
            <w:tcW w:w="690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43"/>
        </w:trPr>
        <w:tc>
          <w:tcPr>
            <w:tcW w:w="69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Thomas P. Stafford</w:t>
            </w:r>
          </w:p>
        </w:tc>
        <w:tc>
          <w:tcPr>
            <w:tcW w:w="4340" w:type="dxa"/>
            <w:vAlign w:val="bottom"/>
            <w:shd w:val="clear" w:color="auto" w:fill="CCEEFF"/>
          </w:tcPr>
          <w:p>
            <w:pPr>
              <w:jc w:val="right"/>
              <w:ind w:right="792"/>
              <w:spacing w:after="0" w:line="243" w:lineRule="exact"/>
              <w:rPr>
                <w:sz w:val="20"/>
                <w:szCs w:val="20"/>
                <w:color w:val="auto"/>
              </w:rPr>
            </w:pPr>
            <w:r>
              <w:rPr>
                <w:rFonts w:ascii="Arial" w:cs="Arial" w:eastAsia="Arial" w:hAnsi="Arial"/>
                <w:sz w:val="22"/>
                <w:szCs w:val="22"/>
                <w:color w:val="auto"/>
              </w:rPr>
              <w:t>-0-</w:t>
            </w:r>
          </w:p>
        </w:tc>
      </w:tr>
      <w:tr>
        <w:trPr>
          <w:trHeight w:val="216"/>
        </w:trPr>
        <w:tc>
          <w:tcPr>
            <w:tcW w:w="690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43"/>
        </w:trPr>
        <w:tc>
          <w:tcPr>
            <w:tcW w:w="69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John A. Sunny</w:t>
            </w:r>
          </w:p>
        </w:tc>
        <w:tc>
          <w:tcPr>
            <w:tcW w:w="4340" w:type="dxa"/>
            <w:vAlign w:val="bottom"/>
            <w:shd w:val="clear" w:color="auto" w:fill="CCEEFF"/>
          </w:tcPr>
          <w:p>
            <w:pPr>
              <w:jc w:val="right"/>
              <w:ind w:right="792"/>
              <w:spacing w:after="0" w:line="243" w:lineRule="exact"/>
              <w:rPr>
                <w:sz w:val="20"/>
                <w:szCs w:val="20"/>
                <w:color w:val="auto"/>
              </w:rPr>
            </w:pPr>
            <w:r>
              <w:rPr>
                <w:rFonts w:ascii="Arial" w:cs="Arial" w:eastAsia="Arial" w:hAnsi="Arial"/>
                <w:sz w:val="22"/>
                <w:szCs w:val="22"/>
                <w:color w:val="auto"/>
              </w:rPr>
              <w:t>-0-</w:t>
            </w:r>
          </w:p>
        </w:tc>
      </w:tr>
      <w:tr>
        <w:trPr>
          <w:trHeight w:val="216"/>
        </w:trPr>
        <w:tc>
          <w:tcPr>
            <w:tcW w:w="690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43"/>
        </w:trPr>
        <w:tc>
          <w:tcPr>
            <w:tcW w:w="69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Gregory M. Swalwell</w:t>
            </w:r>
          </w:p>
        </w:tc>
        <w:tc>
          <w:tcPr>
            <w:tcW w:w="4340" w:type="dxa"/>
            <w:vAlign w:val="bottom"/>
            <w:shd w:val="clear" w:color="auto" w:fill="CCEEFF"/>
          </w:tcPr>
          <w:p>
            <w:pPr>
              <w:jc w:val="right"/>
              <w:ind w:right="792"/>
              <w:spacing w:after="0" w:line="243" w:lineRule="exact"/>
              <w:rPr>
                <w:sz w:val="20"/>
                <w:szCs w:val="20"/>
                <w:color w:val="auto"/>
              </w:rPr>
            </w:pPr>
            <w:r>
              <w:rPr>
                <w:rFonts w:ascii="Arial" w:cs="Arial" w:eastAsia="Arial" w:hAnsi="Arial"/>
                <w:sz w:val="22"/>
                <w:szCs w:val="22"/>
                <w:color w:val="auto"/>
              </w:rPr>
              <w:t>-0-</w:t>
            </w:r>
          </w:p>
        </w:tc>
      </w:tr>
      <w:tr>
        <w:trPr>
          <w:trHeight w:val="216"/>
        </w:trPr>
        <w:tc>
          <w:tcPr>
            <w:tcW w:w="690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43"/>
        </w:trPr>
        <w:tc>
          <w:tcPr>
            <w:tcW w:w="69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Mary A. Tidlund</w:t>
            </w:r>
          </w:p>
        </w:tc>
        <w:tc>
          <w:tcPr>
            <w:tcW w:w="4340" w:type="dxa"/>
            <w:vAlign w:val="bottom"/>
            <w:shd w:val="clear" w:color="auto" w:fill="CCEEFF"/>
          </w:tcPr>
          <w:p>
            <w:pPr>
              <w:jc w:val="right"/>
              <w:ind w:right="792"/>
              <w:spacing w:after="0" w:line="243" w:lineRule="exact"/>
              <w:rPr>
                <w:sz w:val="20"/>
                <w:szCs w:val="20"/>
                <w:color w:val="auto"/>
              </w:rPr>
            </w:pPr>
            <w:r>
              <w:rPr>
                <w:rFonts w:ascii="Arial" w:cs="Arial" w:eastAsia="Arial" w:hAnsi="Arial"/>
                <w:sz w:val="22"/>
                <w:szCs w:val="22"/>
                <w:color w:val="auto"/>
              </w:rPr>
              <w:t>4,600</w:t>
            </w:r>
          </w:p>
        </w:tc>
      </w:tr>
      <w:tr>
        <w:trPr>
          <w:trHeight w:val="216"/>
        </w:trPr>
        <w:tc>
          <w:tcPr>
            <w:tcW w:w="690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43"/>
        </w:trPr>
        <w:tc>
          <w:tcPr>
            <w:tcW w:w="69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R. Gerald Turner.</w:t>
            </w:r>
          </w:p>
        </w:tc>
        <w:tc>
          <w:tcPr>
            <w:tcW w:w="4340" w:type="dxa"/>
            <w:vAlign w:val="bottom"/>
            <w:shd w:val="clear" w:color="auto" w:fill="CCEEFF"/>
          </w:tcPr>
          <w:p>
            <w:pPr>
              <w:jc w:val="right"/>
              <w:ind w:right="792"/>
              <w:spacing w:after="0" w:line="243" w:lineRule="exact"/>
              <w:rPr>
                <w:sz w:val="20"/>
                <w:szCs w:val="20"/>
                <w:color w:val="auto"/>
              </w:rPr>
            </w:pPr>
            <w:r>
              <w:rPr>
                <w:rFonts w:ascii="Arial" w:cs="Arial" w:eastAsia="Arial" w:hAnsi="Arial"/>
                <w:sz w:val="22"/>
                <w:szCs w:val="22"/>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660" w:hanging="652"/>
        <w:spacing w:after="0" w:line="274" w:lineRule="auto"/>
        <w:tabs>
          <w:tab w:leader="none" w:pos="660" w:val="left"/>
        </w:tabs>
        <w:numPr>
          <w:ilvl w:val="0"/>
          <w:numId w:val="67"/>
        </w:numPr>
        <w:rPr>
          <w:rFonts w:ascii="Arial" w:cs="Arial" w:eastAsia="Arial" w:hAnsi="Arial"/>
          <w:sz w:val="21"/>
          <w:szCs w:val="21"/>
          <w:color w:val="auto"/>
        </w:rPr>
      </w:pPr>
      <w:r>
        <w:rPr>
          <w:rFonts w:ascii="Arial" w:cs="Arial" w:eastAsia="Arial" w:hAnsi="Arial"/>
          <w:sz w:val="21"/>
          <w:szCs w:val="21"/>
          <w:color w:val="auto"/>
        </w:rPr>
        <w:t>Does not include Class A Shares of which Ms. Simmons may be deemed to possess indirect beneficial ownership as described in Items 2 and 5(a) of this Statement. Ms. Simmons disclaims beneficial ownership of all Shares.</w:t>
      </w:r>
    </w:p>
    <w:p>
      <w:pPr>
        <w:sectPr>
          <w:pgSz w:w="11900" w:h="16838" w:orient="portrait"/>
          <w:cols w:equalWidth="0" w:num="1">
            <w:col w:w="11240"/>
          </w:cols>
          <w:pgMar w:left="320" w:top="111" w:right="339" w:bottom="79" w:gutter="0" w:footer="0" w:header="0"/>
        </w:sectPr>
      </w:pPr>
    </w:p>
    <w:bookmarkStart w:id="22" w:name="page23"/>
    <w:bookmarkEnd w:id="22"/>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CONTRAN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AMENDED AND RESTATED STOCKHOLDERS AGREEMENT</w:t>
      </w: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September 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1044575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3" w:name="page24"/>
    <w:bookmarkEnd w:id="23"/>
    <w:p>
      <w:pPr>
        <w:jc w:val="center"/>
        <w:ind w:right="-79"/>
        <w:spacing w:after="0"/>
        <w:rPr>
          <w:sz w:val="20"/>
          <w:szCs w:val="20"/>
          <w:color w:val="auto"/>
        </w:rPr>
      </w:pPr>
      <w:r>
        <w:rPr>
          <w:rFonts w:ascii="Arial" w:cs="Arial" w:eastAsia="Arial" w:hAnsi="Arial"/>
          <w:sz w:val="22"/>
          <w:szCs w:val="22"/>
          <w:b w:val="1"/>
          <w:bCs w:val="1"/>
          <w:color w:val="auto"/>
        </w:rPr>
        <w:t>CONTRAN CORPORATION</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AMENDED AND RESTATED STOCKHOLDERS AGREEMENT</w:t>
      </w:r>
    </w:p>
    <w:p>
      <w:pPr>
        <w:spacing w:after="0" w:line="16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 xml:space="preserve">This Amended and Restated Stockholders Agreement (the </w:t>
      </w:r>
      <w:r>
        <w:rPr>
          <w:rFonts w:ascii="Arial" w:cs="Arial" w:eastAsia="Arial" w:hAnsi="Arial"/>
          <w:sz w:val="19"/>
          <w:szCs w:val="19"/>
          <w:i w:val="1"/>
          <w:iCs w:val="1"/>
          <w:color w:val="auto"/>
        </w:rPr>
        <w:t>“Agreement”)</w:t>
      </w:r>
      <w:r>
        <w:rPr>
          <w:rFonts w:ascii="Arial" w:cs="Arial" w:eastAsia="Arial" w:hAnsi="Arial"/>
          <w:sz w:val="19"/>
          <w:szCs w:val="19"/>
          <w:color w:val="auto"/>
        </w:rPr>
        <w:t xml:space="preserve"> is made and effective as of September 3, 2019 (the </w:t>
      </w:r>
      <w:r>
        <w:rPr>
          <w:rFonts w:ascii="Arial" w:cs="Arial" w:eastAsia="Arial" w:hAnsi="Arial"/>
          <w:sz w:val="19"/>
          <w:szCs w:val="19"/>
          <w:i w:val="1"/>
          <w:iCs w:val="1"/>
          <w:color w:val="auto"/>
        </w:rPr>
        <w:t>“Effective Date”),</w:t>
      </w:r>
      <w:r>
        <w:rPr>
          <w:rFonts w:ascii="Arial" w:cs="Arial" w:eastAsia="Arial" w:hAnsi="Arial"/>
          <w:sz w:val="19"/>
          <w:szCs w:val="19"/>
          <w:color w:val="auto"/>
        </w:rPr>
        <w:t xml:space="preserve"> by and among Lisa K. Simmons </w:t>
      </w:r>
      <w:r>
        <w:rPr>
          <w:rFonts w:ascii="Arial" w:cs="Arial" w:eastAsia="Arial" w:hAnsi="Arial"/>
          <w:sz w:val="19"/>
          <w:szCs w:val="19"/>
          <w:i w:val="1"/>
          <w:iCs w:val="1"/>
          <w:color w:val="auto"/>
        </w:rPr>
        <w:t>(“LKS”)</w:t>
      </w:r>
      <w:r>
        <w:rPr>
          <w:rFonts w:ascii="Arial" w:cs="Arial" w:eastAsia="Arial" w:hAnsi="Arial"/>
          <w:sz w:val="19"/>
          <w:szCs w:val="19"/>
          <w:color w:val="auto"/>
        </w:rPr>
        <w:t xml:space="preserve"> and Serena S. Connelly </w:t>
      </w:r>
      <w:r>
        <w:rPr>
          <w:rFonts w:ascii="Arial" w:cs="Arial" w:eastAsia="Arial" w:hAnsi="Arial"/>
          <w:sz w:val="19"/>
          <w:szCs w:val="19"/>
          <w:i w:val="1"/>
          <w:iCs w:val="1"/>
          <w:color w:val="auto"/>
        </w:rPr>
        <w:t>(“SSC),</w:t>
      </w:r>
      <w:r>
        <w:rPr>
          <w:rFonts w:ascii="Arial" w:cs="Arial" w:eastAsia="Arial" w:hAnsi="Arial"/>
          <w:sz w:val="19"/>
          <w:szCs w:val="19"/>
          <w:color w:val="auto"/>
        </w:rPr>
        <w:t xml:space="preserve"> individually and in their respective capacities as trustees of certain trusts listed on </w:t>
      </w:r>
      <w:r>
        <w:rPr>
          <w:rFonts w:ascii="Arial" w:cs="Arial" w:eastAsia="Arial" w:hAnsi="Arial"/>
          <w:sz w:val="19"/>
          <w:szCs w:val="19"/>
          <w:u w:val="single" w:color="auto"/>
          <w:color w:val="auto"/>
        </w:rPr>
        <w:t>Appendix A,</w:t>
      </w:r>
      <w:r>
        <w:rPr>
          <w:rFonts w:ascii="Arial" w:cs="Arial" w:eastAsia="Arial" w:hAnsi="Arial"/>
          <w:sz w:val="19"/>
          <w:szCs w:val="19"/>
          <w:color w:val="auto"/>
        </w:rPr>
        <w:t xml:space="preserve"> and each as a holder (each a </w:t>
      </w:r>
      <w:r>
        <w:rPr>
          <w:rFonts w:ascii="Arial" w:cs="Arial" w:eastAsia="Arial" w:hAnsi="Arial"/>
          <w:sz w:val="19"/>
          <w:szCs w:val="19"/>
          <w:i w:val="1"/>
          <w:iCs w:val="1"/>
          <w:color w:val="auto"/>
        </w:rPr>
        <w:t>“Holder”</w:t>
      </w:r>
      <w:r>
        <w:rPr>
          <w:rFonts w:ascii="Arial" w:cs="Arial" w:eastAsia="Arial" w:hAnsi="Arial"/>
          <w:sz w:val="19"/>
          <w:szCs w:val="19"/>
          <w:color w:val="auto"/>
        </w:rPr>
        <w:t xml:space="preserve"> and together the </w:t>
      </w:r>
      <w:r>
        <w:rPr>
          <w:rFonts w:ascii="Arial" w:cs="Arial" w:eastAsia="Arial" w:hAnsi="Arial"/>
          <w:sz w:val="19"/>
          <w:szCs w:val="19"/>
          <w:i w:val="1"/>
          <w:iCs w:val="1"/>
          <w:color w:val="auto"/>
        </w:rPr>
        <w:t xml:space="preserve">“Holders”) </w:t>
      </w:r>
      <w:r>
        <w:rPr>
          <w:rFonts w:ascii="Arial" w:cs="Arial" w:eastAsia="Arial" w:hAnsi="Arial"/>
          <w:sz w:val="19"/>
          <w:szCs w:val="19"/>
          <w:color w:val="auto"/>
        </w:rPr>
        <w:t>of voting stock of Contran Corporation</w:t>
      </w:r>
      <w:r>
        <w:rPr>
          <w:rFonts w:ascii="Arial" w:cs="Arial" w:eastAsia="Arial" w:hAnsi="Arial"/>
          <w:sz w:val="19"/>
          <w:szCs w:val="19"/>
          <w:i w:val="1"/>
          <w:iCs w:val="1"/>
          <w:color w:val="auto"/>
        </w:rPr>
        <w:t xml:space="preserve"> (“Contran”), </w:t>
      </w:r>
      <w:r>
        <w:rPr>
          <w:rFonts w:ascii="Arial" w:cs="Arial" w:eastAsia="Arial" w:hAnsi="Arial"/>
          <w:sz w:val="19"/>
          <w:szCs w:val="19"/>
          <w:color w:val="auto"/>
        </w:rPr>
        <w:t>a Delaware corporation, listed on</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Appendix A</w:t>
      </w:r>
      <w:r>
        <w:rPr>
          <w:rFonts w:ascii="Arial" w:cs="Arial" w:eastAsia="Arial" w:hAnsi="Arial"/>
          <w:sz w:val="19"/>
          <w:szCs w:val="19"/>
          <w:i w:val="1"/>
          <w:iCs w:val="1"/>
          <w:color w:val="auto"/>
        </w:rPr>
        <w:t xml:space="preserve"> </w:t>
      </w:r>
      <w:r>
        <w:rPr>
          <w:rFonts w:ascii="Arial" w:cs="Arial" w:eastAsia="Arial" w:hAnsi="Arial"/>
          <w:sz w:val="19"/>
          <w:szCs w:val="19"/>
          <w:color w:val="auto"/>
        </w:rPr>
        <w:t>, Contran and</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Tolleson Private Bank, a Texas state-chartered bank, not in its individual capacity but solely as trustee of the Harold C. Simmons Family Trust No. 2 (together with any successor trustee to the Harold C. Simmons Family Trust No. 2, </w:t>
      </w:r>
      <w:r>
        <w:rPr>
          <w:rFonts w:ascii="Arial" w:cs="Arial" w:eastAsia="Arial" w:hAnsi="Arial"/>
          <w:sz w:val="19"/>
          <w:szCs w:val="19"/>
          <w:i w:val="1"/>
          <w:iCs w:val="1"/>
          <w:color w:val="auto"/>
        </w:rPr>
        <w:t>“Trust 2 Trustee”</w:t>
      </w:r>
      <w:r>
        <w:rPr>
          <w:rFonts w:ascii="Arial" w:cs="Arial" w:eastAsia="Arial" w:hAnsi="Arial"/>
          <w:sz w:val="19"/>
          <w:szCs w:val="19"/>
          <w:color w:val="auto"/>
        </w:rPr>
        <w:t xml:space="preserve"> ).</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Recitals</w:t>
      </w:r>
    </w:p>
    <w:p>
      <w:pPr>
        <w:spacing w:after="0" w:line="173"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21"/>
          <w:szCs w:val="21"/>
          <w:b w:val="1"/>
          <w:bCs w:val="1"/>
          <w:color w:val="auto"/>
        </w:rPr>
        <w:t xml:space="preserve">Whereas </w:t>
      </w:r>
      <w:r>
        <w:rPr>
          <w:rFonts w:ascii="Arial" w:cs="Arial" w:eastAsia="Arial" w:hAnsi="Arial"/>
          <w:sz w:val="21"/>
          <w:szCs w:val="21"/>
          <w:color w:val="auto"/>
        </w:rPr>
        <w:t>, each Holder owns and/or has the right to vote the share(s) of voting stock of Contran (whether now owned or</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hereafter acquired the </w:t>
      </w:r>
      <w:r>
        <w:rPr>
          <w:rFonts w:ascii="Arial" w:cs="Arial" w:eastAsia="Arial" w:hAnsi="Arial"/>
          <w:sz w:val="21"/>
          <w:szCs w:val="21"/>
          <w:i w:val="1"/>
          <w:iCs w:val="1"/>
          <w:color w:val="auto"/>
        </w:rPr>
        <w:t>“Voting Stock”)</w:t>
      </w:r>
      <w:r>
        <w:rPr>
          <w:rFonts w:ascii="Arial" w:cs="Arial" w:eastAsia="Arial" w:hAnsi="Arial"/>
          <w:sz w:val="21"/>
          <w:szCs w:val="21"/>
          <w:color w:val="auto"/>
        </w:rPr>
        <w:t xml:space="preserve"> set forth opposite such Holder's name on </w:t>
      </w:r>
      <w:r>
        <w:rPr>
          <w:rFonts w:ascii="Arial" w:cs="Arial" w:eastAsia="Arial" w:hAnsi="Arial"/>
          <w:sz w:val="21"/>
          <w:szCs w:val="21"/>
          <w:u w:val="single" w:color="auto"/>
          <w:color w:val="auto"/>
        </w:rPr>
        <w:t>Appendix A</w:t>
      </w:r>
      <w:r>
        <w:rPr>
          <w:rFonts w:ascii="Arial" w:cs="Arial" w:eastAsia="Arial" w:hAnsi="Arial"/>
          <w:sz w:val="21"/>
          <w:szCs w:val="21"/>
          <w:color w:val="auto"/>
        </w:rPr>
        <w:t xml:space="preserve"> hereto; and</w:t>
      </w:r>
    </w:p>
    <w:p>
      <w:pPr>
        <w:spacing w:after="0" w:line="112"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 the Holders and Contran entered into that certain Contran Corporation Stockholders Agreement with an</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effective date of October 20, 2017 (the “ </w:t>
      </w:r>
      <w:r>
        <w:rPr>
          <w:rFonts w:ascii="Arial" w:cs="Arial" w:eastAsia="Arial" w:hAnsi="Arial"/>
          <w:sz w:val="22"/>
          <w:szCs w:val="22"/>
          <w:i w:val="1"/>
          <w:iCs w:val="1"/>
          <w:color w:val="auto"/>
        </w:rPr>
        <w:t>Stockholders Agreement</w:t>
      </w:r>
      <w:r>
        <w:rPr>
          <w:rFonts w:ascii="Arial" w:cs="Arial" w:eastAsia="Arial" w:hAnsi="Arial"/>
          <w:sz w:val="22"/>
          <w:szCs w:val="22"/>
          <w:color w:val="auto"/>
        </w:rPr>
        <w:t xml:space="preserve"> ”); and</w:t>
      </w:r>
    </w:p>
    <w:p>
      <w:pPr>
        <w:spacing w:after="0" w:line="13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 upon the Effective Date, Trust 2 Trustee became the successor trustee of the Harold C. Simmons Family Trust</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No. 2 (“ </w:t>
      </w:r>
      <w:r>
        <w:rPr>
          <w:rFonts w:ascii="Arial" w:cs="Arial" w:eastAsia="Arial" w:hAnsi="Arial"/>
          <w:sz w:val="22"/>
          <w:szCs w:val="22"/>
          <w:i w:val="1"/>
          <w:iCs w:val="1"/>
          <w:color w:val="auto"/>
        </w:rPr>
        <w:t>Trust 2</w:t>
      </w:r>
      <w:r>
        <w:rPr>
          <w:rFonts w:ascii="Arial" w:cs="Arial" w:eastAsia="Arial" w:hAnsi="Arial"/>
          <w:sz w:val="22"/>
          <w:szCs w:val="22"/>
          <w:color w:val="auto"/>
        </w:rPr>
        <w:t xml:space="preserve"> ”) and holds and has the right to vote the shares of Voting Stock set forth opposite its name on </w:t>
      </w:r>
      <w:r>
        <w:rPr>
          <w:rFonts w:ascii="Arial" w:cs="Arial" w:eastAsia="Arial" w:hAnsi="Arial"/>
          <w:sz w:val="22"/>
          <w:szCs w:val="22"/>
          <w:u w:val="single" w:color="auto"/>
          <w:color w:val="auto"/>
        </w:rPr>
        <w:t>Appendix A</w:t>
      </w:r>
      <w:r>
        <w:rPr>
          <w:rFonts w:ascii="Arial" w:cs="Arial" w:eastAsia="Arial" w:hAnsi="Arial"/>
          <w:sz w:val="22"/>
          <w:szCs w:val="22"/>
          <w:color w:val="auto"/>
        </w:rPr>
        <w:t xml:space="preserve"> hereto; and</w:t>
      </w:r>
    </w:p>
    <w:p>
      <w:pPr>
        <w:spacing w:after="0" w:line="163" w:lineRule="exact"/>
        <w:rPr>
          <w:sz w:val="20"/>
          <w:szCs w:val="20"/>
          <w:color w:val="auto"/>
        </w:rPr>
      </w:pPr>
    </w:p>
    <w:p>
      <w:pPr>
        <w:jc w:val="both"/>
        <w:ind w:firstLine="648"/>
        <w:spacing w:after="0" w:line="334" w:lineRule="auto"/>
        <w:rPr>
          <w:sz w:val="20"/>
          <w:szCs w:val="20"/>
          <w:color w:val="auto"/>
        </w:rPr>
      </w:pPr>
      <w:r>
        <w:rPr>
          <w:rFonts w:ascii="Arial" w:cs="Arial" w:eastAsia="Arial" w:hAnsi="Arial"/>
          <w:sz w:val="19"/>
          <w:szCs w:val="19"/>
          <w:b w:val="1"/>
          <w:bCs w:val="1"/>
          <w:color w:val="auto"/>
        </w:rPr>
        <w:t xml:space="preserve">Whereas </w:t>
      </w:r>
      <w:r>
        <w:rPr>
          <w:rFonts w:ascii="Arial" w:cs="Arial" w:eastAsia="Arial" w:hAnsi="Arial"/>
          <w:sz w:val="19"/>
          <w:szCs w:val="19"/>
          <w:color w:val="auto"/>
        </w:rPr>
        <w:t>, each Holder, Contran and Trust 2 Trustee desire to enter into this Agreement to set forth certain rights, duties</w:t>
      </w:r>
      <w:r>
        <w:rPr>
          <w:rFonts w:ascii="Arial" w:cs="Arial" w:eastAsia="Arial" w:hAnsi="Arial"/>
          <w:sz w:val="19"/>
          <w:szCs w:val="19"/>
          <w:b w:val="1"/>
          <w:bCs w:val="1"/>
          <w:color w:val="auto"/>
        </w:rPr>
        <w:t xml:space="preserve"> </w:t>
      </w:r>
      <w:r>
        <w:rPr>
          <w:rFonts w:ascii="Arial" w:cs="Arial" w:eastAsia="Arial" w:hAnsi="Arial"/>
          <w:sz w:val="19"/>
          <w:szCs w:val="19"/>
          <w:color w:val="auto"/>
        </w:rPr>
        <w:t>and obligations with respect to the Voting Stock and to amend, restate and replace in its entirety the Stockholders Agreement; and</w:t>
      </w:r>
    </w:p>
    <w:p>
      <w:pPr>
        <w:spacing w:after="0" w:line="94" w:lineRule="exact"/>
        <w:rPr>
          <w:sz w:val="20"/>
          <w:szCs w:val="20"/>
          <w:color w:val="auto"/>
        </w:rPr>
      </w:pPr>
    </w:p>
    <w:p>
      <w:pPr>
        <w:jc w:val="both"/>
        <w:ind w:right="20" w:firstLine="648"/>
        <w:spacing w:after="0" w:line="280" w:lineRule="auto"/>
        <w:rPr>
          <w:sz w:val="20"/>
          <w:szCs w:val="20"/>
          <w:color w:val="auto"/>
        </w:rPr>
      </w:pPr>
      <w:r>
        <w:rPr>
          <w:rFonts w:ascii="Arial" w:cs="Arial" w:eastAsia="Arial" w:hAnsi="Arial"/>
          <w:sz w:val="21"/>
          <w:szCs w:val="21"/>
          <w:b w:val="1"/>
          <w:bCs w:val="1"/>
          <w:color w:val="auto"/>
        </w:rPr>
        <w:t xml:space="preserve">Whereas </w:t>
      </w:r>
      <w:r>
        <w:rPr>
          <w:rFonts w:ascii="Arial" w:cs="Arial" w:eastAsia="Arial" w:hAnsi="Arial"/>
          <w:sz w:val="21"/>
          <w:szCs w:val="21"/>
          <w:color w:val="auto"/>
        </w:rPr>
        <w:t>, each Holder and Trust 2 Trustee acknowledges that such Holder's and Trust 2 Trustee’s respective investment</w:t>
      </w:r>
      <w:r>
        <w:rPr>
          <w:rFonts w:ascii="Arial" w:cs="Arial" w:eastAsia="Arial" w:hAnsi="Arial"/>
          <w:sz w:val="21"/>
          <w:szCs w:val="21"/>
          <w:b w:val="1"/>
          <w:bCs w:val="1"/>
          <w:color w:val="auto"/>
        </w:rPr>
        <w:t xml:space="preserve"> </w:t>
      </w:r>
      <w:r>
        <w:rPr>
          <w:rFonts w:ascii="Arial" w:cs="Arial" w:eastAsia="Arial" w:hAnsi="Arial"/>
          <w:sz w:val="21"/>
          <w:szCs w:val="21"/>
          <w:color w:val="auto"/>
        </w:rPr>
        <w:t>in the Voting Stock will benefit from the terms and conditions as set forth in this Agreement; and</w:t>
      </w:r>
    </w:p>
    <w:p>
      <w:pPr>
        <w:spacing w:after="0" w:line="125" w:lineRule="exact"/>
        <w:rPr>
          <w:sz w:val="20"/>
          <w:szCs w:val="20"/>
          <w:color w:val="auto"/>
        </w:rPr>
      </w:pPr>
    </w:p>
    <w:p>
      <w:pPr>
        <w:jc w:val="both"/>
        <w:ind w:right="20" w:firstLine="648"/>
        <w:spacing w:after="0" w:line="334" w:lineRule="auto"/>
        <w:rPr>
          <w:sz w:val="20"/>
          <w:szCs w:val="20"/>
          <w:color w:val="auto"/>
        </w:rPr>
      </w:pPr>
      <w:r>
        <w:rPr>
          <w:rFonts w:ascii="Arial" w:cs="Arial" w:eastAsia="Arial" w:hAnsi="Arial"/>
          <w:sz w:val="19"/>
          <w:szCs w:val="19"/>
          <w:b w:val="1"/>
          <w:bCs w:val="1"/>
          <w:color w:val="auto"/>
        </w:rPr>
        <w:t xml:space="preserve">Whereas </w:t>
      </w:r>
      <w:r>
        <w:rPr>
          <w:rFonts w:ascii="Arial" w:cs="Arial" w:eastAsia="Arial" w:hAnsi="Arial"/>
          <w:sz w:val="19"/>
          <w:szCs w:val="19"/>
          <w:color w:val="auto"/>
        </w:rPr>
        <w:t>, other prospective holders of Voting Stock, including Permitted Transferees, as hereinafter defined, will be</w:t>
      </w:r>
      <w:r>
        <w:rPr>
          <w:rFonts w:ascii="Arial" w:cs="Arial" w:eastAsia="Arial" w:hAnsi="Arial"/>
          <w:sz w:val="19"/>
          <w:szCs w:val="19"/>
          <w:b w:val="1"/>
          <w:bCs w:val="1"/>
          <w:color w:val="auto"/>
        </w:rPr>
        <w:t xml:space="preserve"> </w:t>
      </w:r>
      <w:r>
        <w:rPr>
          <w:rFonts w:ascii="Arial" w:cs="Arial" w:eastAsia="Arial" w:hAnsi="Arial"/>
          <w:sz w:val="19"/>
          <w:szCs w:val="19"/>
          <w:color w:val="auto"/>
        </w:rPr>
        <w:t>bound by the terms of this Agreement, and when used herein without capitalization, “holders” will include “Holders;” and</w:t>
      </w:r>
    </w:p>
    <w:p>
      <w:pPr>
        <w:spacing w:after="0" w:line="8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 this Agreement provides for certain rights of first refusal for LKS, SSC, Contran, Trust 2 Trustee and</w:t>
      </w:r>
      <w:r>
        <w:rPr>
          <w:rFonts w:ascii="Arial" w:cs="Arial" w:eastAsia="Arial" w:hAnsi="Arial"/>
          <w:sz w:val="22"/>
          <w:szCs w:val="22"/>
          <w:b w:val="1"/>
          <w:bCs w:val="1"/>
          <w:color w:val="auto"/>
        </w:rPr>
        <w:t xml:space="preserve"> </w:t>
      </w:r>
      <w:r>
        <w:rPr>
          <w:rFonts w:ascii="Arial" w:cs="Arial" w:eastAsia="Arial" w:hAnsi="Arial"/>
          <w:sz w:val="22"/>
          <w:szCs w:val="22"/>
          <w:color w:val="auto"/>
        </w:rPr>
        <w:t>Permitted Transferees, as hereinafter defined, provided that in each instance, such rights may be exercised only to purchase the full amount of Voting Stock being offered by the proposed transferor; and</w:t>
      </w:r>
    </w:p>
    <w:p>
      <w:pPr>
        <w:spacing w:after="0" w:line="17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 transfers between two or more Permitted Transferees, as hereinafter defined, and transfers between one or</w:t>
      </w:r>
      <w:r>
        <w:rPr>
          <w:rFonts w:ascii="Arial" w:cs="Arial" w:eastAsia="Arial" w:hAnsi="Arial"/>
          <w:sz w:val="22"/>
          <w:szCs w:val="22"/>
          <w:b w:val="1"/>
          <w:bCs w:val="1"/>
          <w:color w:val="auto"/>
        </w:rPr>
        <w:t xml:space="preserve"> </w:t>
      </w:r>
      <w:r>
        <w:rPr>
          <w:rFonts w:ascii="Arial" w:cs="Arial" w:eastAsia="Arial" w:hAnsi="Arial"/>
          <w:sz w:val="22"/>
          <w:szCs w:val="22"/>
          <w:color w:val="auto"/>
        </w:rPr>
        <w:t>more Permitted Transferees and Trust 2 Trustee, are expressly excluded from the application of rights of first refusal pursuant to this Agreement; and</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24" w:name="page25"/>
    <w:bookmarkEnd w:id="24"/>
    <w:p>
      <w:pPr>
        <w:jc w:val="both"/>
        <w:ind w:right="20" w:firstLine="648"/>
        <w:spacing w:after="0" w:line="254" w:lineRule="auto"/>
        <w:rPr>
          <w:sz w:val="20"/>
          <w:szCs w:val="20"/>
          <w:color w:val="auto"/>
        </w:rPr>
      </w:pPr>
      <w:r>
        <w:rPr>
          <w:rFonts w:ascii="Arial" w:cs="Arial" w:eastAsia="Arial" w:hAnsi="Arial"/>
          <w:sz w:val="21"/>
          <w:szCs w:val="21"/>
          <w:b w:val="1"/>
          <w:bCs w:val="1"/>
          <w:color w:val="auto"/>
        </w:rPr>
        <w:t xml:space="preserve">Whereas </w:t>
      </w:r>
      <w:r>
        <w:rPr>
          <w:rFonts w:ascii="Arial" w:cs="Arial" w:eastAsia="Arial" w:hAnsi="Arial"/>
          <w:sz w:val="21"/>
          <w:szCs w:val="21"/>
          <w:color w:val="auto"/>
        </w:rPr>
        <w:t>, in the event of transfers of Voting Stock other than transfers between two or more Permitted Transferees, as</w:t>
      </w:r>
      <w:r>
        <w:rPr>
          <w:rFonts w:ascii="Arial" w:cs="Arial" w:eastAsia="Arial" w:hAnsi="Arial"/>
          <w:sz w:val="21"/>
          <w:szCs w:val="21"/>
          <w:b w:val="1"/>
          <w:bCs w:val="1"/>
          <w:color w:val="auto"/>
        </w:rPr>
        <w:t xml:space="preserve"> </w:t>
      </w:r>
      <w:r>
        <w:rPr>
          <w:rFonts w:ascii="Arial" w:cs="Arial" w:eastAsia="Arial" w:hAnsi="Arial"/>
          <w:sz w:val="21"/>
          <w:szCs w:val="21"/>
          <w:color w:val="auto"/>
        </w:rPr>
        <w:t>hereinafter defined, and transfers between one or more Permitted Transferees and Trust 2 Trustee , the right of first refusal obligations shall continue to apply to the Voting Stock acquired by such Third Party Transferees, as hereinafter defined, for the continuing benefit of LKS, SSC, Contran, Trust 2 Trustee and Permitted Transferees; and</w:t>
      </w:r>
    </w:p>
    <w:p>
      <w:pPr>
        <w:spacing w:after="0" w:line="166"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 a Third Party Transferee will be subject to the right of first refusal obligations of this Agreement but will not</w:t>
      </w:r>
      <w:r>
        <w:rPr>
          <w:rFonts w:ascii="Arial" w:cs="Arial" w:eastAsia="Arial" w:hAnsi="Arial"/>
          <w:sz w:val="22"/>
          <w:szCs w:val="22"/>
          <w:b w:val="1"/>
          <w:bCs w:val="1"/>
          <w:color w:val="auto"/>
        </w:rPr>
        <w:t xml:space="preserve"> </w:t>
      </w:r>
      <w:r>
        <w:rPr>
          <w:rFonts w:ascii="Arial" w:cs="Arial" w:eastAsia="Arial" w:hAnsi="Arial"/>
          <w:sz w:val="22"/>
          <w:szCs w:val="22"/>
          <w:color w:val="auto"/>
        </w:rPr>
        <w:t>be afforded rights of first refusal; and</w:t>
      </w:r>
    </w:p>
    <w:p>
      <w:pPr>
        <w:spacing w:after="0" w:line="162" w:lineRule="exact"/>
        <w:rPr>
          <w:sz w:val="20"/>
          <w:szCs w:val="20"/>
          <w:color w:val="auto"/>
        </w:rPr>
      </w:pPr>
    </w:p>
    <w:p>
      <w:pPr>
        <w:jc w:val="both"/>
        <w:ind w:right="20" w:firstLine="648"/>
        <w:spacing w:after="0" w:line="300" w:lineRule="auto"/>
        <w:rPr>
          <w:sz w:val="20"/>
          <w:szCs w:val="20"/>
          <w:color w:val="auto"/>
        </w:rPr>
      </w:pPr>
      <w:r>
        <w:rPr>
          <w:rFonts w:ascii="Arial" w:cs="Arial" w:eastAsia="Arial" w:hAnsi="Arial"/>
          <w:sz w:val="19"/>
          <w:szCs w:val="19"/>
          <w:b w:val="1"/>
          <w:bCs w:val="1"/>
          <w:color w:val="auto"/>
        </w:rPr>
        <w:t xml:space="preserve">Whereas </w:t>
      </w:r>
      <w:r>
        <w:rPr>
          <w:rFonts w:ascii="Arial" w:cs="Arial" w:eastAsia="Arial" w:hAnsi="Arial"/>
          <w:sz w:val="19"/>
          <w:szCs w:val="19"/>
          <w:color w:val="auto"/>
        </w:rPr>
        <w:t>, this Agreement provides for certain voting requirements upon the death of the first to die of LKS and SSC (the</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 xml:space="preserve">“Deceased Sister”), </w:t>
      </w:r>
      <w:r>
        <w:rPr>
          <w:rFonts w:ascii="Arial" w:cs="Arial" w:eastAsia="Arial" w:hAnsi="Arial"/>
          <w:sz w:val="19"/>
          <w:szCs w:val="19"/>
          <w:color w:val="auto"/>
        </w:rPr>
        <w:t>granting voting rights to the survivor of LKS and SSC (the</w:t>
      </w:r>
      <w:r>
        <w:rPr>
          <w:rFonts w:ascii="Arial" w:cs="Arial" w:eastAsia="Arial" w:hAnsi="Arial"/>
          <w:sz w:val="19"/>
          <w:szCs w:val="19"/>
          <w:i w:val="1"/>
          <w:iCs w:val="1"/>
          <w:color w:val="auto"/>
        </w:rPr>
        <w:t xml:space="preserve"> “Surviving Sister”), </w:t>
      </w:r>
      <w:r>
        <w:rPr>
          <w:rFonts w:ascii="Arial" w:cs="Arial" w:eastAsia="Arial" w:hAnsi="Arial"/>
          <w:sz w:val="19"/>
          <w:szCs w:val="19"/>
          <w:color w:val="auto"/>
        </w:rPr>
        <w:t>which voting requirements</w:t>
      </w:r>
      <w:r>
        <w:rPr>
          <w:rFonts w:ascii="Arial" w:cs="Arial" w:eastAsia="Arial" w:hAnsi="Arial"/>
          <w:sz w:val="19"/>
          <w:szCs w:val="19"/>
          <w:i w:val="1"/>
          <w:iCs w:val="1"/>
          <w:color w:val="auto"/>
        </w:rPr>
        <w:t xml:space="preserve"> </w:t>
      </w:r>
      <w:r>
        <w:rPr>
          <w:rFonts w:ascii="Arial" w:cs="Arial" w:eastAsia="Arial" w:hAnsi="Arial"/>
          <w:sz w:val="19"/>
          <w:szCs w:val="19"/>
          <w:color w:val="auto"/>
        </w:rPr>
        <w:t>will apply to Permitted Holders, as hereinafter defined, but will not apply to Trust 2 Trustee or any Third Party Transferee; and</w:t>
      </w:r>
    </w:p>
    <w:p>
      <w:pPr>
        <w:spacing w:after="0" w:line="193" w:lineRule="exact"/>
        <w:rPr>
          <w:sz w:val="20"/>
          <w:szCs w:val="20"/>
          <w:color w:val="auto"/>
        </w:rPr>
      </w:pPr>
    </w:p>
    <w:p>
      <w:pPr>
        <w:jc w:val="both"/>
        <w:ind w:right="20" w:firstLine="648"/>
        <w:spacing w:after="0" w:line="202"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 the voting rights of the Surviving Sister will expire on the earlier of (a) the tenth (10</w:t>
      </w:r>
      <w:r>
        <w:rPr>
          <w:rFonts w:ascii="Arial" w:cs="Arial" w:eastAsia="Arial" w:hAnsi="Arial"/>
          <w:sz w:val="22"/>
          <w:szCs w:val="22"/>
          <w:b w:val="1"/>
          <w:bCs w:val="1"/>
          <w:color w:val="auto"/>
        </w:rPr>
        <w:t xml:space="preserve"> </w:t>
      </w:r>
      <w:r>
        <w:rPr>
          <w:rFonts w:ascii="Arial" w:cs="Arial" w:eastAsia="Arial" w:hAnsi="Arial"/>
          <w:sz w:val="35"/>
          <w:szCs w:val="35"/>
          <w:color w:val="auto"/>
          <w:vertAlign w:val="superscript"/>
        </w:rPr>
        <w:t>th</w:t>
      </w:r>
      <w:r>
        <w:rPr>
          <w:rFonts w:ascii="Arial" w:cs="Arial" w:eastAsia="Arial" w:hAnsi="Arial"/>
          <w:sz w:val="22"/>
          <w:szCs w:val="22"/>
          <w:b w:val="1"/>
          <w:bCs w:val="1"/>
          <w:color w:val="auto"/>
        </w:rPr>
        <w:t xml:space="preserve"> </w:t>
      </w:r>
      <w:r>
        <w:rPr>
          <w:rFonts w:ascii="Arial" w:cs="Arial" w:eastAsia="Arial" w:hAnsi="Arial"/>
          <w:sz w:val="22"/>
          <w:szCs w:val="22"/>
          <w:color w:val="auto"/>
        </w:rPr>
        <w:t>) anniversary of the</w:t>
      </w:r>
      <w:r>
        <w:rPr>
          <w:rFonts w:ascii="Arial" w:cs="Arial" w:eastAsia="Arial" w:hAnsi="Arial"/>
          <w:sz w:val="22"/>
          <w:szCs w:val="22"/>
          <w:b w:val="1"/>
          <w:bCs w:val="1"/>
          <w:color w:val="auto"/>
        </w:rPr>
        <w:t xml:space="preserve"> </w:t>
      </w:r>
      <w:r>
        <w:rPr>
          <w:rFonts w:ascii="Arial" w:cs="Arial" w:eastAsia="Arial" w:hAnsi="Arial"/>
          <w:sz w:val="22"/>
          <w:szCs w:val="22"/>
          <w:color w:val="auto"/>
        </w:rPr>
        <w:t>death of the Deceased Sister, (b) the death of the Surviving Sister, or (c) the termination of this Agreement as set forth in Section 5; and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21"/>
          <w:szCs w:val="21"/>
          <w:b w:val="1"/>
          <w:bCs w:val="1"/>
          <w:color w:val="auto"/>
        </w:rPr>
        <w:t xml:space="preserve">Whereas </w:t>
      </w:r>
      <w:r>
        <w:rPr>
          <w:rFonts w:ascii="Arial" w:cs="Arial" w:eastAsia="Arial" w:hAnsi="Arial"/>
          <w:sz w:val="21"/>
          <w:szCs w:val="21"/>
          <w:color w:val="auto"/>
        </w:rPr>
        <w:t>, this Agreement may be amended or terminated only as set forth under Section 5(e) set forth herein.</w:t>
      </w:r>
    </w:p>
    <w:p>
      <w:pPr>
        <w:spacing w:after="0" w:line="204" w:lineRule="exact"/>
        <w:rPr>
          <w:sz w:val="20"/>
          <w:szCs w:val="20"/>
          <w:color w:val="auto"/>
        </w:rPr>
      </w:pPr>
    </w:p>
    <w:p>
      <w:pPr>
        <w:jc w:val="both"/>
        <w:ind w:right="20" w:firstLine="648"/>
        <w:spacing w:after="0" w:line="280" w:lineRule="auto"/>
        <w:rPr>
          <w:sz w:val="20"/>
          <w:szCs w:val="20"/>
          <w:color w:val="auto"/>
        </w:rPr>
      </w:pPr>
      <w:r>
        <w:rPr>
          <w:rFonts w:ascii="Arial" w:cs="Arial" w:eastAsia="Arial" w:hAnsi="Arial"/>
          <w:sz w:val="21"/>
          <w:szCs w:val="21"/>
          <w:b w:val="1"/>
          <w:bCs w:val="1"/>
          <w:color w:val="auto"/>
        </w:rPr>
        <w:t xml:space="preserve">Now, therefore </w:t>
      </w:r>
      <w:r>
        <w:rPr>
          <w:rFonts w:ascii="Arial" w:cs="Arial" w:eastAsia="Arial" w:hAnsi="Arial"/>
          <w:sz w:val="21"/>
          <w:szCs w:val="21"/>
          <w:color w:val="auto"/>
        </w:rPr>
        <w:t>, in consideration of the mutual promises, representations, warranties and covenants set forth below,</w:t>
      </w:r>
      <w:r>
        <w:rPr>
          <w:rFonts w:ascii="Arial" w:cs="Arial" w:eastAsia="Arial" w:hAnsi="Arial"/>
          <w:sz w:val="21"/>
          <w:szCs w:val="21"/>
          <w:b w:val="1"/>
          <w:bCs w:val="1"/>
          <w:color w:val="auto"/>
        </w:rPr>
        <w:t xml:space="preserve"> </w:t>
      </w:r>
      <w:r>
        <w:rPr>
          <w:rFonts w:ascii="Arial" w:cs="Arial" w:eastAsia="Arial" w:hAnsi="Arial"/>
          <w:sz w:val="21"/>
          <w:szCs w:val="21"/>
          <w:color w:val="auto"/>
        </w:rPr>
        <w:t>each Holder, other holders who may join in the future, Contran and Trust 2 Trustee hereby agree as follows:</w:t>
      </w:r>
    </w:p>
    <w:p>
      <w:pPr>
        <w:spacing w:after="0" w:line="145" w:lineRule="exact"/>
        <w:rPr>
          <w:sz w:val="20"/>
          <w:szCs w:val="20"/>
          <w:color w:val="auto"/>
        </w:rPr>
      </w:pPr>
    </w:p>
    <w:p>
      <w:pPr>
        <w:ind w:left="5120"/>
        <w:spacing w:after="0"/>
        <w:rPr>
          <w:sz w:val="20"/>
          <w:szCs w:val="20"/>
          <w:color w:val="auto"/>
        </w:rPr>
      </w:pPr>
      <w:r>
        <w:rPr>
          <w:rFonts w:ascii="Arial" w:cs="Arial" w:eastAsia="Arial" w:hAnsi="Arial"/>
          <w:sz w:val="22"/>
          <w:szCs w:val="22"/>
          <w:b w:val="1"/>
          <w:bCs w:val="1"/>
          <w:i w:val="1"/>
          <w:iCs w:val="1"/>
          <w:color w:val="auto"/>
        </w:rPr>
        <w:t>Agreement</w:t>
      </w:r>
    </w:p>
    <w:p>
      <w:pPr>
        <w:spacing w:after="0" w:line="187"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Section 1.</w:t>
      </w:r>
      <w:r>
        <w:rPr>
          <w:sz w:val="20"/>
          <w:szCs w:val="20"/>
          <w:color w:val="auto"/>
        </w:rPr>
        <w:tab/>
      </w:r>
      <w:r>
        <w:rPr>
          <w:rFonts w:ascii="Arial" w:cs="Arial" w:eastAsia="Arial" w:hAnsi="Arial"/>
          <w:sz w:val="19"/>
          <w:szCs w:val="19"/>
          <w:b w:val="1"/>
          <w:bCs w:val="1"/>
          <w:color w:val="auto"/>
        </w:rPr>
        <w:t xml:space="preserve">Right of First Refusal Upon Proposed Transfer by a Holder </w:t>
      </w:r>
      <w:r>
        <w:rPr>
          <w:rFonts w:ascii="Arial" w:cs="Arial" w:eastAsia="Arial" w:hAnsi="Arial"/>
          <w:sz w:val="19"/>
          <w:szCs w:val="19"/>
          <w:color w:val="auto"/>
        </w:rPr>
        <w:t>.</w:t>
      </w:r>
    </w:p>
    <w:p>
      <w:pPr>
        <w:spacing w:after="0" w:line="179" w:lineRule="exact"/>
        <w:rPr>
          <w:sz w:val="20"/>
          <w:szCs w:val="20"/>
          <w:color w:val="auto"/>
        </w:rPr>
      </w:pPr>
    </w:p>
    <w:p>
      <w:pPr>
        <w:jc w:val="both"/>
        <w:ind w:left="660" w:hanging="652"/>
        <w:spacing w:after="0" w:line="271" w:lineRule="auto"/>
        <w:tabs>
          <w:tab w:leader="none" w:pos="660" w:val="left"/>
        </w:tabs>
        <w:numPr>
          <w:ilvl w:val="0"/>
          <w:numId w:val="68"/>
        </w:numPr>
        <w:rPr>
          <w:rFonts w:ascii="Arial" w:cs="Arial" w:eastAsia="Arial" w:hAnsi="Arial"/>
          <w:sz w:val="19"/>
          <w:szCs w:val="19"/>
          <w:b w:val="1"/>
          <w:bCs w:val="1"/>
          <w:i w:val="1"/>
          <w:iCs w:val="1"/>
          <w:color w:val="auto"/>
        </w:rPr>
      </w:pPr>
      <w:r>
        <w:rPr>
          <w:rFonts w:ascii="Arial" w:cs="Arial" w:eastAsia="Arial" w:hAnsi="Arial"/>
          <w:sz w:val="19"/>
          <w:szCs w:val="19"/>
          <w:b w:val="1"/>
          <w:bCs w:val="1"/>
          <w:color w:val="auto"/>
        </w:rPr>
        <w:t xml:space="preserve">By the Other Holder. </w:t>
      </w:r>
      <w:r>
        <w:rPr>
          <w:rFonts w:ascii="Arial" w:cs="Arial" w:eastAsia="Arial" w:hAnsi="Arial"/>
          <w:sz w:val="19"/>
          <w:szCs w:val="19"/>
          <w:color w:val="auto"/>
        </w:rPr>
        <w:t>In the event that a Holder desires at any time to sell, assign, transfer, exchange, donate, convey 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otherwise dispose of, including by </w:t>
      </w:r>
      <w:r>
        <w:rPr>
          <w:rFonts w:ascii="Arial" w:cs="Arial" w:eastAsia="Arial" w:hAnsi="Arial"/>
          <w:sz w:val="19"/>
          <w:szCs w:val="19"/>
          <w:i w:val="1"/>
          <w:iCs w:val="1"/>
          <w:color w:val="auto"/>
        </w:rPr>
        <w:t>inter vivos</w:t>
      </w:r>
      <w:r>
        <w:rPr>
          <w:rFonts w:ascii="Arial" w:cs="Arial" w:eastAsia="Arial" w:hAnsi="Arial"/>
          <w:sz w:val="19"/>
          <w:szCs w:val="19"/>
          <w:color w:val="auto"/>
        </w:rPr>
        <w:t xml:space="preserve"> or testamentary gift or by the laws of descent and distribution (each a </w:t>
      </w:r>
      <w:r>
        <w:rPr>
          <w:rFonts w:ascii="Arial" w:cs="Arial" w:eastAsia="Arial" w:hAnsi="Arial"/>
          <w:sz w:val="19"/>
          <w:szCs w:val="19"/>
          <w:i w:val="1"/>
          <w:iCs w:val="1"/>
          <w:color w:val="auto"/>
        </w:rPr>
        <w:t xml:space="preserve">“Transfer”), </w:t>
      </w:r>
      <w:r>
        <w:rPr>
          <w:rFonts w:ascii="Arial" w:cs="Arial" w:eastAsia="Arial" w:hAnsi="Arial"/>
          <w:sz w:val="19"/>
          <w:szCs w:val="19"/>
          <w:color w:val="auto"/>
        </w:rPr>
        <w:t>other than to Trust 2 Trustee or a Permitted Transferee, as hereinafter defined, all or any part of such</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Holder's Voting Stock, the Holder first shall give written notice (the </w:t>
      </w:r>
      <w:r>
        <w:rPr>
          <w:rFonts w:ascii="Arial" w:cs="Arial" w:eastAsia="Arial" w:hAnsi="Arial"/>
          <w:sz w:val="19"/>
          <w:szCs w:val="19"/>
          <w:i w:val="1"/>
          <w:iCs w:val="1"/>
          <w:color w:val="auto"/>
        </w:rPr>
        <w:t>“Holder's Written Notice”)</w:t>
      </w:r>
      <w:r>
        <w:rPr>
          <w:rFonts w:ascii="Arial" w:cs="Arial" w:eastAsia="Arial" w:hAnsi="Arial"/>
          <w:sz w:val="19"/>
          <w:szCs w:val="19"/>
          <w:color w:val="auto"/>
        </w:rPr>
        <w:t xml:space="preserve"> to each of the other Holder (the </w:t>
      </w:r>
      <w:r>
        <w:rPr>
          <w:rFonts w:ascii="Arial" w:cs="Arial" w:eastAsia="Arial" w:hAnsi="Arial"/>
          <w:sz w:val="19"/>
          <w:szCs w:val="19"/>
          <w:i w:val="1"/>
          <w:iCs w:val="1"/>
          <w:color w:val="auto"/>
        </w:rPr>
        <w:t>“Other Holder”),</w:t>
      </w:r>
      <w:r>
        <w:rPr>
          <w:rFonts w:ascii="Arial" w:cs="Arial" w:eastAsia="Arial" w:hAnsi="Arial"/>
          <w:sz w:val="19"/>
          <w:szCs w:val="19"/>
          <w:color w:val="auto"/>
        </w:rPr>
        <w:t xml:space="preserve"> Contran, Trust 2 Trustee and each holder of Voting Stock (other than a Holder) who is a Permitted Transferee (a </w:t>
      </w:r>
      <w:r>
        <w:rPr>
          <w:rFonts w:ascii="Arial" w:cs="Arial" w:eastAsia="Arial" w:hAnsi="Arial"/>
          <w:sz w:val="19"/>
          <w:szCs w:val="19"/>
          <w:i w:val="1"/>
          <w:iCs w:val="1"/>
          <w:color w:val="auto"/>
        </w:rPr>
        <w:t>“Permitted Holder”),</w:t>
      </w:r>
      <w:r>
        <w:rPr>
          <w:rFonts w:ascii="Arial" w:cs="Arial" w:eastAsia="Arial" w:hAnsi="Arial"/>
          <w:sz w:val="19"/>
          <w:szCs w:val="19"/>
          <w:color w:val="auto"/>
        </w:rPr>
        <w:t xml:space="preserve"> of such Holder's intention to make such Transfer. Such notice shall state the number of shares of Voting Stock that the Holder proposes to Transfer (the </w:t>
      </w:r>
      <w:r>
        <w:rPr>
          <w:rFonts w:ascii="Arial" w:cs="Arial" w:eastAsia="Arial" w:hAnsi="Arial"/>
          <w:sz w:val="19"/>
          <w:szCs w:val="19"/>
          <w:i w:val="1"/>
          <w:iCs w:val="1"/>
          <w:color w:val="auto"/>
        </w:rPr>
        <w:t>“Offered Shares”),</w:t>
      </w:r>
      <w:r>
        <w:rPr>
          <w:rFonts w:ascii="Arial" w:cs="Arial" w:eastAsia="Arial" w:hAnsi="Arial"/>
          <w:sz w:val="19"/>
          <w:szCs w:val="19"/>
          <w:color w:val="auto"/>
        </w:rPr>
        <w:t xml:space="preserve"> the price and the terms at which the proposed Transfer is to be made and the name and address of the proposed transferee </w:t>
      </w:r>
      <w:r>
        <w:rPr>
          <w:rFonts w:ascii="Arial" w:cs="Arial" w:eastAsia="Arial" w:hAnsi="Arial"/>
          <w:sz w:val="19"/>
          <w:szCs w:val="19"/>
          <w:i w:val="1"/>
          <w:iCs w:val="1"/>
          <w:color w:val="auto"/>
        </w:rPr>
        <w:t>(“Transferee”).</w:t>
      </w:r>
      <w:r>
        <w:rPr>
          <w:rFonts w:ascii="Arial" w:cs="Arial" w:eastAsia="Arial" w:hAnsi="Arial"/>
          <w:sz w:val="19"/>
          <w:szCs w:val="19"/>
          <w:color w:val="auto"/>
        </w:rPr>
        <w:t xml:space="preserve"> At any time within thirty (30) days after the receipt of such notice (the </w:t>
      </w:r>
      <w:r>
        <w:rPr>
          <w:rFonts w:ascii="Arial" w:cs="Arial" w:eastAsia="Arial" w:hAnsi="Arial"/>
          <w:sz w:val="19"/>
          <w:szCs w:val="19"/>
          <w:i w:val="1"/>
          <w:iCs w:val="1"/>
          <w:color w:val="auto"/>
        </w:rPr>
        <w:t>“Other Holder's Exercise Period”),</w:t>
      </w:r>
      <w:r>
        <w:rPr>
          <w:rFonts w:ascii="Arial" w:cs="Arial" w:eastAsia="Arial" w:hAnsi="Arial"/>
          <w:sz w:val="19"/>
          <w:szCs w:val="19"/>
          <w:color w:val="auto"/>
        </w:rPr>
        <w:t xml:space="preserve"> the Other Holder may, but is not obligated to, elect to purchase all or any portion of the Offered Shares on terms substantially equivalent to the terms offered by the proposed Transferee and specified in the Holder's Written Notice and at a price per share equal to the price per share offered by the proposed Transferee and specified in the notice. In the event the proposed Transfer is for no consideration, including without limitation such as with respect to a charitable donation, the value per share set forth in the most recent third party valuation of the Voting Stock performed at the request of Contran, including applicable discounts contained in the valuation, shall be used as the price per share (the </w:t>
      </w:r>
      <w:r>
        <w:rPr>
          <w:rFonts w:ascii="Arial" w:cs="Arial" w:eastAsia="Arial" w:hAnsi="Arial"/>
          <w:sz w:val="19"/>
          <w:szCs w:val="19"/>
          <w:i w:val="1"/>
          <w:iCs w:val="1"/>
          <w:color w:val="auto"/>
        </w:rPr>
        <w:t>“Appraised Value”).</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25" w:name="page26"/>
    <w:bookmarkEnd w:id="25"/>
    <w:p>
      <w:pPr>
        <w:jc w:val="both"/>
        <w:ind w:left="1300" w:hanging="644"/>
        <w:spacing w:after="0" w:line="275" w:lineRule="auto"/>
        <w:tabs>
          <w:tab w:leader="none" w:pos="1300" w:val="left"/>
        </w:tabs>
        <w:numPr>
          <w:ilvl w:val="0"/>
          <w:numId w:val="6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Purchase of All Offered Shares by the Other Holder. </w:t>
      </w:r>
      <w:r>
        <w:rPr>
          <w:rFonts w:ascii="Arial" w:cs="Arial" w:eastAsia="Arial" w:hAnsi="Arial"/>
          <w:sz w:val="19"/>
          <w:szCs w:val="19"/>
          <w:color w:val="auto"/>
        </w:rPr>
        <w:t>If the Other Holder desires to purchase all of the Offered</w:t>
      </w:r>
      <w:r>
        <w:rPr>
          <w:rFonts w:ascii="Arial" w:cs="Arial" w:eastAsia="Arial" w:hAnsi="Arial"/>
          <w:sz w:val="19"/>
          <w:szCs w:val="19"/>
          <w:b w:val="1"/>
          <w:bCs w:val="1"/>
          <w:color w:val="auto"/>
        </w:rPr>
        <w:t xml:space="preserve"> </w:t>
      </w:r>
      <w:r>
        <w:rPr>
          <w:rFonts w:ascii="Arial" w:cs="Arial" w:eastAsia="Arial" w:hAnsi="Arial"/>
          <w:sz w:val="19"/>
          <w:szCs w:val="19"/>
          <w:color w:val="auto"/>
        </w:rPr>
        <w:t>Shares, the Other Holder shall exercise the right to purchase by mailing or delivering written notice to each of the Holder, Contran, Trust 2 Trustee and each Permitted Holder, proposing the Transfer within the Other Holder's</w:t>
      </w:r>
    </w:p>
    <w:p>
      <w:pPr>
        <w:spacing w:after="0" w:line="2" w:lineRule="exact"/>
        <w:rPr>
          <w:sz w:val="20"/>
          <w:szCs w:val="20"/>
          <w:color w:val="auto"/>
        </w:rPr>
      </w:pPr>
    </w:p>
    <w:p>
      <w:pPr>
        <w:jc w:val="both"/>
        <w:ind w:left="1300"/>
        <w:spacing w:after="0" w:line="233" w:lineRule="auto"/>
        <w:rPr>
          <w:sz w:val="20"/>
          <w:szCs w:val="20"/>
          <w:color w:val="auto"/>
        </w:rPr>
      </w:pPr>
      <w:r>
        <w:rPr>
          <w:rFonts w:ascii="Arial" w:cs="Arial" w:eastAsia="Arial" w:hAnsi="Arial"/>
          <w:sz w:val="22"/>
          <w:szCs w:val="22"/>
          <w:color w:val="auto"/>
        </w:rPr>
        <w:t xml:space="preserve">Exercise Period. If the Other Holder elects to exercise its purchase rights under this Section 1 to purchase all of the Offered Shares, the closing for the purchase shall take place within fifteen (15) days after the delivery by the Other Holder of its written notice of exercise to the Holder proposing the Transfer (the </w:t>
      </w:r>
      <w:r>
        <w:rPr>
          <w:rFonts w:ascii="Arial" w:cs="Arial" w:eastAsia="Arial" w:hAnsi="Arial"/>
          <w:sz w:val="22"/>
          <w:szCs w:val="22"/>
          <w:i w:val="1"/>
          <w:iCs w:val="1"/>
          <w:color w:val="auto"/>
        </w:rPr>
        <w:t>“Other Holder's Closing</w:t>
      </w:r>
      <w:r>
        <w:rPr>
          <w:rFonts w:ascii="Arial" w:cs="Arial" w:eastAsia="Arial" w:hAnsi="Arial"/>
          <w:sz w:val="22"/>
          <w:szCs w:val="22"/>
          <w:color w:val="auto"/>
        </w:rPr>
        <w:t xml:space="preserve"> </w:t>
      </w:r>
      <w:r>
        <w:rPr>
          <w:rFonts w:ascii="Arial" w:cs="Arial" w:eastAsia="Arial" w:hAnsi="Arial"/>
          <w:sz w:val="22"/>
          <w:szCs w:val="22"/>
          <w:i w:val="1"/>
          <w:iCs w:val="1"/>
          <w:color w:val="auto"/>
        </w:rPr>
        <w:t>Period”).</w:t>
      </w:r>
    </w:p>
    <w:p>
      <w:pPr>
        <w:spacing w:after="0" w:line="398" w:lineRule="exact"/>
        <w:rPr>
          <w:sz w:val="20"/>
          <w:szCs w:val="20"/>
          <w:color w:val="auto"/>
        </w:rPr>
      </w:pPr>
    </w:p>
    <w:p>
      <w:pPr>
        <w:jc w:val="both"/>
        <w:ind w:left="1300" w:hanging="644"/>
        <w:spacing w:after="0" w:line="254" w:lineRule="auto"/>
        <w:tabs>
          <w:tab w:leader="none" w:pos="1300" w:val="left"/>
        </w:tabs>
        <w:numPr>
          <w:ilvl w:val="1"/>
          <w:numId w:val="70"/>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Purchase of Less Than All Offered Shares by the Other Holder. </w:t>
      </w:r>
      <w:r>
        <w:rPr>
          <w:rFonts w:ascii="Arial" w:cs="Arial" w:eastAsia="Arial" w:hAnsi="Arial"/>
          <w:sz w:val="21"/>
          <w:szCs w:val="21"/>
          <w:color w:val="auto"/>
        </w:rPr>
        <w:t>If the Other Holder desires to purchase less</w:t>
      </w:r>
      <w:r>
        <w:rPr>
          <w:rFonts w:ascii="Arial" w:cs="Arial" w:eastAsia="Arial" w:hAnsi="Arial"/>
          <w:sz w:val="21"/>
          <w:szCs w:val="21"/>
          <w:b w:val="1"/>
          <w:bCs w:val="1"/>
          <w:color w:val="auto"/>
        </w:rPr>
        <w:t xml:space="preserve"> </w:t>
      </w:r>
      <w:r>
        <w:rPr>
          <w:rFonts w:ascii="Arial" w:cs="Arial" w:eastAsia="Arial" w:hAnsi="Arial"/>
          <w:sz w:val="21"/>
          <w:szCs w:val="21"/>
          <w:color w:val="auto"/>
        </w:rPr>
        <w:t>than all of the Offered Shares, the Other Holder will mail or deliver written notice to each of the Holder, Contran, Trust 2 Trustee and each Permitted Holder within the Other Holder's Exercise Period, advising that the Other Holder desires to purchase only a designated portion of the Offered Shares.</w:t>
      </w:r>
    </w:p>
    <w:p>
      <w:pPr>
        <w:spacing w:after="0" w:line="381" w:lineRule="exact"/>
        <w:rPr>
          <w:rFonts w:ascii="Arial" w:cs="Arial" w:eastAsia="Arial" w:hAnsi="Arial"/>
          <w:sz w:val="21"/>
          <w:szCs w:val="21"/>
          <w:b w:val="1"/>
          <w:bCs w:val="1"/>
          <w:color w:val="auto"/>
        </w:rPr>
      </w:pPr>
    </w:p>
    <w:p>
      <w:pPr>
        <w:jc w:val="both"/>
        <w:ind w:left="1300" w:hanging="644"/>
        <w:spacing w:after="0" w:line="239" w:lineRule="auto"/>
        <w:tabs>
          <w:tab w:leader="none" w:pos="1300" w:val="left"/>
        </w:tabs>
        <w:numPr>
          <w:ilvl w:val="1"/>
          <w:numId w:val="7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Purchase of None of the Offered Shares by the Other Holder </w:t>
      </w:r>
      <w:r>
        <w:rPr>
          <w:rFonts w:ascii="Arial" w:cs="Arial" w:eastAsia="Arial" w:hAnsi="Arial"/>
          <w:sz w:val="22"/>
          <w:szCs w:val="22"/>
          <w:color w:val="auto"/>
        </w:rPr>
        <w:t>. If the Other Holder does not elect to purchase</w:t>
      </w:r>
      <w:r>
        <w:rPr>
          <w:rFonts w:ascii="Arial" w:cs="Arial" w:eastAsia="Arial" w:hAnsi="Arial"/>
          <w:sz w:val="22"/>
          <w:szCs w:val="22"/>
          <w:b w:val="1"/>
          <w:bCs w:val="1"/>
          <w:color w:val="auto"/>
        </w:rPr>
        <w:t xml:space="preserve"> </w:t>
      </w:r>
      <w:r>
        <w:rPr>
          <w:rFonts w:ascii="Arial" w:cs="Arial" w:eastAsia="Arial" w:hAnsi="Arial"/>
          <w:sz w:val="22"/>
          <w:szCs w:val="22"/>
          <w:color w:val="auto"/>
        </w:rPr>
        <w:t>any of the Offered Shares, the Other Holder will so advise the Holder, Contran, Trust 2 Trustee and each Permitted Holder by mailing or delivering written notice to each of the Holder, Contran, Trust 2 Trustee and each Permitted Holder within the Other Holders' Exercise Period.</w:t>
      </w:r>
    </w:p>
    <w:p>
      <w:pPr>
        <w:spacing w:after="0" w:line="180" w:lineRule="exact"/>
        <w:rPr>
          <w:rFonts w:ascii="Arial" w:cs="Arial" w:eastAsia="Arial" w:hAnsi="Arial"/>
          <w:sz w:val="22"/>
          <w:szCs w:val="22"/>
          <w:b w:val="1"/>
          <w:bCs w:val="1"/>
          <w:color w:val="auto"/>
        </w:rPr>
      </w:pPr>
    </w:p>
    <w:p>
      <w:pPr>
        <w:jc w:val="both"/>
        <w:ind w:left="660" w:hanging="652"/>
        <w:spacing w:after="0" w:line="245" w:lineRule="auto"/>
        <w:tabs>
          <w:tab w:leader="none" w:pos="660" w:val="left"/>
        </w:tabs>
        <w:numPr>
          <w:ilvl w:val="0"/>
          <w:numId w:val="71"/>
        </w:numPr>
        <w:rPr>
          <w:rFonts w:ascii="Arial" w:cs="Arial" w:eastAsia="Arial" w:hAnsi="Arial"/>
          <w:sz w:val="21"/>
          <w:szCs w:val="21"/>
          <w:b w:val="1"/>
          <w:bCs w:val="1"/>
          <w:i w:val="1"/>
          <w:iCs w:val="1"/>
          <w:color w:val="auto"/>
        </w:rPr>
      </w:pPr>
      <w:r>
        <w:rPr>
          <w:rFonts w:ascii="Arial" w:cs="Arial" w:eastAsia="Arial" w:hAnsi="Arial"/>
          <w:sz w:val="21"/>
          <w:szCs w:val="21"/>
          <w:b w:val="1"/>
          <w:bCs w:val="1"/>
          <w:color w:val="auto"/>
        </w:rPr>
        <w:t xml:space="preserve">By Contran </w:t>
      </w:r>
      <w:r>
        <w:rPr>
          <w:rFonts w:ascii="Arial" w:cs="Arial" w:eastAsia="Arial" w:hAnsi="Arial"/>
          <w:sz w:val="21"/>
          <w:szCs w:val="21"/>
          <w:color w:val="auto"/>
        </w:rPr>
        <w:t>. In the event that the Other Holder does not timely elect to exercise the purchase right for all of the Offered</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Shares (such Offered Shares not elected to be purchased by the Other Holder, the </w:t>
      </w:r>
      <w:r>
        <w:rPr>
          <w:rFonts w:ascii="Arial" w:cs="Arial" w:eastAsia="Arial" w:hAnsi="Arial"/>
          <w:sz w:val="21"/>
          <w:szCs w:val="21"/>
          <w:i w:val="1"/>
          <w:iCs w:val="1"/>
          <w:color w:val="auto"/>
        </w:rPr>
        <w:t>“Remaining Shares for Contran”),</w:t>
      </w:r>
      <w:r>
        <w:rPr>
          <w:rFonts w:ascii="Arial" w:cs="Arial" w:eastAsia="Arial" w:hAnsi="Arial"/>
          <w:sz w:val="21"/>
          <w:szCs w:val="21"/>
          <w:color w:val="auto"/>
        </w:rPr>
        <w:t xml:space="preserve"> or in the event that the closing with respect thereto does not occur within the Other Holder's Closing Period due to no fault of the Holder, then at any time within thirty (30) days after the later of (i) the Other Holder's election not to exercise the purchase right for all of the Offered Shares or (ii) the expiration of the Other Holder's Closing Period with no closing due to no fault of the Holder (such later date, the </w:t>
      </w:r>
      <w:r>
        <w:rPr>
          <w:rFonts w:ascii="Arial" w:cs="Arial" w:eastAsia="Arial" w:hAnsi="Arial"/>
          <w:sz w:val="21"/>
          <w:szCs w:val="21"/>
          <w:i w:val="1"/>
          <w:iCs w:val="1"/>
          <w:color w:val="auto"/>
        </w:rPr>
        <w:t>“Contran Exercise Period”),</w:t>
      </w:r>
      <w:r>
        <w:rPr>
          <w:rFonts w:ascii="Arial" w:cs="Arial" w:eastAsia="Arial" w:hAnsi="Arial"/>
          <w:sz w:val="21"/>
          <w:szCs w:val="21"/>
          <w:color w:val="auto"/>
        </w:rPr>
        <w:t xml:space="preserve"> Contran may, but is not obligated to, elect to purchase all or any portion of the Remaining Shares for Contran on terms substantially equivalent to the terms offered by the proposed Transferee and specified in the Holder's Written Notice and at a price per share equal to the price offered by the proposed Transferee and specified in the Holder's Written Notice. In the event the proposed Transfer is for no consideration, including without limitation such as with respect to a charitable donation, the Appraised Value shall be used as the price per share.</w:t>
      </w:r>
    </w:p>
    <w:p>
      <w:pPr>
        <w:spacing w:after="0" w:line="200" w:lineRule="exact"/>
        <w:rPr>
          <w:rFonts w:ascii="Arial" w:cs="Arial" w:eastAsia="Arial" w:hAnsi="Arial"/>
          <w:sz w:val="21"/>
          <w:szCs w:val="21"/>
          <w:b w:val="1"/>
          <w:bCs w:val="1"/>
          <w:i w:val="1"/>
          <w:iCs w:val="1"/>
          <w:color w:val="auto"/>
        </w:rPr>
      </w:pPr>
    </w:p>
    <w:p>
      <w:pPr>
        <w:spacing w:after="0" w:line="206" w:lineRule="exact"/>
        <w:rPr>
          <w:rFonts w:ascii="Arial" w:cs="Arial" w:eastAsia="Arial" w:hAnsi="Arial"/>
          <w:sz w:val="21"/>
          <w:szCs w:val="21"/>
          <w:b w:val="1"/>
          <w:bCs w:val="1"/>
          <w:i w:val="1"/>
          <w:iCs w:val="1"/>
          <w:color w:val="auto"/>
        </w:rPr>
      </w:pPr>
    </w:p>
    <w:p>
      <w:pPr>
        <w:jc w:val="both"/>
        <w:ind w:left="1300" w:hanging="644"/>
        <w:spacing w:after="0" w:line="273" w:lineRule="auto"/>
        <w:tabs>
          <w:tab w:leader="none" w:pos="1300" w:val="left"/>
        </w:tabs>
        <w:numPr>
          <w:ilvl w:val="1"/>
          <w:numId w:val="7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Purchase by Contran of All Remaining Shares for Contran. </w:t>
      </w:r>
      <w:r>
        <w:rPr>
          <w:rFonts w:ascii="Arial" w:cs="Arial" w:eastAsia="Arial" w:hAnsi="Arial"/>
          <w:sz w:val="19"/>
          <w:szCs w:val="19"/>
          <w:color w:val="auto"/>
        </w:rPr>
        <w:t>If Contran elects to purchase all of the Remaining</w:t>
      </w:r>
      <w:r>
        <w:rPr>
          <w:rFonts w:ascii="Arial" w:cs="Arial" w:eastAsia="Arial" w:hAnsi="Arial"/>
          <w:sz w:val="19"/>
          <w:szCs w:val="19"/>
          <w:b w:val="1"/>
          <w:bCs w:val="1"/>
          <w:color w:val="auto"/>
        </w:rPr>
        <w:t xml:space="preserve"> </w:t>
      </w:r>
      <w:r>
        <w:rPr>
          <w:rFonts w:ascii="Arial" w:cs="Arial" w:eastAsia="Arial" w:hAnsi="Arial"/>
          <w:sz w:val="19"/>
          <w:szCs w:val="19"/>
          <w:color w:val="auto"/>
        </w:rPr>
        <w:t>Shares for Contran, Contran shall exercise this right by mailing or delivering written notice to each of the Holder, the Other Holder, Trust 2 Trustee and each Permitted Holder within the Contran Exercise Period. If Contran elects to exercise its purchase rights under this Section 1(b), the closing for the purchase shall take place within fifteen</w:t>
      </w:r>
    </w:p>
    <w:p>
      <w:pPr>
        <w:spacing w:after="0" w:line="1" w:lineRule="exact"/>
        <w:rPr>
          <w:rFonts w:ascii="Arial" w:cs="Arial" w:eastAsia="Arial" w:hAnsi="Arial"/>
          <w:sz w:val="19"/>
          <w:szCs w:val="19"/>
          <w:b w:val="1"/>
          <w:bCs w:val="1"/>
          <w:color w:val="auto"/>
        </w:rPr>
      </w:pPr>
    </w:p>
    <w:p>
      <w:pPr>
        <w:jc w:val="both"/>
        <w:ind w:left="1300" w:firstLine="4"/>
        <w:spacing w:after="0" w:line="233" w:lineRule="auto"/>
        <w:tabs>
          <w:tab w:leader="none" w:pos="1749" w:val="left"/>
        </w:tabs>
        <w:numPr>
          <w:ilvl w:val="2"/>
          <w:numId w:val="71"/>
        </w:numPr>
        <w:rPr>
          <w:rFonts w:ascii="Arial" w:cs="Arial" w:eastAsia="Arial" w:hAnsi="Arial"/>
          <w:sz w:val="22"/>
          <w:szCs w:val="22"/>
          <w:color w:val="auto"/>
        </w:rPr>
      </w:pPr>
      <w:r>
        <w:rPr>
          <w:rFonts w:ascii="Arial" w:cs="Arial" w:eastAsia="Arial" w:hAnsi="Arial"/>
          <w:sz w:val="22"/>
          <w:szCs w:val="22"/>
          <w:color w:val="auto"/>
        </w:rPr>
        <w:t xml:space="preserve">days after the delivery by Contran of its written notice of exercise to the Holder (the </w:t>
      </w:r>
      <w:r>
        <w:rPr>
          <w:rFonts w:ascii="Arial" w:cs="Arial" w:eastAsia="Arial" w:hAnsi="Arial"/>
          <w:sz w:val="22"/>
          <w:szCs w:val="22"/>
          <w:i w:val="1"/>
          <w:iCs w:val="1"/>
          <w:color w:val="auto"/>
        </w:rPr>
        <w:t>“Contran Closing</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Period”). </w:t>
      </w:r>
      <w:r>
        <w:rPr>
          <w:rFonts w:ascii="Arial" w:cs="Arial" w:eastAsia="Arial" w:hAnsi="Arial"/>
          <w:sz w:val="22"/>
          <w:szCs w:val="22"/>
          <w:color w:val="auto"/>
        </w:rPr>
        <w:t>If the Other Holder elected to purchase some but not all Offered Shares, the Other Holder will purchase</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the shares for which the Other Holder is committed at the closing time and place (the </w:t>
      </w:r>
      <w:r>
        <w:rPr>
          <w:rFonts w:ascii="Arial" w:cs="Arial" w:eastAsia="Arial" w:hAnsi="Arial"/>
          <w:sz w:val="22"/>
          <w:szCs w:val="22"/>
          <w:i w:val="1"/>
          <w:iCs w:val="1"/>
          <w:color w:val="auto"/>
        </w:rPr>
        <w:t>“Contran Closing”)</w:t>
      </w:r>
      <w:r>
        <w:rPr>
          <w:rFonts w:ascii="Arial" w:cs="Arial" w:eastAsia="Arial" w:hAnsi="Arial"/>
          <w:sz w:val="22"/>
          <w:szCs w:val="22"/>
          <w:color w:val="auto"/>
        </w:rPr>
        <w:t xml:space="preserve"> selected by Contran during the Contran Closing Period.</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6" w:name="page27"/>
    <w:bookmarkEnd w:id="26"/>
    <w:p>
      <w:pPr>
        <w:jc w:val="both"/>
        <w:ind w:left="1300" w:hanging="639"/>
        <w:spacing w:after="0" w:line="254" w:lineRule="auto"/>
        <w:tabs>
          <w:tab w:leader="none" w:pos="1280" w:val="left"/>
        </w:tabs>
        <w:rPr>
          <w:sz w:val="20"/>
          <w:szCs w:val="20"/>
          <w:color w:val="auto"/>
        </w:rPr>
      </w:pPr>
      <w:r>
        <w:rPr>
          <w:rFonts w:ascii="Arial" w:cs="Arial" w:eastAsia="Arial" w:hAnsi="Arial"/>
          <w:sz w:val="21"/>
          <w:szCs w:val="21"/>
          <w:b w:val="1"/>
          <w:bCs w:val="1"/>
          <w:color w:val="auto"/>
        </w:rPr>
        <w:t>(ii)</w:t>
      </w:r>
      <w:r>
        <w:rPr>
          <w:sz w:val="20"/>
          <w:szCs w:val="20"/>
          <w:color w:val="auto"/>
        </w:rPr>
        <w:tab/>
      </w:r>
      <w:r>
        <w:rPr>
          <w:rFonts w:ascii="Arial" w:cs="Arial" w:eastAsia="Arial" w:hAnsi="Arial"/>
          <w:sz w:val="21"/>
          <w:szCs w:val="21"/>
          <w:b w:val="1"/>
          <w:bCs w:val="1"/>
          <w:color w:val="auto"/>
        </w:rPr>
        <w:t xml:space="preserve">Purchase by Contran of Less Than All Remaining Shares for Contran </w:t>
      </w:r>
      <w:r>
        <w:rPr>
          <w:rFonts w:ascii="Arial" w:cs="Arial" w:eastAsia="Arial" w:hAnsi="Arial"/>
          <w:sz w:val="21"/>
          <w:szCs w:val="21"/>
          <w:color w:val="auto"/>
        </w:rPr>
        <w:t>. If Contran desires to purchase less</w:t>
      </w:r>
      <w:r>
        <w:rPr>
          <w:rFonts w:ascii="Arial" w:cs="Arial" w:eastAsia="Arial" w:hAnsi="Arial"/>
          <w:sz w:val="21"/>
          <w:szCs w:val="21"/>
          <w:b w:val="1"/>
          <w:bCs w:val="1"/>
          <w:color w:val="auto"/>
        </w:rPr>
        <w:t xml:space="preserve"> </w:t>
      </w:r>
      <w:r>
        <w:rPr>
          <w:rFonts w:ascii="Arial" w:cs="Arial" w:eastAsia="Arial" w:hAnsi="Arial"/>
          <w:sz w:val="21"/>
          <w:szCs w:val="21"/>
          <w:color w:val="auto"/>
        </w:rPr>
        <w:t>than all of the Remaining Shares for Contran, Contran will mail or deliver written notice to each of the Holder, the Other Holder, Trust 2 Trustee and each Permitted Holder within the Contran Exercise Period, advising that Contran desires to purchase only a designated portion of the Remaining Shares for Contran.</w:t>
      </w:r>
    </w:p>
    <w:p>
      <w:pPr>
        <w:spacing w:after="0" w:line="382" w:lineRule="exact"/>
        <w:rPr>
          <w:sz w:val="20"/>
          <w:szCs w:val="20"/>
          <w:color w:val="auto"/>
        </w:rPr>
      </w:pPr>
    </w:p>
    <w:p>
      <w:pPr>
        <w:jc w:val="both"/>
        <w:ind w:left="1300" w:hanging="644"/>
        <w:spacing w:after="0" w:line="239" w:lineRule="auto"/>
        <w:tabs>
          <w:tab w:leader="none" w:pos="1300" w:val="left"/>
        </w:tabs>
        <w:numPr>
          <w:ilvl w:val="1"/>
          <w:numId w:val="7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Purchase of None of the Remaining Shares for Contran </w:t>
      </w:r>
      <w:r>
        <w:rPr>
          <w:rFonts w:ascii="Arial" w:cs="Arial" w:eastAsia="Arial" w:hAnsi="Arial"/>
          <w:sz w:val="22"/>
          <w:szCs w:val="22"/>
          <w:color w:val="auto"/>
        </w:rPr>
        <w:t>. If Contran does not elect to purchase any of the</w:t>
      </w:r>
      <w:r>
        <w:rPr>
          <w:rFonts w:ascii="Arial" w:cs="Arial" w:eastAsia="Arial" w:hAnsi="Arial"/>
          <w:sz w:val="22"/>
          <w:szCs w:val="22"/>
          <w:b w:val="1"/>
          <w:bCs w:val="1"/>
          <w:color w:val="auto"/>
        </w:rPr>
        <w:t xml:space="preserve"> </w:t>
      </w:r>
      <w:r>
        <w:rPr>
          <w:rFonts w:ascii="Arial" w:cs="Arial" w:eastAsia="Arial" w:hAnsi="Arial"/>
          <w:sz w:val="22"/>
          <w:szCs w:val="22"/>
          <w:color w:val="auto"/>
        </w:rPr>
        <w:t>Remaining Shares for Contran, Contran will so advise the Holder, the Other Holder, Trust 2 Trustee and each Permitted Holder by mailing or delivering written notice to each of the Holder, the Other Holder, Trust 2 Trustee and each Permitted Holder within the Contran Exercise Period.</w:t>
      </w:r>
    </w:p>
    <w:p>
      <w:pPr>
        <w:spacing w:after="0" w:line="180" w:lineRule="exact"/>
        <w:rPr>
          <w:rFonts w:ascii="Arial" w:cs="Arial" w:eastAsia="Arial" w:hAnsi="Arial"/>
          <w:sz w:val="22"/>
          <w:szCs w:val="22"/>
          <w:b w:val="1"/>
          <w:bCs w:val="1"/>
          <w:color w:val="auto"/>
        </w:rPr>
      </w:pPr>
    </w:p>
    <w:p>
      <w:pPr>
        <w:jc w:val="both"/>
        <w:ind w:left="660" w:hanging="652"/>
        <w:spacing w:after="0" w:line="270" w:lineRule="auto"/>
        <w:tabs>
          <w:tab w:leader="none" w:pos="660" w:val="left"/>
        </w:tabs>
        <w:numPr>
          <w:ilvl w:val="0"/>
          <w:numId w:val="73"/>
        </w:numPr>
        <w:rPr>
          <w:rFonts w:ascii="Arial" w:cs="Arial" w:eastAsia="Arial" w:hAnsi="Arial"/>
          <w:sz w:val="19"/>
          <w:szCs w:val="19"/>
          <w:b w:val="1"/>
          <w:bCs w:val="1"/>
          <w:i w:val="1"/>
          <w:iCs w:val="1"/>
          <w:color w:val="auto"/>
        </w:rPr>
      </w:pPr>
      <w:r>
        <w:rPr>
          <w:rFonts w:ascii="Arial" w:cs="Arial" w:eastAsia="Arial" w:hAnsi="Arial"/>
          <w:sz w:val="19"/>
          <w:szCs w:val="19"/>
          <w:b w:val="1"/>
          <w:bCs w:val="1"/>
          <w:color w:val="auto"/>
        </w:rPr>
        <w:t xml:space="preserve">By Trust 2 Trustee and the Permitted Holders. </w:t>
      </w:r>
      <w:r>
        <w:rPr>
          <w:rFonts w:ascii="Arial" w:cs="Arial" w:eastAsia="Arial" w:hAnsi="Arial"/>
          <w:sz w:val="19"/>
          <w:szCs w:val="19"/>
          <w:color w:val="auto"/>
        </w:rPr>
        <w:t>In the event that the Other Holder and Contran do not timely elect to</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exercise the purchase right for all of the Offered Shares (such Offered Shares not elected to be purchased by the Other Holder and Contran, the </w:t>
      </w:r>
      <w:r>
        <w:rPr>
          <w:rFonts w:ascii="Arial" w:cs="Arial" w:eastAsia="Arial" w:hAnsi="Arial"/>
          <w:sz w:val="19"/>
          <w:szCs w:val="19"/>
          <w:i w:val="1"/>
          <w:iCs w:val="1"/>
          <w:color w:val="auto"/>
        </w:rPr>
        <w:t>“Remaining Shares for Trust 2 Trustee and Permitted Holders”),</w:t>
      </w:r>
      <w:r>
        <w:rPr>
          <w:rFonts w:ascii="Arial" w:cs="Arial" w:eastAsia="Arial" w:hAnsi="Arial"/>
          <w:sz w:val="19"/>
          <w:szCs w:val="19"/>
          <w:color w:val="auto"/>
        </w:rPr>
        <w:t xml:space="preserve"> or in the event that the Contran Closing does not occur during the Contran Closing Period due to no fault of the Holder, then at any time within thirty (30) days after the later of (i) Contran's election not to purchase all of the Remaining Shares for Contran or (ii) the expiration of the Contran Closing Period with no closing due to no fault of the Holder (such later date, the </w:t>
      </w:r>
      <w:r>
        <w:rPr>
          <w:rFonts w:ascii="Arial" w:cs="Arial" w:eastAsia="Arial" w:hAnsi="Arial"/>
          <w:sz w:val="19"/>
          <w:szCs w:val="19"/>
          <w:i w:val="1"/>
          <w:iCs w:val="1"/>
          <w:color w:val="auto"/>
        </w:rPr>
        <w:t>“Trust 2 Trustee and</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Permitted Holders Exercise Period”), </w:t>
      </w:r>
      <w:r>
        <w:rPr>
          <w:rFonts w:ascii="Arial" w:cs="Arial" w:eastAsia="Arial" w:hAnsi="Arial"/>
          <w:sz w:val="19"/>
          <w:szCs w:val="19"/>
          <w:color w:val="auto"/>
        </w:rPr>
        <w:t>Trust 2 Trustee and each Permitted Holder may, but are not obligated to, elect to</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purchase all or any portion of Trust 2 Trustee’s and such Permitted Holder's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portion, based upon Trust 2 Trustee’s and such Permitted Holder's percentage ownership of Voting Stock as a percentage of all Voting Stock held by Trust 2 Trustee and all Permitted Holders, of the Remaining Shares for Trust 2 Trustee and Permitted Holders, on terms substantially equivalent to the terms offered by the proposed Transferee and specified in the Holder's Written Notice and at a price per share equal to the price offered by the proposed Transferee and specified in the Holder's Written Notice. In the event the proposed Transfer is for no consideration, including without limitation such as with respect to a charitable donation, the Appraised Value shall be used as the price per share. Each of Trust 2 Trustee and each Permitted Holder also may designate if they elect to purchase any or all of any Remaining Shares for Trust 2 Trustee and Permitted Holders not elected for purchase by Trust 2 Trustee and each Permitted Holder, indicating a limit on such additional shares if so desired, and recognizing that its rights to any such additional shares are limited to its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portion based on the total number of such additional shares for which such an indication has been made.</w:t>
      </w:r>
    </w:p>
    <w:p>
      <w:pPr>
        <w:spacing w:after="0" w:line="165" w:lineRule="exact"/>
        <w:rPr>
          <w:rFonts w:ascii="Arial" w:cs="Arial" w:eastAsia="Arial" w:hAnsi="Arial"/>
          <w:sz w:val="19"/>
          <w:szCs w:val="19"/>
          <w:b w:val="1"/>
          <w:bCs w:val="1"/>
          <w:i w:val="1"/>
          <w:iCs w:val="1"/>
          <w:color w:val="auto"/>
        </w:rPr>
      </w:pPr>
    </w:p>
    <w:p>
      <w:pPr>
        <w:jc w:val="both"/>
        <w:ind w:left="1300" w:hanging="644"/>
        <w:spacing w:after="0" w:line="276" w:lineRule="auto"/>
        <w:tabs>
          <w:tab w:leader="none" w:pos="1300" w:val="left"/>
        </w:tabs>
        <w:numPr>
          <w:ilvl w:val="1"/>
          <w:numId w:val="7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Notice of Trust 2 Trustee and Each Permitted Holder </w:t>
      </w:r>
      <w:r>
        <w:rPr>
          <w:rFonts w:ascii="Arial" w:cs="Arial" w:eastAsia="Arial" w:hAnsi="Arial"/>
          <w:sz w:val="19"/>
          <w:szCs w:val="19"/>
          <w:color w:val="auto"/>
        </w:rPr>
        <w:t>. Trust 2 Trustee and each Permitted Holder will advise</w:t>
      </w:r>
      <w:r>
        <w:rPr>
          <w:rFonts w:ascii="Arial" w:cs="Arial" w:eastAsia="Arial" w:hAnsi="Arial"/>
          <w:sz w:val="19"/>
          <w:szCs w:val="19"/>
          <w:b w:val="1"/>
          <w:bCs w:val="1"/>
          <w:color w:val="auto"/>
        </w:rPr>
        <w:t xml:space="preserve"> </w:t>
      </w:r>
      <w:r>
        <w:rPr>
          <w:rFonts w:ascii="Arial" w:cs="Arial" w:eastAsia="Arial" w:hAnsi="Arial"/>
          <w:sz w:val="19"/>
          <w:szCs w:val="19"/>
          <w:color w:val="auto"/>
        </w:rPr>
        <w:t>the Holder, the Other Holder, Contran, Trust 2 Trustee and each other Permitted Holder as to its election to participate, and if so, in what amounts, by written notice mailed or delivered to each of the Holder, the Other Holder, Contran, Trust 2 Trustee and each other Permitted Holder within the Trust 2 Trustee and Permitted Holders Exercise Period. If Trust 2 Trustee or any Permitted Holder fails to respond during the Trust 2 Trustee and Permitted Holders Exercise Period, such party will lose its respective right to participate in the right of first refusal for such proposed Transfer. Contran will be responsible for determining the number of shares properly elected for purchase by Trust 2 Trustee and each Permitted Holder.</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46" w:right="339" w:bottom="1440" w:gutter="0" w:footer="0" w:header="0"/>
        </w:sectPr>
      </w:pPr>
    </w:p>
    <w:bookmarkStart w:id="27" w:name="page28"/>
    <w:bookmarkEnd w:id="27"/>
    <w:p>
      <w:pPr>
        <w:ind w:left="1300" w:hanging="644"/>
        <w:spacing w:after="0"/>
        <w:tabs>
          <w:tab w:leader="none" w:pos="1300" w:val="left"/>
        </w:tabs>
        <w:numPr>
          <w:ilvl w:val="0"/>
          <w:numId w:val="74"/>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Final Right of Contran and Other Holder. </w:t>
      </w:r>
      <w:r>
        <w:rPr>
          <w:rFonts w:ascii="Arial" w:cs="Arial" w:eastAsia="Arial" w:hAnsi="Arial"/>
          <w:sz w:val="21"/>
          <w:szCs w:val="21"/>
          <w:color w:val="auto"/>
        </w:rPr>
        <w:t>In the event that all Remaining Shares for Trust 2 Trustee and</w:t>
      </w:r>
    </w:p>
    <w:p>
      <w:pPr>
        <w:spacing w:after="0" w:line="26" w:lineRule="exact"/>
        <w:rPr>
          <w:sz w:val="20"/>
          <w:szCs w:val="20"/>
          <w:color w:val="auto"/>
        </w:rPr>
      </w:pPr>
    </w:p>
    <w:p>
      <w:pPr>
        <w:jc w:val="both"/>
        <w:ind w:left="1300"/>
        <w:spacing w:after="0" w:line="232" w:lineRule="auto"/>
        <w:rPr>
          <w:sz w:val="20"/>
          <w:szCs w:val="20"/>
          <w:color w:val="auto"/>
        </w:rPr>
      </w:pPr>
      <w:r>
        <w:rPr>
          <w:rFonts w:ascii="Arial" w:cs="Arial" w:eastAsia="Arial" w:hAnsi="Arial"/>
          <w:sz w:val="22"/>
          <w:szCs w:val="22"/>
          <w:color w:val="auto"/>
        </w:rPr>
        <w:t>Permitted Holders have not been elected for purchase by the expiration of the Trust 2 Trustee and Permitted Holders Exercise Period, then Contran and the Other Holder will have an additional period of fifteen (15) days to determine, in communication with one another, whether either or both desire to purchase the balance of the Remaining Shares for Trust 2 Trustee and Permitted Holders, which decision must be communicated to each of the Holder, the Other Holder, Contran, Trust 2 Trustee and all Permitted Holders in writing within such 15-day period.</w:t>
      </w:r>
    </w:p>
    <w:p>
      <w:pPr>
        <w:spacing w:after="0" w:line="169" w:lineRule="exact"/>
        <w:rPr>
          <w:sz w:val="20"/>
          <w:szCs w:val="20"/>
          <w:color w:val="auto"/>
        </w:rPr>
      </w:pPr>
    </w:p>
    <w:p>
      <w:pPr>
        <w:jc w:val="both"/>
        <w:ind w:left="1300" w:hanging="639"/>
        <w:spacing w:after="0" w:line="239" w:lineRule="auto"/>
        <w:tabs>
          <w:tab w:leader="none" w:pos="1280" w:val="left"/>
        </w:tabs>
        <w:rPr>
          <w:sz w:val="20"/>
          <w:szCs w:val="20"/>
          <w:color w:val="auto"/>
        </w:rPr>
      </w:pPr>
      <w:r>
        <w:rPr>
          <w:rFonts w:ascii="Arial" w:cs="Arial" w:eastAsia="Arial" w:hAnsi="Arial"/>
          <w:sz w:val="22"/>
          <w:szCs w:val="22"/>
          <w:b w:val="1"/>
          <w:bCs w:val="1"/>
          <w:color w:val="auto"/>
        </w:rPr>
        <w:t>(iii)</w:t>
        <w:tab/>
        <w:t xml:space="preserve">Closing. </w:t>
      </w:r>
      <w:r>
        <w:rPr>
          <w:rFonts w:ascii="Arial" w:cs="Arial" w:eastAsia="Arial" w:hAnsi="Arial"/>
          <w:sz w:val="22"/>
          <w:szCs w:val="22"/>
          <w:color w:val="auto"/>
        </w:rPr>
        <w:t>Should the combined shares elected to be purchased by the Other Holder, Contran, Trust 2 Trustee and</w:t>
      </w:r>
      <w:r>
        <w:rPr>
          <w:rFonts w:ascii="Arial" w:cs="Arial" w:eastAsia="Arial" w:hAnsi="Arial"/>
          <w:sz w:val="22"/>
          <w:szCs w:val="22"/>
          <w:b w:val="1"/>
          <w:bCs w:val="1"/>
          <w:color w:val="auto"/>
        </w:rPr>
        <w:t xml:space="preserve"> </w:t>
      </w:r>
      <w:r>
        <w:rPr>
          <w:rFonts w:ascii="Arial" w:cs="Arial" w:eastAsia="Arial" w:hAnsi="Arial"/>
          <w:sz w:val="22"/>
          <w:szCs w:val="22"/>
          <w:color w:val="auto"/>
        </w:rPr>
        <w:t>Permitted Holders comprise all Offered Shares, such parties then must purchase the shares for which they respectively committed within fifteen (15) days of the determination that all Offered Shares will be purchased, with Contran to designate the time and place for such closing.</w:t>
      </w:r>
    </w:p>
    <w:p>
      <w:pPr>
        <w:spacing w:after="0" w:line="180" w:lineRule="exact"/>
        <w:rPr>
          <w:sz w:val="20"/>
          <w:szCs w:val="20"/>
          <w:color w:val="auto"/>
        </w:rPr>
      </w:pPr>
    </w:p>
    <w:p>
      <w:pPr>
        <w:jc w:val="both"/>
        <w:ind w:left="660" w:hanging="659"/>
        <w:spacing w:after="0" w:line="272" w:lineRule="auto"/>
        <w:tabs>
          <w:tab w:leader="none" w:pos="640" w:val="left"/>
        </w:tabs>
        <w:rPr>
          <w:sz w:val="20"/>
          <w:szCs w:val="20"/>
          <w:color w:val="auto"/>
        </w:rPr>
      </w:pPr>
      <w:r>
        <w:rPr>
          <w:rFonts w:ascii="Arial" w:cs="Arial" w:eastAsia="Arial" w:hAnsi="Arial"/>
          <w:sz w:val="19"/>
          <w:szCs w:val="19"/>
          <w:b w:val="1"/>
          <w:bCs w:val="1"/>
          <w:i w:val="1"/>
          <w:iCs w:val="1"/>
          <w:color w:val="auto"/>
        </w:rPr>
        <w:t>(d)</w:t>
      </w:r>
      <w:r>
        <w:rPr>
          <w:sz w:val="20"/>
          <w:szCs w:val="20"/>
          <w:color w:val="auto"/>
        </w:rPr>
        <w:tab/>
      </w:r>
      <w:r>
        <w:rPr>
          <w:rFonts w:ascii="Arial" w:cs="Arial" w:eastAsia="Arial" w:hAnsi="Arial"/>
          <w:sz w:val="19"/>
          <w:szCs w:val="19"/>
          <w:b w:val="1"/>
          <w:bCs w:val="1"/>
          <w:color w:val="auto"/>
        </w:rPr>
        <w:t xml:space="preserve">Right to Transfer. </w:t>
      </w:r>
      <w:r>
        <w:rPr>
          <w:rFonts w:ascii="Arial" w:cs="Arial" w:eastAsia="Arial" w:hAnsi="Arial"/>
          <w:sz w:val="19"/>
          <w:szCs w:val="19"/>
          <w:color w:val="auto"/>
        </w:rPr>
        <w:t>In the event that the aggregate of the Other Holder, Contran, Trust 2 Trustee and/or the Permitted</w:t>
      </w:r>
      <w:r>
        <w:rPr>
          <w:rFonts w:ascii="Arial" w:cs="Arial" w:eastAsia="Arial" w:hAnsi="Arial"/>
          <w:sz w:val="19"/>
          <w:szCs w:val="19"/>
          <w:b w:val="1"/>
          <w:bCs w:val="1"/>
          <w:color w:val="auto"/>
        </w:rPr>
        <w:t xml:space="preserve"> </w:t>
      </w:r>
      <w:r>
        <w:rPr>
          <w:rFonts w:ascii="Arial" w:cs="Arial" w:eastAsia="Arial" w:hAnsi="Arial"/>
          <w:sz w:val="19"/>
          <w:szCs w:val="19"/>
          <w:color w:val="auto"/>
        </w:rPr>
        <w:t>Holders elections to exercise the purchase right is less than all of the Offered Shares in a proposed Transfer, or in the event that none of the closings set forth in the series of rights of first refusal timely occurs through no fault of the Holder proposing to Transfer, then the Holder proposing to Transfer may, within sixty (60) days thereafter, complete such Transfer of the Offered Shares to the proposed Transferee at the same price and on the same terms as specified in the</w:t>
      </w:r>
    </w:p>
    <w:p>
      <w:pPr>
        <w:spacing w:after="0" w:line="1" w:lineRule="exact"/>
        <w:rPr>
          <w:sz w:val="20"/>
          <w:szCs w:val="20"/>
          <w:color w:val="auto"/>
        </w:rPr>
      </w:pPr>
    </w:p>
    <w:p>
      <w:pPr>
        <w:jc w:val="both"/>
        <w:ind w:left="660"/>
        <w:spacing w:after="0" w:line="232" w:lineRule="auto"/>
        <w:rPr>
          <w:sz w:val="20"/>
          <w:szCs w:val="20"/>
          <w:color w:val="auto"/>
        </w:rPr>
      </w:pPr>
      <w:r>
        <w:rPr>
          <w:rFonts w:ascii="Arial" w:cs="Arial" w:eastAsia="Arial" w:hAnsi="Arial"/>
          <w:sz w:val="22"/>
          <w:szCs w:val="22"/>
          <w:color w:val="auto"/>
        </w:rPr>
        <w:t>Holder's Written Notice, provided that such Transfer is effected in accordance with applicable securities laws and otherwise in accordance with the terms of this Agreement, and further provided that such Transferee must join this Agreement, committing to be bound by the terms of this Agreement. For clarity and emphasis, the Transferee will not thereby become either a Permitted Transferee or a Permitted Holder. And while such Transferee will be obligated to comply with the terms of this Agreement, such Transferee will not be a beneficiary of the rights established by this Agreement.</w:t>
      </w:r>
    </w:p>
    <w:p>
      <w:pPr>
        <w:spacing w:after="0" w:line="169" w:lineRule="exact"/>
        <w:rPr>
          <w:sz w:val="20"/>
          <w:szCs w:val="20"/>
          <w:color w:val="auto"/>
        </w:rPr>
      </w:pPr>
    </w:p>
    <w:p>
      <w:pPr>
        <w:ind w:left="660" w:hanging="652"/>
        <w:spacing w:after="0"/>
        <w:tabs>
          <w:tab w:leader="none" w:pos="660" w:val="left"/>
        </w:tabs>
        <w:numPr>
          <w:ilvl w:val="0"/>
          <w:numId w:val="75"/>
        </w:numPr>
        <w:rPr>
          <w:rFonts w:ascii="Arial" w:cs="Arial" w:eastAsia="Arial" w:hAnsi="Arial"/>
          <w:sz w:val="19"/>
          <w:szCs w:val="19"/>
          <w:b w:val="1"/>
          <w:bCs w:val="1"/>
          <w:i w:val="1"/>
          <w:iCs w:val="1"/>
          <w:color w:val="auto"/>
        </w:rPr>
      </w:pPr>
      <w:r>
        <w:rPr>
          <w:rFonts w:ascii="Arial" w:cs="Arial" w:eastAsia="Arial" w:hAnsi="Arial"/>
          <w:sz w:val="19"/>
          <w:szCs w:val="19"/>
          <w:b w:val="1"/>
          <w:bCs w:val="1"/>
          <w:color w:val="auto"/>
        </w:rPr>
        <w:t xml:space="preserve">Permitted Transfers. </w:t>
      </w:r>
      <w:r>
        <w:rPr>
          <w:rFonts w:ascii="Arial" w:cs="Arial" w:eastAsia="Arial" w:hAnsi="Arial"/>
          <w:sz w:val="19"/>
          <w:szCs w:val="19"/>
          <w:color w:val="auto"/>
        </w:rPr>
        <w:t>Notwithstanding anything herein to the contrary, the rights of first refusal contained in this Section</w:t>
      </w:r>
    </w:p>
    <w:p>
      <w:pPr>
        <w:spacing w:after="0" w:line="49" w:lineRule="exact"/>
        <w:rPr>
          <w:sz w:val="20"/>
          <w:szCs w:val="20"/>
          <w:color w:val="auto"/>
        </w:rPr>
      </w:pPr>
    </w:p>
    <w:p>
      <w:pPr>
        <w:jc w:val="both"/>
        <w:ind w:left="660"/>
        <w:spacing w:after="0" w:line="234" w:lineRule="auto"/>
        <w:rPr>
          <w:sz w:val="20"/>
          <w:szCs w:val="20"/>
          <w:color w:val="auto"/>
        </w:rPr>
      </w:pPr>
      <w:r>
        <w:rPr>
          <w:rFonts w:ascii="Arial" w:cs="Arial" w:eastAsia="Arial" w:hAnsi="Arial"/>
          <w:sz w:val="22"/>
          <w:szCs w:val="22"/>
          <w:color w:val="auto"/>
        </w:rPr>
        <w:t xml:space="preserve">1 or in Section 2 shall not apply to any Transfer between two or more Permitted Transferees, as hereinafter defined, or any Transfer between one or more Permitted Transferees and Trust 2 Trustee. For purposes of this Agreement, the term </w:t>
      </w:r>
      <w:r>
        <w:rPr>
          <w:rFonts w:ascii="Arial" w:cs="Arial" w:eastAsia="Arial" w:hAnsi="Arial"/>
          <w:sz w:val="22"/>
          <w:szCs w:val="22"/>
          <w:i w:val="1"/>
          <w:iCs w:val="1"/>
          <w:color w:val="auto"/>
        </w:rPr>
        <w:t xml:space="preserve">“Permitted Transferee” </w:t>
      </w:r>
      <w:r>
        <w:rPr>
          <w:rFonts w:ascii="Arial" w:cs="Arial" w:eastAsia="Arial" w:hAnsi="Arial"/>
          <w:sz w:val="22"/>
          <w:szCs w:val="22"/>
          <w:color w:val="auto"/>
        </w:rPr>
        <w:t>shall mean any of the following:</w:t>
      </w:r>
    </w:p>
    <w:p>
      <w:pPr>
        <w:spacing w:after="0" w:line="370" w:lineRule="exact"/>
        <w:rPr>
          <w:sz w:val="20"/>
          <w:szCs w:val="20"/>
          <w:color w:val="auto"/>
        </w:rPr>
      </w:pPr>
    </w:p>
    <w:p>
      <w:pPr>
        <w:ind w:left="1300" w:hanging="639"/>
        <w:spacing w:after="0" w:line="256" w:lineRule="auto"/>
        <w:tabs>
          <w:tab w:leader="none" w:pos="1280" w:val="left"/>
        </w:tabs>
        <w:rPr>
          <w:sz w:val="20"/>
          <w:szCs w:val="20"/>
          <w:color w:val="auto"/>
        </w:rPr>
      </w:pPr>
      <w:r>
        <w:rPr>
          <w:rFonts w:ascii="Arial" w:cs="Arial" w:eastAsia="Arial" w:hAnsi="Arial"/>
          <w:sz w:val="22"/>
          <w:szCs w:val="22"/>
          <w:b w:val="1"/>
          <w:bCs w:val="1"/>
          <w:color w:val="auto"/>
        </w:rPr>
        <w:t>(i)</w:t>
      </w:r>
      <w:r>
        <w:rPr>
          <w:sz w:val="20"/>
          <w:szCs w:val="20"/>
          <w:color w:val="auto"/>
        </w:rPr>
        <w:tab/>
      </w:r>
      <w:r>
        <w:rPr>
          <w:rFonts w:ascii="Arial" w:cs="Arial" w:eastAsia="Arial" w:hAnsi="Arial"/>
          <w:sz w:val="22"/>
          <w:szCs w:val="22"/>
          <w:b w:val="1"/>
          <w:bCs w:val="1"/>
          <w:color w:val="auto"/>
        </w:rPr>
        <w:t xml:space="preserve">Family Member. </w:t>
      </w:r>
      <w:r>
        <w:rPr>
          <w:rFonts w:ascii="Arial" w:cs="Arial" w:eastAsia="Arial" w:hAnsi="Arial"/>
          <w:sz w:val="22"/>
          <w:szCs w:val="22"/>
          <w:color w:val="auto"/>
        </w:rPr>
        <w:t>LKS, SSC or a spouse or lineal descendant (whether natural or legally adopted) of either of</w:t>
      </w:r>
      <w:r>
        <w:rPr>
          <w:rFonts w:ascii="Arial" w:cs="Arial" w:eastAsia="Arial" w:hAnsi="Arial"/>
          <w:sz w:val="22"/>
          <w:szCs w:val="22"/>
          <w:b w:val="1"/>
          <w:bCs w:val="1"/>
          <w:color w:val="auto"/>
        </w:rPr>
        <w:t xml:space="preserve"> </w:t>
      </w:r>
      <w:r>
        <w:rPr>
          <w:rFonts w:ascii="Arial" w:cs="Arial" w:eastAsia="Arial" w:hAnsi="Arial"/>
          <w:sz w:val="22"/>
          <w:szCs w:val="22"/>
          <w:color w:val="auto"/>
        </w:rPr>
        <w:t>LKS or SSC (each a “Family Member”); or</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53"/>
        </w:trPr>
        <w:tc>
          <w:tcPr>
            <w:tcW w:w="440" w:type="dxa"/>
            <w:vAlign w:val="bottom"/>
          </w:tcPr>
          <w:p>
            <w:pPr>
              <w:spacing w:after="0"/>
              <w:rPr>
                <w:sz w:val="21"/>
                <w:szCs w:val="21"/>
                <w:color w:val="auto"/>
              </w:rPr>
            </w:pPr>
          </w:p>
        </w:tc>
        <w:tc>
          <w:tcPr>
            <w:tcW w:w="700" w:type="dxa"/>
            <w:vAlign w:val="bottom"/>
          </w:tcPr>
          <w:p>
            <w:pPr>
              <w:ind w:left="220"/>
              <w:spacing w:after="0"/>
              <w:rPr>
                <w:sz w:val="20"/>
                <w:szCs w:val="20"/>
                <w:color w:val="auto"/>
              </w:rPr>
            </w:pPr>
            <w:r>
              <w:rPr>
                <w:rFonts w:ascii="Arial" w:cs="Arial" w:eastAsia="Arial" w:hAnsi="Arial"/>
                <w:sz w:val="22"/>
                <w:szCs w:val="22"/>
                <w:b w:val="1"/>
                <w:bCs w:val="1"/>
                <w:color w:val="auto"/>
              </w:rPr>
              <w:t>(ii)</w:t>
            </w:r>
          </w:p>
        </w:tc>
        <w:tc>
          <w:tcPr>
            <w:tcW w:w="10100" w:type="dxa"/>
            <w:vAlign w:val="bottom"/>
            <w:gridSpan w:val="3"/>
          </w:tcPr>
          <w:p>
            <w:pPr>
              <w:ind w:left="160"/>
              <w:spacing w:after="0"/>
              <w:rPr>
                <w:sz w:val="20"/>
                <w:szCs w:val="20"/>
                <w:color w:val="auto"/>
              </w:rPr>
            </w:pPr>
            <w:r>
              <w:rPr>
                <w:rFonts w:ascii="Arial" w:cs="Arial" w:eastAsia="Arial" w:hAnsi="Arial"/>
                <w:sz w:val="22"/>
                <w:szCs w:val="22"/>
                <w:b w:val="1"/>
                <w:bCs w:val="1"/>
                <w:color w:val="auto"/>
                <w:w w:val="92"/>
              </w:rPr>
              <w:t xml:space="preserve">Family Trust. </w:t>
            </w:r>
            <w:r>
              <w:rPr>
                <w:rFonts w:ascii="Arial" w:cs="Arial" w:eastAsia="Arial" w:hAnsi="Arial"/>
                <w:sz w:val="22"/>
                <w:szCs w:val="22"/>
                <w:color w:val="auto"/>
                <w:w w:val="92"/>
              </w:rPr>
              <w:t>A trust for the benefit of LKS or SSC or for the benefit of a spouse or lineal descendant (whether</w:t>
            </w:r>
          </w:p>
        </w:tc>
      </w:tr>
      <w:tr>
        <w:trPr>
          <w:trHeight w:val="274"/>
        </w:trPr>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100" w:type="dxa"/>
            <w:vAlign w:val="bottom"/>
            <w:gridSpan w:val="3"/>
          </w:tcPr>
          <w:p>
            <w:pPr>
              <w:ind w:left="160"/>
              <w:spacing w:after="0"/>
              <w:rPr>
                <w:sz w:val="20"/>
                <w:szCs w:val="20"/>
                <w:color w:val="auto"/>
              </w:rPr>
            </w:pPr>
            <w:r>
              <w:rPr>
                <w:rFonts w:ascii="Arial" w:cs="Arial" w:eastAsia="Arial" w:hAnsi="Arial"/>
                <w:sz w:val="22"/>
                <w:szCs w:val="22"/>
                <w:color w:val="auto"/>
              </w:rPr>
              <w:t>natural or legally adopted) of either LKS or SSC (a “Family Trust”); or</w:t>
            </w:r>
          </w:p>
        </w:tc>
      </w:tr>
      <w:tr>
        <w:trPr>
          <w:trHeight w:val="617"/>
        </w:trPr>
        <w:tc>
          <w:tcPr>
            <w:tcW w:w="440" w:type="dxa"/>
            <w:vAlign w:val="bottom"/>
          </w:tcPr>
          <w:p>
            <w:pPr>
              <w:spacing w:after="0"/>
              <w:rPr>
                <w:sz w:val="24"/>
                <w:szCs w:val="24"/>
                <w:color w:val="auto"/>
              </w:rPr>
            </w:pPr>
          </w:p>
        </w:tc>
        <w:tc>
          <w:tcPr>
            <w:tcW w:w="700" w:type="dxa"/>
            <w:vAlign w:val="bottom"/>
          </w:tcPr>
          <w:p>
            <w:pPr>
              <w:ind w:left="220"/>
              <w:spacing w:after="0"/>
              <w:rPr>
                <w:sz w:val="20"/>
                <w:szCs w:val="20"/>
                <w:color w:val="auto"/>
              </w:rPr>
            </w:pPr>
            <w:r>
              <w:rPr>
                <w:rFonts w:ascii="Arial" w:cs="Arial" w:eastAsia="Arial" w:hAnsi="Arial"/>
                <w:sz w:val="22"/>
                <w:szCs w:val="22"/>
                <w:b w:val="1"/>
                <w:bCs w:val="1"/>
                <w:color w:val="auto"/>
              </w:rPr>
              <w:t>(iii)</w:t>
            </w:r>
          </w:p>
        </w:tc>
        <w:tc>
          <w:tcPr>
            <w:tcW w:w="10100" w:type="dxa"/>
            <w:vAlign w:val="bottom"/>
            <w:gridSpan w:val="3"/>
          </w:tcPr>
          <w:p>
            <w:pPr>
              <w:ind w:left="160"/>
              <w:spacing w:after="0"/>
              <w:rPr>
                <w:sz w:val="20"/>
                <w:szCs w:val="20"/>
                <w:color w:val="auto"/>
              </w:rPr>
            </w:pPr>
            <w:r>
              <w:rPr>
                <w:rFonts w:ascii="Arial" w:cs="Arial" w:eastAsia="Arial" w:hAnsi="Arial"/>
                <w:sz w:val="22"/>
                <w:szCs w:val="22"/>
                <w:b w:val="1"/>
                <w:bCs w:val="1"/>
                <w:color w:val="auto"/>
                <w:w w:val="91"/>
              </w:rPr>
              <w:t xml:space="preserve">Family Entities. </w:t>
            </w:r>
            <w:r>
              <w:rPr>
                <w:rFonts w:ascii="Arial" w:cs="Arial" w:eastAsia="Arial" w:hAnsi="Arial"/>
                <w:sz w:val="22"/>
                <w:szCs w:val="22"/>
                <w:color w:val="auto"/>
                <w:w w:val="91"/>
              </w:rPr>
              <w:t>Any entity for which all equity interests are owned, directly or indirectly, entirely by one or more</w:t>
            </w:r>
          </w:p>
        </w:tc>
      </w:tr>
      <w:tr>
        <w:trPr>
          <w:trHeight w:val="243"/>
        </w:trPr>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100" w:type="dxa"/>
            <w:vAlign w:val="bottom"/>
            <w:gridSpan w:val="3"/>
          </w:tcPr>
          <w:p>
            <w:pPr>
              <w:ind w:left="160"/>
              <w:spacing w:after="0" w:line="243" w:lineRule="exact"/>
              <w:rPr>
                <w:sz w:val="20"/>
                <w:szCs w:val="20"/>
                <w:color w:val="auto"/>
              </w:rPr>
            </w:pPr>
            <w:r>
              <w:rPr>
                <w:rFonts w:ascii="Arial" w:cs="Arial" w:eastAsia="Arial" w:hAnsi="Arial"/>
                <w:sz w:val="22"/>
                <w:szCs w:val="22"/>
                <w:color w:val="auto"/>
                <w:w w:val="93"/>
              </w:rPr>
              <w:t>Family Members and/or one or more Family Trusts (a “Family Entity”), recognizing that more than one Family</w:t>
            </w:r>
          </w:p>
        </w:tc>
      </w:tr>
      <w:tr>
        <w:trPr>
          <w:trHeight w:val="274"/>
        </w:trPr>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100" w:type="dxa"/>
            <w:vAlign w:val="bottom"/>
            <w:gridSpan w:val="3"/>
          </w:tcPr>
          <w:p>
            <w:pPr>
              <w:ind w:left="160"/>
              <w:spacing w:after="0"/>
              <w:rPr>
                <w:sz w:val="20"/>
                <w:szCs w:val="20"/>
                <w:color w:val="auto"/>
              </w:rPr>
            </w:pPr>
            <w:r>
              <w:rPr>
                <w:rFonts w:ascii="Arial" w:cs="Arial" w:eastAsia="Arial" w:hAnsi="Arial"/>
                <w:sz w:val="22"/>
                <w:szCs w:val="22"/>
                <w:color w:val="auto"/>
              </w:rPr>
              <w:t>Entity could be involved in any Family Entity ownership structure.</w:t>
            </w:r>
          </w:p>
        </w:tc>
      </w:tr>
      <w:tr>
        <w:trPr>
          <w:trHeight w:val="414"/>
        </w:trPr>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100" w:type="dxa"/>
            <w:vAlign w:val="bottom"/>
            <w:gridSpan w:val="3"/>
          </w:tcPr>
          <w:p>
            <w:pPr>
              <w:ind w:left="160"/>
              <w:spacing w:after="0"/>
              <w:rPr>
                <w:sz w:val="20"/>
                <w:szCs w:val="20"/>
                <w:color w:val="auto"/>
              </w:rPr>
            </w:pPr>
            <w:r>
              <w:rPr>
                <w:rFonts w:ascii="Arial" w:cs="Arial" w:eastAsia="Arial" w:hAnsi="Arial"/>
                <w:sz w:val="22"/>
                <w:szCs w:val="22"/>
                <w:color w:val="auto"/>
                <w:w w:val="99"/>
              </w:rPr>
              <w:t>Notwithstanding the forgoing, neither Trust 2 Trustee nor Trust 2 shall be included in the definition of a</w:t>
            </w:r>
          </w:p>
        </w:tc>
      </w:tr>
      <w:tr>
        <w:trPr>
          <w:trHeight w:val="274"/>
        </w:trPr>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100" w:type="dxa"/>
            <w:vAlign w:val="bottom"/>
            <w:gridSpan w:val="3"/>
          </w:tcPr>
          <w:p>
            <w:pPr>
              <w:ind w:left="160"/>
              <w:spacing w:after="0"/>
              <w:rPr>
                <w:sz w:val="20"/>
                <w:szCs w:val="20"/>
                <w:color w:val="auto"/>
              </w:rPr>
            </w:pPr>
            <w:r>
              <w:rPr>
                <w:rFonts w:ascii="Arial" w:cs="Arial" w:eastAsia="Arial" w:hAnsi="Arial"/>
                <w:sz w:val="22"/>
                <w:szCs w:val="22"/>
                <w:color w:val="auto"/>
              </w:rPr>
              <w:t>“Permitted Transferee.”</w:t>
            </w:r>
          </w:p>
        </w:tc>
      </w:tr>
      <w:tr>
        <w:trPr>
          <w:trHeight w:val="414"/>
        </w:trPr>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100" w:type="dxa"/>
            <w:vAlign w:val="bottom"/>
            <w:gridSpan w:val="3"/>
          </w:tcPr>
          <w:p>
            <w:pPr>
              <w:ind w:left="160"/>
              <w:spacing w:after="0"/>
              <w:rPr>
                <w:sz w:val="20"/>
                <w:szCs w:val="20"/>
                <w:color w:val="auto"/>
              </w:rPr>
            </w:pPr>
            <w:r>
              <w:rPr>
                <w:rFonts w:ascii="Arial" w:cs="Arial" w:eastAsia="Arial" w:hAnsi="Arial"/>
                <w:sz w:val="22"/>
                <w:szCs w:val="22"/>
                <w:color w:val="auto"/>
                <w:w w:val="88"/>
              </w:rPr>
              <w:t>With respect to each such Transfer between two or more Permitted Transferees or between one or more Permitted</w:t>
            </w:r>
          </w:p>
        </w:tc>
      </w:tr>
      <w:tr>
        <w:trPr>
          <w:trHeight w:val="243"/>
        </w:trPr>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100" w:type="dxa"/>
            <w:vAlign w:val="bottom"/>
            <w:gridSpan w:val="3"/>
          </w:tcPr>
          <w:p>
            <w:pPr>
              <w:ind w:left="160"/>
              <w:spacing w:after="0" w:line="243" w:lineRule="exact"/>
              <w:rPr>
                <w:sz w:val="20"/>
                <w:szCs w:val="20"/>
                <w:color w:val="auto"/>
              </w:rPr>
            </w:pPr>
            <w:r>
              <w:rPr>
                <w:rFonts w:ascii="Arial" w:cs="Arial" w:eastAsia="Arial" w:hAnsi="Arial"/>
                <w:sz w:val="22"/>
                <w:szCs w:val="22"/>
                <w:color w:val="auto"/>
                <w:w w:val="90"/>
              </w:rPr>
              <w:t>Transferee and Trust 2 Trustee, and unless such Permitted Transferee is already a party to this Agreement, as a</w:t>
            </w:r>
          </w:p>
        </w:tc>
      </w:tr>
      <w:tr>
        <w:trPr>
          <w:trHeight w:val="243"/>
        </w:trPr>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100" w:type="dxa"/>
            <w:vAlign w:val="bottom"/>
            <w:gridSpan w:val="3"/>
          </w:tcPr>
          <w:p>
            <w:pPr>
              <w:ind w:left="160"/>
              <w:spacing w:after="0" w:line="243" w:lineRule="exact"/>
              <w:rPr>
                <w:sz w:val="20"/>
                <w:szCs w:val="20"/>
                <w:color w:val="auto"/>
              </w:rPr>
            </w:pPr>
            <w:r>
              <w:rPr>
                <w:rFonts w:ascii="Arial" w:cs="Arial" w:eastAsia="Arial" w:hAnsi="Arial"/>
                <w:sz w:val="22"/>
                <w:szCs w:val="22"/>
                <w:color w:val="auto"/>
                <w:w w:val="90"/>
              </w:rPr>
              <w:t>condition of such Transfer Contran shall cause the Permitted Transferee to enter into a joinder agreement to this</w:t>
            </w:r>
          </w:p>
        </w:tc>
      </w:tr>
      <w:tr>
        <w:trPr>
          <w:trHeight w:val="243"/>
        </w:trPr>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100" w:type="dxa"/>
            <w:vAlign w:val="bottom"/>
            <w:gridSpan w:val="3"/>
          </w:tcPr>
          <w:p>
            <w:pPr>
              <w:ind w:left="160"/>
              <w:spacing w:after="0" w:line="243" w:lineRule="exact"/>
              <w:rPr>
                <w:sz w:val="20"/>
                <w:szCs w:val="20"/>
                <w:color w:val="auto"/>
              </w:rPr>
            </w:pPr>
            <w:r>
              <w:rPr>
                <w:rFonts w:ascii="Arial" w:cs="Arial" w:eastAsia="Arial" w:hAnsi="Arial"/>
                <w:sz w:val="22"/>
                <w:szCs w:val="22"/>
                <w:color w:val="auto"/>
                <w:w w:val="89"/>
              </w:rPr>
              <w:t>Agreement providing that all Voting Stock Transferred to such Permitted Transferee shall continue to be subject to</w:t>
            </w:r>
          </w:p>
        </w:tc>
      </w:tr>
      <w:tr>
        <w:trPr>
          <w:trHeight w:val="274"/>
        </w:trPr>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100" w:type="dxa"/>
            <w:vAlign w:val="bottom"/>
            <w:gridSpan w:val="3"/>
          </w:tcPr>
          <w:p>
            <w:pPr>
              <w:ind w:left="160"/>
              <w:spacing w:after="0"/>
              <w:rPr>
                <w:sz w:val="20"/>
                <w:szCs w:val="20"/>
                <w:color w:val="auto"/>
              </w:rPr>
            </w:pPr>
            <w:r>
              <w:rPr>
                <w:rFonts w:ascii="Arial" w:cs="Arial" w:eastAsia="Arial" w:hAnsi="Arial"/>
                <w:sz w:val="22"/>
                <w:szCs w:val="22"/>
                <w:color w:val="auto"/>
              </w:rPr>
              <w:t>all provisions of this Agreement.</w:t>
            </w:r>
          </w:p>
        </w:tc>
      </w:tr>
      <w:tr>
        <w:trPr>
          <w:trHeight w:val="414"/>
        </w:trPr>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100" w:type="dxa"/>
            <w:vAlign w:val="bottom"/>
            <w:gridSpan w:val="3"/>
          </w:tcPr>
          <w:p>
            <w:pPr>
              <w:ind w:left="160"/>
              <w:spacing w:after="0"/>
              <w:rPr>
                <w:sz w:val="20"/>
                <w:szCs w:val="20"/>
                <w:color w:val="auto"/>
              </w:rPr>
            </w:pPr>
            <w:r>
              <w:rPr>
                <w:rFonts w:ascii="Arial" w:cs="Arial" w:eastAsia="Arial" w:hAnsi="Arial"/>
                <w:sz w:val="22"/>
                <w:szCs w:val="22"/>
                <w:color w:val="auto"/>
                <w:w w:val="96"/>
              </w:rPr>
              <w:t>For purposes of clarification, the appointment of a successor trustee who is not a Permitted Transferee (a</w:t>
            </w:r>
          </w:p>
        </w:tc>
      </w:tr>
      <w:tr>
        <w:trPr>
          <w:trHeight w:val="224"/>
        </w:trPr>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100" w:type="dxa"/>
            <w:vAlign w:val="bottom"/>
            <w:gridSpan w:val="3"/>
          </w:tcPr>
          <w:p>
            <w:pPr>
              <w:ind w:left="160"/>
              <w:spacing w:after="0" w:line="224" w:lineRule="exact"/>
              <w:rPr>
                <w:sz w:val="20"/>
                <w:szCs w:val="20"/>
                <w:color w:val="auto"/>
              </w:rPr>
            </w:pPr>
            <w:r>
              <w:rPr>
                <w:rFonts w:ascii="Arial" w:cs="Arial" w:eastAsia="Arial" w:hAnsi="Arial"/>
                <w:sz w:val="22"/>
                <w:szCs w:val="22"/>
                <w:i w:val="1"/>
                <w:iCs w:val="1"/>
                <w:color w:val="auto"/>
                <w:w w:val="92"/>
              </w:rPr>
              <w:t xml:space="preserve">“Successor Trustee”) </w:t>
            </w:r>
            <w:r>
              <w:rPr>
                <w:rFonts w:ascii="Arial" w:cs="Arial" w:eastAsia="Arial" w:hAnsi="Arial"/>
                <w:sz w:val="22"/>
                <w:szCs w:val="22"/>
                <w:color w:val="auto"/>
                <w:w w:val="92"/>
              </w:rPr>
              <w:t>under any of the trusts listed on Appendix A, or under a Family Trust which constitutes a</w:t>
            </w:r>
          </w:p>
        </w:tc>
      </w:tr>
      <w:tr>
        <w:trPr>
          <w:trHeight w:val="20"/>
        </w:trPr>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r>
      <w:tr>
        <w:trPr>
          <w:trHeight w:val="242"/>
        </w:trPr>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100" w:type="dxa"/>
            <w:vAlign w:val="bottom"/>
            <w:gridSpan w:val="3"/>
          </w:tcPr>
          <w:p>
            <w:pPr>
              <w:ind w:left="160"/>
              <w:spacing w:after="0" w:line="242" w:lineRule="exact"/>
              <w:rPr>
                <w:sz w:val="20"/>
                <w:szCs w:val="20"/>
                <w:color w:val="auto"/>
              </w:rPr>
            </w:pPr>
            <w:r>
              <w:rPr>
                <w:rFonts w:ascii="Arial" w:cs="Arial" w:eastAsia="Arial" w:hAnsi="Arial"/>
                <w:sz w:val="22"/>
                <w:szCs w:val="22"/>
                <w:color w:val="auto"/>
                <w:w w:val="93"/>
              </w:rPr>
              <w:t>Permitted Transferee, shall not trigger the right of first refusal contained in this Section 1, but the Voting Stock</w:t>
            </w:r>
          </w:p>
        </w:tc>
      </w:tr>
      <w:tr>
        <w:trPr>
          <w:trHeight w:val="243"/>
        </w:trPr>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100" w:type="dxa"/>
            <w:vAlign w:val="bottom"/>
            <w:gridSpan w:val="3"/>
          </w:tcPr>
          <w:p>
            <w:pPr>
              <w:ind w:left="160"/>
              <w:spacing w:after="0" w:line="243" w:lineRule="exact"/>
              <w:rPr>
                <w:sz w:val="20"/>
                <w:szCs w:val="20"/>
                <w:color w:val="auto"/>
              </w:rPr>
            </w:pPr>
            <w:r>
              <w:rPr>
                <w:rFonts w:ascii="Arial" w:cs="Arial" w:eastAsia="Arial" w:hAnsi="Arial"/>
                <w:sz w:val="22"/>
                <w:szCs w:val="22"/>
                <w:color w:val="auto"/>
                <w:w w:val="91"/>
              </w:rPr>
              <w:t>held in such trust and the Successor Trustee shall remain subject to all provisions of this Agreement. Each such</w:t>
            </w:r>
          </w:p>
        </w:tc>
      </w:tr>
      <w:tr>
        <w:trPr>
          <w:trHeight w:val="243"/>
        </w:trPr>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100" w:type="dxa"/>
            <w:vAlign w:val="bottom"/>
            <w:gridSpan w:val="3"/>
          </w:tcPr>
          <w:p>
            <w:pPr>
              <w:ind w:left="160"/>
              <w:spacing w:after="0" w:line="243" w:lineRule="exact"/>
              <w:rPr>
                <w:sz w:val="20"/>
                <w:szCs w:val="20"/>
                <w:color w:val="auto"/>
              </w:rPr>
            </w:pPr>
            <w:r>
              <w:rPr>
                <w:rFonts w:ascii="Arial" w:cs="Arial" w:eastAsia="Arial" w:hAnsi="Arial"/>
                <w:sz w:val="22"/>
                <w:szCs w:val="22"/>
                <w:color w:val="auto"/>
                <w:w w:val="90"/>
              </w:rPr>
              <w:t>Successor Trustee (including a Successor Trustee to Trust 2 Trustee) shall enter into a joinder agreement to this</w:t>
            </w:r>
          </w:p>
        </w:tc>
      </w:tr>
      <w:tr>
        <w:trPr>
          <w:trHeight w:val="243"/>
        </w:trPr>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100" w:type="dxa"/>
            <w:vAlign w:val="bottom"/>
            <w:gridSpan w:val="3"/>
          </w:tcPr>
          <w:p>
            <w:pPr>
              <w:ind w:left="160"/>
              <w:spacing w:after="0" w:line="243" w:lineRule="exact"/>
              <w:rPr>
                <w:sz w:val="20"/>
                <w:szCs w:val="20"/>
                <w:color w:val="auto"/>
              </w:rPr>
            </w:pPr>
            <w:r>
              <w:rPr>
                <w:rFonts w:ascii="Arial" w:cs="Arial" w:eastAsia="Arial" w:hAnsi="Arial"/>
                <w:sz w:val="22"/>
                <w:szCs w:val="22"/>
                <w:color w:val="auto"/>
                <w:w w:val="94"/>
              </w:rPr>
              <w:t>Agreement providing that all Voting Stock held by such Successor Trustee shall continue to be subject to all</w:t>
            </w:r>
          </w:p>
        </w:tc>
      </w:tr>
      <w:tr>
        <w:trPr>
          <w:trHeight w:val="243"/>
        </w:trPr>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100" w:type="dxa"/>
            <w:vAlign w:val="bottom"/>
            <w:gridSpan w:val="3"/>
          </w:tcPr>
          <w:p>
            <w:pPr>
              <w:ind w:left="160"/>
              <w:spacing w:after="0" w:line="243" w:lineRule="exact"/>
              <w:rPr>
                <w:sz w:val="20"/>
                <w:szCs w:val="20"/>
                <w:color w:val="auto"/>
              </w:rPr>
            </w:pPr>
            <w:r>
              <w:rPr>
                <w:rFonts w:ascii="Arial" w:cs="Arial" w:eastAsia="Arial" w:hAnsi="Arial"/>
                <w:sz w:val="22"/>
                <w:szCs w:val="22"/>
                <w:color w:val="auto"/>
                <w:w w:val="90"/>
              </w:rPr>
              <w:t>provisions of this Agreement. For clarity, any Voting Stock held by Trust 2 Trustee (and any Successor Trustee to</w:t>
            </w:r>
          </w:p>
        </w:tc>
      </w:tr>
      <w:tr>
        <w:trPr>
          <w:trHeight w:val="274"/>
        </w:trPr>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100" w:type="dxa"/>
            <w:vAlign w:val="bottom"/>
            <w:gridSpan w:val="3"/>
          </w:tcPr>
          <w:p>
            <w:pPr>
              <w:ind w:left="160"/>
              <w:spacing w:after="0"/>
              <w:rPr>
                <w:sz w:val="20"/>
                <w:szCs w:val="20"/>
                <w:color w:val="auto"/>
              </w:rPr>
            </w:pPr>
            <w:r>
              <w:rPr>
                <w:rFonts w:ascii="Arial" w:cs="Arial" w:eastAsia="Arial" w:hAnsi="Arial"/>
                <w:sz w:val="22"/>
                <w:szCs w:val="22"/>
                <w:color w:val="auto"/>
              </w:rPr>
              <w:t>Trust 2 Trustee) shall not be subject to any of the provisions of Section 3 hereof.</w:t>
            </w:r>
          </w:p>
        </w:tc>
      </w:tr>
      <w:tr>
        <w:trPr>
          <w:trHeight w:val="414"/>
        </w:trPr>
        <w:tc>
          <w:tcPr>
            <w:tcW w:w="440" w:type="dxa"/>
            <w:vAlign w:val="bottom"/>
          </w:tcPr>
          <w:p>
            <w:pPr>
              <w:spacing w:after="0"/>
              <w:rPr>
                <w:sz w:val="20"/>
                <w:szCs w:val="20"/>
                <w:color w:val="auto"/>
              </w:rPr>
            </w:pPr>
            <w:r>
              <w:rPr>
                <w:rFonts w:ascii="Arial" w:cs="Arial" w:eastAsia="Arial" w:hAnsi="Arial"/>
                <w:sz w:val="22"/>
                <w:szCs w:val="22"/>
                <w:b w:val="1"/>
                <w:bCs w:val="1"/>
                <w:i w:val="1"/>
                <w:iCs w:val="1"/>
                <w:color w:val="auto"/>
              </w:rPr>
              <w:t>(f)</w:t>
            </w:r>
          </w:p>
        </w:tc>
        <w:tc>
          <w:tcPr>
            <w:tcW w:w="10800" w:type="dxa"/>
            <w:vAlign w:val="bottom"/>
            <w:gridSpan w:val="4"/>
          </w:tcPr>
          <w:p>
            <w:pPr>
              <w:ind w:left="220"/>
              <w:spacing w:after="0"/>
              <w:rPr>
                <w:sz w:val="20"/>
                <w:szCs w:val="20"/>
                <w:color w:val="auto"/>
              </w:rPr>
            </w:pPr>
            <w:r>
              <w:rPr>
                <w:rFonts w:ascii="Arial" w:cs="Arial" w:eastAsia="Arial" w:hAnsi="Arial"/>
                <w:sz w:val="22"/>
                <w:szCs w:val="22"/>
                <w:b w:val="1"/>
                <w:bCs w:val="1"/>
                <w:color w:val="auto"/>
                <w:w w:val="93"/>
              </w:rPr>
              <w:t xml:space="preserve">Transfers Upon Death. </w:t>
            </w:r>
            <w:r>
              <w:rPr>
                <w:rFonts w:ascii="Arial" w:cs="Arial" w:eastAsia="Arial" w:hAnsi="Arial"/>
                <w:sz w:val="22"/>
                <w:szCs w:val="22"/>
                <w:color w:val="auto"/>
                <w:w w:val="93"/>
              </w:rPr>
              <w:t>Upon the death of LKS, SSC or a Permitted Holder, any  Transfer of Voting Stock, whether</w:t>
            </w:r>
          </w:p>
        </w:tc>
      </w:tr>
      <w:tr>
        <w:trPr>
          <w:trHeight w:val="261"/>
        </w:trPr>
        <w:tc>
          <w:tcPr>
            <w:tcW w:w="440" w:type="dxa"/>
            <w:vAlign w:val="bottom"/>
          </w:tcPr>
          <w:p>
            <w:pPr>
              <w:spacing w:after="0"/>
              <w:rPr>
                <w:sz w:val="22"/>
                <w:szCs w:val="22"/>
                <w:color w:val="auto"/>
              </w:rPr>
            </w:pPr>
          </w:p>
        </w:tc>
        <w:tc>
          <w:tcPr>
            <w:tcW w:w="10800" w:type="dxa"/>
            <w:vAlign w:val="bottom"/>
            <w:gridSpan w:val="4"/>
          </w:tcPr>
          <w:p>
            <w:pPr>
              <w:ind w:left="220"/>
              <w:spacing w:after="0"/>
              <w:rPr>
                <w:sz w:val="20"/>
                <w:szCs w:val="20"/>
                <w:color w:val="auto"/>
              </w:rPr>
            </w:pPr>
            <w:r>
              <w:rPr>
                <w:rFonts w:ascii="Arial" w:cs="Arial" w:eastAsia="Arial" w:hAnsi="Arial"/>
                <w:sz w:val="22"/>
                <w:szCs w:val="22"/>
                <w:color w:val="auto"/>
                <w:w w:val="91"/>
              </w:rPr>
              <w:t>testamentary or by the laws of descent and distribution, to a party other than Trust 2 Trustee or a Permitted Transferee</w:t>
            </w:r>
          </w:p>
        </w:tc>
      </w:tr>
    </w:tbl>
    <w:p>
      <w:pPr>
        <w:jc w:val="both"/>
        <w:ind w:left="660"/>
        <w:spacing w:after="0" w:line="280" w:lineRule="auto"/>
        <w:rPr>
          <w:sz w:val="20"/>
          <w:szCs w:val="20"/>
          <w:color w:val="auto"/>
        </w:rPr>
      </w:pPr>
      <w:r>
        <w:rPr>
          <w:rFonts w:ascii="Arial" w:cs="Arial" w:eastAsia="Arial" w:hAnsi="Arial"/>
          <w:sz w:val="19"/>
          <w:szCs w:val="19"/>
          <w:color w:val="auto"/>
        </w:rPr>
        <w:t>shall be subject to the right of first refusals contained in Section 1 and in Section 2. The price per share for such Voting Stock shall be the Appraised Value. The notice requirements and closing periods described in Sections 1(a), 1(b), 1(c) and 2(a), 2(b), 2(c) hereof shall begin upon the date that the applicable will is probated, or in the case of intestacy, upon a final order by the probate court regarding the distribution of the assets of the decedent's estate.</w:t>
      </w:r>
    </w:p>
    <w:p>
      <w:pPr>
        <w:spacing w:after="0" w:line="131" w:lineRule="exact"/>
        <w:rPr>
          <w:sz w:val="20"/>
          <w:szCs w:val="20"/>
          <w:color w:val="auto"/>
        </w:rPr>
      </w:pPr>
    </w:p>
    <w:p>
      <w:pPr>
        <w:ind w:left="660" w:hanging="652"/>
        <w:spacing w:after="0"/>
        <w:tabs>
          <w:tab w:leader="none" w:pos="660" w:val="left"/>
        </w:tabs>
        <w:numPr>
          <w:ilvl w:val="0"/>
          <w:numId w:val="76"/>
        </w:numPr>
        <w:rPr>
          <w:rFonts w:ascii="Arial" w:cs="Arial" w:eastAsia="Arial" w:hAnsi="Arial"/>
          <w:sz w:val="22"/>
          <w:szCs w:val="22"/>
          <w:b w:val="1"/>
          <w:bCs w:val="1"/>
          <w:i w:val="1"/>
          <w:iCs w:val="1"/>
          <w:color w:val="auto"/>
        </w:rPr>
      </w:pPr>
      <w:r>
        <w:rPr>
          <w:rFonts w:ascii="Arial" w:cs="Arial" w:eastAsia="Arial" w:hAnsi="Arial"/>
          <w:sz w:val="22"/>
          <w:szCs w:val="22"/>
          <w:b w:val="1"/>
          <w:bCs w:val="1"/>
          <w:color w:val="auto"/>
        </w:rPr>
        <w:t>Continuation of Rights and Obligations.</w:t>
      </w:r>
    </w:p>
    <w:p>
      <w:pPr>
        <w:spacing w:after="0" w:line="200" w:lineRule="exact"/>
        <w:rPr>
          <w:sz w:val="20"/>
          <w:szCs w:val="20"/>
          <w:color w:val="auto"/>
        </w:rPr>
      </w:pPr>
    </w:p>
    <w:p>
      <w:pPr>
        <w:spacing w:after="0" w:line="209" w:lineRule="exact"/>
        <w:rPr>
          <w:sz w:val="20"/>
          <w:szCs w:val="20"/>
          <w:color w:val="auto"/>
        </w:rPr>
      </w:pPr>
    </w:p>
    <w:p>
      <w:pPr>
        <w:jc w:val="both"/>
        <w:ind w:left="1300" w:hanging="644"/>
        <w:spacing w:after="0" w:line="243" w:lineRule="auto"/>
        <w:tabs>
          <w:tab w:leader="none" w:pos="1300" w:val="left"/>
        </w:tabs>
        <w:numPr>
          <w:ilvl w:val="0"/>
          <w:numId w:val="7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Rights of Section 1(a) Personal. </w:t>
      </w:r>
      <w:r>
        <w:rPr>
          <w:rFonts w:ascii="Arial" w:cs="Arial" w:eastAsia="Arial" w:hAnsi="Arial"/>
          <w:sz w:val="22"/>
          <w:szCs w:val="22"/>
          <w:color w:val="auto"/>
        </w:rPr>
        <w:t>The right of first refusal described in Section 1(a) is personal to, and non-transferable by, each of LKS and SSC in their respective capacities as Holders and shall terminate with respect to LKS upon her death and with respect to SSC upon her death.</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29" w:name="page30"/>
    <w:bookmarkEnd w:id="29"/>
    <w:p>
      <w:pPr>
        <w:jc w:val="both"/>
        <w:ind w:left="1300" w:hanging="644"/>
        <w:spacing w:after="0" w:line="237" w:lineRule="auto"/>
        <w:tabs>
          <w:tab w:leader="none" w:pos="1300" w:val="left"/>
        </w:tabs>
        <w:numPr>
          <w:ilvl w:val="0"/>
          <w:numId w:val="7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Holders, Trust 2 Trustee and Permitted Holders Bound by All Terms. </w:t>
      </w:r>
      <w:r>
        <w:rPr>
          <w:rFonts w:ascii="Arial" w:cs="Arial" w:eastAsia="Arial" w:hAnsi="Arial"/>
          <w:sz w:val="22"/>
          <w:szCs w:val="22"/>
          <w:color w:val="auto"/>
        </w:rPr>
        <w:t>All Voting Stock held by a Holder, Trust</w:t>
      </w:r>
      <w:r>
        <w:rPr>
          <w:rFonts w:ascii="Arial" w:cs="Arial" w:eastAsia="Arial" w:hAnsi="Arial"/>
          <w:sz w:val="22"/>
          <w:szCs w:val="22"/>
          <w:b w:val="1"/>
          <w:bCs w:val="1"/>
          <w:color w:val="auto"/>
        </w:rPr>
        <w:t xml:space="preserve"> </w:t>
      </w:r>
      <w:r>
        <w:rPr>
          <w:rFonts w:ascii="Arial" w:cs="Arial" w:eastAsia="Arial" w:hAnsi="Arial"/>
          <w:sz w:val="22"/>
          <w:szCs w:val="22"/>
          <w:color w:val="auto"/>
        </w:rPr>
        <w:t>2 Trustee or a Permitted Holder, regardless of how such Voting Stock was acquired, shall remain subject to all provisions of this Agreement until this Agreement terminates pursuant to Section 5; provided, however, that Trust 2 Trustee and the Voting Stock held by Trust 2 Trustee shall not be subject to any of the provisions of Section 3 hereof.</w:t>
      </w:r>
    </w:p>
    <w:p>
      <w:pPr>
        <w:spacing w:after="0" w:line="397" w:lineRule="exact"/>
        <w:rPr>
          <w:rFonts w:ascii="Arial" w:cs="Arial" w:eastAsia="Arial" w:hAnsi="Arial"/>
          <w:sz w:val="22"/>
          <w:szCs w:val="22"/>
          <w:b w:val="1"/>
          <w:bCs w:val="1"/>
          <w:color w:val="auto"/>
        </w:rPr>
      </w:pPr>
    </w:p>
    <w:p>
      <w:pPr>
        <w:jc w:val="both"/>
        <w:ind w:left="1300" w:hanging="644"/>
        <w:spacing w:after="0" w:line="237" w:lineRule="auto"/>
        <w:tabs>
          <w:tab w:leader="none" w:pos="1300" w:val="left"/>
        </w:tabs>
        <w:numPr>
          <w:ilvl w:val="0"/>
          <w:numId w:val="7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Third Party Transferees Bound by Sections 1 and 2. </w:t>
      </w:r>
      <w:r>
        <w:rPr>
          <w:rFonts w:ascii="Arial" w:cs="Arial" w:eastAsia="Arial" w:hAnsi="Arial"/>
          <w:sz w:val="22"/>
          <w:szCs w:val="22"/>
          <w:color w:val="auto"/>
        </w:rPr>
        <w:t>Any Voting Stock that is Transferred in compliance with</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Section 1 hereof to a Transferee other than Trust 2 Trustee or a Permitted Transferee (a </w:t>
      </w:r>
      <w:r>
        <w:rPr>
          <w:rFonts w:ascii="Arial" w:cs="Arial" w:eastAsia="Arial" w:hAnsi="Arial"/>
          <w:sz w:val="22"/>
          <w:szCs w:val="22"/>
          <w:i w:val="1"/>
          <w:iCs w:val="1"/>
          <w:color w:val="auto"/>
        </w:rPr>
        <w:t>“Third Party Transferee”),</w:t>
      </w:r>
      <w:r>
        <w:rPr>
          <w:rFonts w:ascii="Arial" w:cs="Arial" w:eastAsia="Arial" w:hAnsi="Arial"/>
          <w:sz w:val="22"/>
          <w:szCs w:val="22"/>
          <w:color w:val="auto"/>
        </w:rPr>
        <w:t xml:space="preserve"> including Voting Stock transferred upon death as described in Section 1(f), shall remain subject to the obligations placed upon such Third Party Transferees as set forth in Sections 1 and 2, until this Agreement terminates pursuant to Section 5.</w:t>
      </w:r>
    </w:p>
    <w:p>
      <w:pPr>
        <w:spacing w:after="0" w:line="182" w:lineRule="exact"/>
        <w:rPr>
          <w:sz w:val="20"/>
          <w:szCs w:val="20"/>
          <w:color w:val="auto"/>
        </w:rPr>
      </w:pPr>
    </w:p>
    <w:p>
      <w:pPr>
        <w:jc w:val="both"/>
        <w:ind w:left="1300" w:right="20" w:hanging="1295"/>
        <w:spacing w:after="0" w:line="256" w:lineRule="auto"/>
        <w:tabs>
          <w:tab w:leader="none" w:pos="1280" w:val="left"/>
        </w:tabs>
        <w:rPr>
          <w:sz w:val="20"/>
          <w:szCs w:val="20"/>
          <w:color w:val="auto"/>
        </w:rPr>
      </w:pPr>
      <w:r>
        <w:rPr>
          <w:rFonts w:ascii="Arial" w:cs="Arial" w:eastAsia="Arial" w:hAnsi="Arial"/>
          <w:sz w:val="22"/>
          <w:szCs w:val="22"/>
          <w:b w:val="1"/>
          <w:bCs w:val="1"/>
          <w:color w:val="auto"/>
        </w:rPr>
        <w:t>Section 2.</w:t>
      </w:r>
      <w:r>
        <w:rPr>
          <w:sz w:val="20"/>
          <w:szCs w:val="20"/>
          <w:color w:val="auto"/>
        </w:rPr>
        <w:tab/>
      </w:r>
      <w:r>
        <w:rPr>
          <w:rFonts w:ascii="Arial" w:cs="Arial" w:eastAsia="Arial" w:hAnsi="Arial"/>
          <w:sz w:val="22"/>
          <w:szCs w:val="22"/>
          <w:b w:val="1"/>
          <w:bCs w:val="1"/>
          <w:color w:val="auto"/>
        </w:rPr>
        <w:t>Right of First Refusal Upon Proposed Transfer by Trust 2 Trustee, a Permitted Holder or a Third Party Transferee.</w:t>
      </w:r>
    </w:p>
    <w:p>
      <w:pPr>
        <w:spacing w:after="0" w:line="168" w:lineRule="exact"/>
        <w:rPr>
          <w:sz w:val="20"/>
          <w:szCs w:val="20"/>
          <w:color w:val="auto"/>
        </w:rPr>
      </w:pPr>
    </w:p>
    <w:p>
      <w:pPr>
        <w:jc w:val="both"/>
        <w:ind w:right="20"/>
        <w:spacing w:after="0" w:line="279" w:lineRule="auto"/>
        <w:rPr>
          <w:sz w:val="20"/>
          <w:szCs w:val="20"/>
          <w:color w:val="auto"/>
        </w:rPr>
      </w:pPr>
      <w:r>
        <w:rPr>
          <w:rFonts w:ascii="Arial" w:cs="Arial" w:eastAsia="Arial" w:hAnsi="Arial"/>
          <w:sz w:val="19"/>
          <w:szCs w:val="19"/>
          <w:color w:val="auto"/>
        </w:rPr>
        <w:t xml:space="preserve">In the event that Trust 2 Trustee, any Permitted Holder or a Third Party Transferor (any, in this context, a </w:t>
      </w:r>
      <w:r>
        <w:rPr>
          <w:rFonts w:ascii="Arial" w:cs="Arial" w:eastAsia="Arial" w:hAnsi="Arial"/>
          <w:sz w:val="19"/>
          <w:szCs w:val="19"/>
          <w:i w:val="1"/>
          <w:iCs w:val="1"/>
          <w:color w:val="auto"/>
        </w:rPr>
        <w:t>“Proposed</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Transferor”) </w:t>
      </w:r>
      <w:r>
        <w:rPr>
          <w:rFonts w:ascii="Arial" w:cs="Arial" w:eastAsia="Arial" w:hAnsi="Arial"/>
          <w:sz w:val="19"/>
          <w:szCs w:val="19"/>
          <w:color w:val="auto"/>
        </w:rPr>
        <w:t>at any time desires to transfer Voting Stock to a Transferee other than Trust 2 Trustee or a Permitted Transferee and</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the provisions of Section 1(a) are not applicable to such holder, then such Proposed Transferor shall give written notice to each of each Holder, Contran, Trust 2 Trustee and each Permitted Holder of such holder's intention to make such Transfer (the </w:t>
      </w:r>
      <w:r>
        <w:rPr>
          <w:rFonts w:ascii="Arial" w:cs="Arial" w:eastAsia="Arial" w:hAnsi="Arial"/>
          <w:sz w:val="19"/>
          <w:szCs w:val="19"/>
          <w:i w:val="1"/>
          <w:iCs w:val="1"/>
          <w:color w:val="auto"/>
        </w:rPr>
        <w:t xml:space="preserve">“Proposed Transferor's Written Notice”). </w:t>
      </w:r>
      <w:r>
        <w:rPr>
          <w:rFonts w:ascii="Arial" w:cs="Arial" w:eastAsia="Arial" w:hAnsi="Arial"/>
          <w:sz w:val="19"/>
          <w:szCs w:val="19"/>
          <w:color w:val="auto"/>
        </w:rPr>
        <w:t>Such notice shall state the number of offered shares (the</w:t>
      </w:r>
      <w:r>
        <w:rPr>
          <w:rFonts w:ascii="Arial" w:cs="Arial" w:eastAsia="Arial" w:hAnsi="Arial"/>
          <w:sz w:val="19"/>
          <w:szCs w:val="19"/>
          <w:i w:val="1"/>
          <w:iCs w:val="1"/>
          <w:color w:val="auto"/>
        </w:rPr>
        <w:t xml:space="preserve"> “Section 2 Offered Shares”), </w:t>
      </w:r>
      <w:r>
        <w:rPr>
          <w:rFonts w:ascii="Arial" w:cs="Arial" w:eastAsia="Arial" w:hAnsi="Arial"/>
          <w:sz w:val="19"/>
          <w:szCs w:val="19"/>
          <w:color w:val="auto"/>
        </w:rPr>
        <w:t>the price and terms at which the proposed Transfer is to be made and the name and address of the proposed Transferee.</w:t>
      </w:r>
    </w:p>
    <w:p>
      <w:pPr>
        <w:spacing w:after="0" w:line="360" w:lineRule="exact"/>
        <w:rPr>
          <w:sz w:val="20"/>
          <w:szCs w:val="20"/>
          <w:color w:val="auto"/>
        </w:rPr>
      </w:pPr>
    </w:p>
    <w:p>
      <w:pPr>
        <w:jc w:val="both"/>
        <w:ind w:left="660" w:hanging="652"/>
        <w:spacing w:after="0" w:line="275" w:lineRule="auto"/>
        <w:tabs>
          <w:tab w:leader="none" w:pos="660" w:val="left"/>
        </w:tabs>
        <w:numPr>
          <w:ilvl w:val="0"/>
          <w:numId w:val="7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By the Holders. </w:t>
      </w:r>
      <w:r>
        <w:rPr>
          <w:rFonts w:ascii="Arial" w:cs="Arial" w:eastAsia="Arial" w:hAnsi="Arial"/>
          <w:sz w:val="19"/>
          <w:szCs w:val="19"/>
          <w:color w:val="auto"/>
        </w:rPr>
        <w:t>At any time within thirty (30) days after the receipt of such notice (the</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“Section 2 Holders’ Exercise</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 xml:space="preserve">Period”), </w:t>
      </w:r>
      <w:r>
        <w:rPr>
          <w:rFonts w:ascii="Arial" w:cs="Arial" w:eastAsia="Arial" w:hAnsi="Arial"/>
          <w:sz w:val="19"/>
          <w:szCs w:val="19"/>
          <w:color w:val="auto"/>
        </w:rPr>
        <w:t>each Holder may, but is not obligated to, elect to purchase all or any portion of her</w:t>
      </w:r>
      <w:r>
        <w:rPr>
          <w:rFonts w:ascii="Arial" w:cs="Arial" w:eastAsia="Arial" w:hAnsi="Arial"/>
          <w:sz w:val="19"/>
          <w:szCs w:val="19"/>
          <w:i w:val="1"/>
          <w:iCs w:val="1"/>
          <w:color w:val="auto"/>
        </w:rPr>
        <w:t xml:space="preserve"> pro rata </w:t>
      </w:r>
      <w:r>
        <w:rPr>
          <w:rFonts w:ascii="Arial" w:cs="Arial" w:eastAsia="Arial" w:hAnsi="Arial"/>
          <w:sz w:val="19"/>
          <w:szCs w:val="19"/>
          <w:color w:val="auto"/>
        </w:rPr>
        <w:t>share of the Section</w:t>
      </w:r>
      <w:r>
        <w:rPr>
          <w:rFonts w:ascii="Arial" w:cs="Arial" w:eastAsia="Arial" w:hAnsi="Arial"/>
          <w:sz w:val="19"/>
          <w:szCs w:val="19"/>
          <w:i w:val="1"/>
          <w:iCs w:val="1"/>
          <w:color w:val="auto"/>
        </w:rPr>
        <w:t xml:space="preserve"> </w:t>
      </w:r>
      <w:r>
        <w:rPr>
          <w:rFonts w:ascii="Arial" w:cs="Arial" w:eastAsia="Arial" w:hAnsi="Arial"/>
          <w:sz w:val="19"/>
          <w:szCs w:val="19"/>
          <w:color w:val="auto"/>
        </w:rPr>
        <w:t>2 Offered Shares based upon the percentage she owns or controls of all Voting Shares owned or controlled jointly by both Holders, on terms substantially equivalent to the terms offered by the proposed Transferee and specified in the Proposed Transferor's Written Notice and at a price per share equal to the price per share offered by the proposed Transferee and specified in the notice. In the event the proposed Transfer is for no consideration, including without limitation such as with respect to a charitable donation, the value per share shall be the Appraised Value. Each Holder also may designate if such Holder elects to purchase any portion of the Section 2 Offered Shares not elected for purchase by the other Holder, indicating a limit on such additional shares if desired by such Holder.</w:t>
      </w:r>
    </w:p>
    <w:p>
      <w:pPr>
        <w:spacing w:after="0" w:line="149" w:lineRule="exact"/>
        <w:rPr>
          <w:rFonts w:ascii="Arial" w:cs="Arial" w:eastAsia="Arial" w:hAnsi="Arial"/>
          <w:sz w:val="19"/>
          <w:szCs w:val="19"/>
          <w:b w:val="1"/>
          <w:bCs w:val="1"/>
          <w:color w:val="auto"/>
        </w:rPr>
      </w:pPr>
    </w:p>
    <w:p>
      <w:pPr>
        <w:jc w:val="both"/>
        <w:ind w:left="1300" w:hanging="644"/>
        <w:spacing w:after="0" w:line="278" w:lineRule="auto"/>
        <w:tabs>
          <w:tab w:leader="none" w:pos="1300" w:val="left"/>
        </w:tabs>
        <w:numPr>
          <w:ilvl w:val="1"/>
          <w:numId w:val="7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Purchase of All Offered Shares by the Holders. </w:t>
      </w:r>
      <w:r>
        <w:rPr>
          <w:rFonts w:ascii="Arial" w:cs="Arial" w:eastAsia="Arial" w:hAnsi="Arial"/>
          <w:sz w:val="19"/>
          <w:szCs w:val="19"/>
          <w:color w:val="auto"/>
        </w:rPr>
        <w:t>If one or both of the Holders desire to purchase all of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Section 2 Offered Shares, the Holder or Holders shall exercise the right to purchase by mailing or delivering written notice to each of the Proposed Transferor, one another, Contran, Trust 2 Trustee and each Permitted Holder within the Section 2 Holders' Exercise Period. If the Holder or Holders elect to exercise such purchase rights under this Section 2(a) to purchase all of the Section 2 Offered Shares, the closing for the purchase shall take place within fifteen (15) days after the delivery by the Holder or Holders of her or their written notice of exercise to the Proposed Transferor (the </w:t>
      </w:r>
      <w:r>
        <w:rPr>
          <w:rFonts w:ascii="Arial" w:cs="Arial" w:eastAsia="Arial" w:hAnsi="Arial"/>
          <w:sz w:val="19"/>
          <w:szCs w:val="19"/>
          <w:i w:val="1"/>
          <w:iCs w:val="1"/>
          <w:color w:val="auto"/>
        </w:rPr>
        <w:t>“Section 2 Holders’ Closing Period”).</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3" w:right="339" w:bottom="1440" w:gutter="0" w:footer="0" w:header="0"/>
        </w:sectPr>
      </w:pPr>
    </w:p>
    <w:bookmarkStart w:id="30" w:name="page31"/>
    <w:bookmarkEnd w:id="30"/>
    <w:p>
      <w:pPr>
        <w:jc w:val="both"/>
        <w:ind w:left="1300" w:hanging="639"/>
        <w:spacing w:after="0" w:line="237" w:lineRule="auto"/>
        <w:tabs>
          <w:tab w:leader="none" w:pos="1280" w:val="left"/>
        </w:tabs>
        <w:rPr>
          <w:sz w:val="20"/>
          <w:szCs w:val="20"/>
          <w:color w:val="auto"/>
        </w:rPr>
      </w:pPr>
      <w:r>
        <w:rPr>
          <w:rFonts w:ascii="Arial" w:cs="Arial" w:eastAsia="Arial" w:hAnsi="Arial"/>
          <w:sz w:val="22"/>
          <w:szCs w:val="22"/>
          <w:b w:val="1"/>
          <w:bCs w:val="1"/>
          <w:color w:val="auto"/>
        </w:rPr>
        <w:t>(ii)</w:t>
      </w:r>
      <w:r>
        <w:rPr>
          <w:sz w:val="20"/>
          <w:szCs w:val="20"/>
          <w:color w:val="auto"/>
        </w:rPr>
        <w:tab/>
      </w:r>
      <w:r>
        <w:rPr>
          <w:rFonts w:ascii="Arial" w:cs="Arial" w:eastAsia="Arial" w:hAnsi="Arial"/>
          <w:sz w:val="22"/>
          <w:szCs w:val="22"/>
          <w:b w:val="1"/>
          <w:bCs w:val="1"/>
          <w:color w:val="auto"/>
        </w:rPr>
        <w:t xml:space="preserve">Purchase of Less Than All Offered Shares by the Holders </w:t>
      </w:r>
      <w:r>
        <w:rPr>
          <w:rFonts w:ascii="Arial" w:cs="Arial" w:eastAsia="Arial" w:hAnsi="Arial"/>
          <w:sz w:val="22"/>
          <w:szCs w:val="22"/>
          <w:color w:val="auto"/>
        </w:rPr>
        <w:t>. If the Holder or Holders desire to purchase less</w:t>
      </w:r>
      <w:r>
        <w:rPr>
          <w:rFonts w:ascii="Arial" w:cs="Arial" w:eastAsia="Arial" w:hAnsi="Arial"/>
          <w:sz w:val="22"/>
          <w:szCs w:val="22"/>
          <w:b w:val="1"/>
          <w:bCs w:val="1"/>
          <w:color w:val="auto"/>
        </w:rPr>
        <w:t xml:space="preserve"> </w:t>
      </w:r>
      <w:r>
        <w:rPr>
          <w:rFonts w:ascii="Arial" w:cs="Arial" w:eastAsia="Arial" w:hAnsi="Arial"/>
          <w:sz w:val="22"/>
          <w:szCs w:val="22"/>
          <w:color w:val="auto"/>
        </w:rPr>
        <w:t>than all of the Section 2 Offered Shares, the Holders will mail or deliver written notice to each of the Proposed Transferor, one another, Contran, Trust 2 Trustee and each Permitted Holder within the Section 2 Holders Exercise Period, advising that the Holder or Holders desire to purchase only a designated portion of the Section 2 Offered Shares.</w:t>
      </w:r>
    </w:p>
    <w:p>
      <w:pPr>
        <w:spacing w:after="0" w:line="168" w:lineRule="exact"/>
        <w:rPr>
          <w:sz w:val="20"/>
          <w:szCs w:val="20"/>
          <w:color w:val="auto"/>
        </w:rPr>
      </w:pPr>
    </w:p>
    <w:p>
      <w:pPr>
        <w:jc w:val="both"/>
        <w:ind w:left="1300" w:hanging="639"/>
        <w:spacing w:after="0" w:line="239" w:lineRule="auto"/>
        <w:tabs>
          <w:tab w:leader="none" w:pos="1280" w:val="left"/>
        </w:tabs>
        <w:rPr>
          <w:sz w:val="20"/>
          <w:szCs w:val="20"/>
          <w:color w:val="auto"/>
        </w:rPr>
      </w:pPr>
      <w:r>
        <w:rPr>
          <w:rFonts w:ascii="Arial" w:cs="Arial" w:eastAsia="Arial" w:hAnsi="Arial"/>
          <w:sz w:val="22"/>
          <w:szCs w:val="22"/>
          <w:b w:val="1"/>
          <w:bCs w:val="1"/>
          <w:color w:val="auto"/>
        </w:rPr>
        <w:t>(iii)</w:t>
        <w:tab/>
        <w:t xml:space="preserve">Purchase of None of the Offered Shares by the Holders </w:t>
      </w:r>
      <w:r>
        <w:rPr>
          <w:rFonts w:ascii="Arial" w:cs="Arial" w:eastAsia="Arial" w:hAnsi="Arial"/>
          <w:sz w:val="22"/>
          <w:szCs w:val="22"/>
          <w:color w:val="auto"/>
        </w:rPr>
        <w:t>. If the Holders do not elect to purchase any of the</w:t>
      </w:r>
      <w:r>
        <w:rPr>
          <w:rFonts w:ascii="Arial" w:cs="Arial" w:eastAsia="Arial" w:hAnsi="Arial"/>
          <w:sz w:val="22"/>
          <w:szCs w:val="22"/>
          <w:b w:val="1"/>
          <w:bCs w:val="1"/>
          <w:color w:val="auto"/>
        </w:rPr>
        <w:t xml:space="preserve"> </w:t>
      </w:r>
      <w:r>
        <w:rPr>
          <w:rFonts w:ascii="Arial" w:cs="Arial" w:eastAsia="Arial" w:hAnsi="Arial"/>
          <w:sz w:val="22"/>
          <w:szCs w:val="22"/>
          <w:color w:val="auto"/>
        </w:rPr>
        <w:t>Section 2 Offered Shares, the Holders will so advise the Proposed Transferor, one another, Contran, Trust 2 Trustee and each Permitted Holder by mailing or delivering written notice to each of such parties within the Section 2 Holders' Exercise Period.</w:t>
      </w:r>
    </w:p>
    <w:p>
      <w:pPr>
        <w:spacing w:after="0" w:line="167" w:lineRule="exact"/>
        <w:rPr>
          <w:sz w:val="20"/>
          <w:szCs w:val="20"/>
          <w:color w:val="auto"/>
        </w:rPr>
      </w:pPr>
    </w:p>
    <w:p>
      <w:pPr>
        <w:jc w:val="both"/>
        <w:ind w:left="660" w:hanging="659"/>
        <w:spacing w:after="0" w:line="245" w:lineRule="auto"/>
        <w:tabs>
          <w:tab w:leader="none" w:pos="640" w:val="left"/>
        </w:tabs>
        <w:rPr>
          <w:sz w:val="20"/>
          <w:szCs w:val="20"/>
          <w:color w:val="auto"/>
        </w:rPr>
      </w:pPr>
      <w:r>
        <w:rPr>
          <w:rFonts w:ascii="Arial" w:cs="Arial" w:eastAsia="Arial" w:hAnsi="Arial"/>
          <w:sz w:val="21"/>
          <w:szCs w:val="21"/>
          <w:b w:val="1"/>
          <w:bCs w:val="1"/>
          <w:i w:val="1"/>
          <w:iCs w:val="1"/>
          <w:color w:val="auto"/>
        </w:rPr>
        <w:t>(b)</w:t>
      </w:r>
      <w:r>
        <w:rPr>
          <w:sz w:val="20"/>
          <w:szCs w:val="20"/>
          <w:color w:val="auto"/>
        </w:rPr>
        <w:tab/>
      </w:r>
      <w:r>
        <w:rPr>
          <w:rFonts w:ascii="Arial" w:cs="Arial" w:eastAsia="Arial" w:hAnsi="Arial"/>
          <w:sz w:val="21"/>
          <w:szCs w:val="21"/>
          <w:b w:val="1"/>
          <w:bCs w:val="1"/>
          <w:color w:val="auto"/>
        </w:rPr>
        <w:t xml:space="preserve">By Contran. </w:t>
      </w:r>
      <w:r>
        <w:rPr>
          <w:rFonts w:ascii="Arial" w:cs="Arial" w:eastAsia="Arial" w:hAnsi="Arial"/>
          <w:sz w:val="21"/>
          <w:szCs w:val="21"/>
          <w:color w:val="auto"/>
        </w:rPr>
        <w:t>In the event that the Holders do not elect to exercise the purchase right for all of the Section 2 Offered</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Shares (such Section 2 Offered Shares not elected to be purchased by the Holders, the </w:t>
      </w:r>
      <w:r>
        <w:rPr>
          <w:rFonts w:ascii="Arial" w:cs="Arial" w:eastAsia="Arial" w:hAnsi="Arial"/>
          <w:sz w:val="21"/>
          <w:szCs w:val="21"/>
          <w:i w:val="1"/>
          <w:iCs w:val="1"/>
          <w:color w:val="auto"/>
        </w:rPr>
        <w:t>“Section 2 Remaining Shares for</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Contran”), </w:t>
      </w:r>
      <w:r>
        <w:rPr>
          <w:rFonts w:ascii="Arial" w:cs="Arial" w:eastAsia="Arial" w:hAnsi="Arial"/>
          <w:sz w:val="21"/>
          <w:szCs w:val="21"/>
          <w:color w:val="auto"/>
        </w:rPr>
        <w:t>or in the event that the closing with respect thereto does not occur within the Section 2 Holders' Closing</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Period due to no fault of the Proposed Transferor, then at any time within thirty (30) days after the later of (i) the Holders' election not to exercise the purchase right for all of the Section 2 Offered Shares or (ii) the expiration of the Section 2 Holders’ Closing Period with no closing due to no fault of the Proposed Transferor (such later date, the </w:t>
      </w:r>
      <w:r>
        <w:rPr>
          <w:rFonts w:ascii="Arial" w:cs="Arial" w:eastAsia="Arial" w:hAnsi="Arial"/>
          <w:sz w:val="21"/>
          <w:szCs w:val="21"/>
          <w:i w:val="1"/>
          <w:iCs w:val="1"/>
          <w:color w:val="auto"/>
        </w:rPr>
        <w:t>“Section 2</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Contran Exercise Period”), </w:t>
      </w:r>
      <w:r>
        <w:rPr>
          <w:rFonts w:ascii="Arial" w:cs="Arial" w:eastAsia="Arial" w:hAnsi="Arial"/>
          <w:sz w:val="21"/>
          <w:szCs w:val="21"/>
          <w:color w:val="auto"/>
        </w:rPr>
        <w:t>Contran may, but is not obligated to, elect to purchase all or any portion of the Section 2</w:t>
      </w:r>
      <w:r>
        <w:rPr>
          <w:rFonts w:ascii="Arial" w:cs="Arial" w:eastAsia="Arial" w:hAnsi="Arial"/>
          <w:sz w:val="21"/>
          <w:szCs w:val="21"/>
          <w:i w:val="1"/>
          <w:iCs w:val="1"/>
          <w:color w:val="auto"/>
        </w:rPr>
        <w:t xml:space="preserve"> </w:t>
      </w:r>
      <w:r>
        <w:rPr>
          <w:rFonts w:ascii="Arial" w:cs="Arial" w:eastAsia="Arial" w:hAnsi="Arial"/>
          <w:sz w:val="21"/>
          <w:szCs w:val="21"/>
          <w:color w:val="auto"/>
        </w:rPr>
        <w:t>Remaining Shares for Contran on terms substantially equivalent to the terms offered by the proposed Transferee and specified in the Proposed Transferor's Written Notice and at a price per share equal to the price offered by the proposed Transferee and specified in the Proposed Transferor's Written Notice. In the event the proposed Transfer is for no consideration, including without limitation such as with respect to a charitable donation, the Appraised Value shall be used as the price per share.</w:t>
      </w:r>
    </w:p>
    <w:p>
      <w:pPr>
        <w:spacing w:after="0" w:line="174" w:lineRule="exact"/>
        <w:rPr>
          <w:sz w:val="20"/>
          <w:szCs w:val="20"/>
          <w:color w:val="auto"/>
        </w:rPr>
      </w:pPr>
    </w:p>
    <w:p>
      <w:pPr>
        <w:jc w:val="both"/>
        <w:ind w:left="1300" w:hanging="639"/>
        <w:spacing w:after="0" w:line="280" w:lineRule="auto"/>
        <w:tabs>
          <w:tab w:leader="none" w:pos="1280" w:val="left"/>
        </w:tabs>
        <w:rPr>
          <w:sz w:val="20"/>
          <w:szCs w:val="20"/>
          <w:color w:val="auto"/>
        </w:rPr>
      </w:pPr>
      <w:r>
        <w:rPr>
          <w:rFonts w:ascii="Arial" w:cs="Arial" w:eastAsia="Arial" w:hAnsi="Arial"/>
          <w:sz w:val="19"/>
          <w:szCs w:val="19"/>
          <w:b w:val="1"/>
          <w:bCs w:val="1"/>
          <w:color w:val="auto"/>
        </w:rPr>
        <w:t>(i)</w:t>
      </w:r>
      <w:r>
        <w:rPr>
          <w:sz w:val="20"/>
          <w:szCs w:val="20"/>
          <w:color w:val="auto"/>
        </w:rPr>
        <w:tab/>
      </w:r>
      <w:r>
        <w:rPr>
          <w:rFonts w:ascii="Arial" w:cs="Arial" w:eastAsia="Arial" w:hAnsi="Arial"/>
          <w:sz w:val="19"/>
          <w:szCs w:val="19"/>
          <w:b w:val="1"/>
          <w:bCs w:val="1"/>
          <w:color w:val="auto"/>
        </w:rPr>
        <w:t xml:space="preserve">Purchase by Contran of All Remaining Shares for Contran </w:t>
      </w:r>
      <w:r>
        <w:rPr>
          <w:rFonts w:ascii="Arial" w:cs="Arial" w:eastAsia="Arial" w:hAnsi="Arial"/>
          <w:sz w:val="19"/>
          <w:szCs w:val="19"/>
          <w:color w:val="auto"/>
        </w:rPr>
        <w:t>. If Contran elects to purchase all of the Section 2</w:t>
      </w:r>
      <w:r>
        <w:rPr>
          <w:rFonts w:ascii="Arial" w:cs="Arial" w:eastAsia="Arial" w:hAnsi="Arial"/>
          <w:sz w:val="19"/>
          <w:szCs w:val="19"/>
          <w:b w:val="1"/>
          <w:bCs w:val="1"/>
          <w:color w:val="auto"/>
        </w:rPr>
        <w:t xml:space="preserve"> </w:t>
      </w:r>
      <w:r>
        <w:rPr>
          <w:rFonts w:ascii="Arial" w:cs="Arial" w:eastAsia="Arial" w:hAnsi="Arial"/>
          <w:sz w:val="19"/>
          <w:szCs w:val="19"/>
          <w:color w:val="auto"/>
        </w:rPr>
        <w:t>Remaining Shares for Contran, Contran shall exercise this right by mailing or delivering written notice to each of</w:t>
      </w:r>
    </w:p>
    <w:p>
      <w:pPr>
        <w:jc w:val="both"/>
        <w:ind w:left="1300"/>
        <w:spacing w:after="0" w:line="232" w:lineRule="auto"/>
        <w:rPr>
          <w:sz w:val="20"/>
          <w:szCs w:val="20"/>
          <w:color w:val="auto"/>
        </w:rPr>
      </w:pPr>
      <w:r>
        <w:rPr>
          <w:rFonts w:ascii="Arial" w:cs="Arial" w:eastAsia="Arial" w:hAnsi="Arial"/>
          <w:sz w:val="22"/>
          <w:szCs w:val="22"/>
          <w:color w:val="auto"/>
        </w:rPr>
        <w:t xml:space="preserve">the Proposed Transferor, the Holders, Trust 2 Trustee and each Permitted Holder within the Section 2 Contran Exercise Period. If Contran elects to exercise its purchase rights under this Section 2(b), the closing for the purchase shall take place within fifteen (15) days after the delivery by Contran of its written notice of exercise to the Proposed Transferor (the </w:t>
      </w:r>
      <w:r>
        <w:rPr>
          <w:rFonts w:ascii="Arial" w:cs="Arial" w:eastAsia="Arial" w:hAnsi="Arial"/>
          <w:sz w:val="22"/>
          <w:szCs w:val="22"/>
          <w:i w:val="1"/>
          <w:iCs w:val="1"/>
          <w:color w:val="auto"/>
        </w:rPr>
        <w:t>“Section 2 Contran Closing Period”).</w:t>
      </w:r>
      <w:r>
        <w:rPr>
          <w:rFonts w:ascii="Arial" w:cs="Arial" w:eastAsia="Arial" w:hAnsi="Arial"/>
          <w:sz w:val="22"/>
          <w:szCs w:val="22"/>
          <w:color w:val="auto"/>
        </w:rPr>
        <w:t xml:space="preserve"> If the Holders elected to purchase some but not all of the Section 2 Offered Shares, the Holder or Holders will purchase the shares for which the Holder or Holders are committed at the closing time and place (the </w:t>
      </w:r>
      <w:r>
        <w:rPr>
          <w:rFonts w:ascii="Arial" w:cs="Arial" w:eastAsia="Arial" w:hAnsi="Arial"/>
          <w:sz w:val="22"/>
          <w:szCs w:val="22"/>
          <w:i w:val="1"/>
          <w:iCs w:val="1"/>
          <w:color w:val="auto"/>
        </w:rPr>
        <w:t>“Section 2 Contran Closing”)</w:t>
      </w:r>
      <w:r>
        <w:rPr>
          <w:rFonts w:ascii="Arial" w:cs="Arial" w:eastAsia="Arial" w:hAnsi="Arial"/>
          <w:sz w:val="22"/>
          <w:szCs w:val="22"/>
          <w:color w:val="auto"/>
        </w:rPr>
        <w:t xml:space="preserve"> selected by Contran during the Section 2 Contran Closing Period.</w:t>
      </w:r>
    </w:p>
    <w:p>
      <w:pPr>
        <w:spacing w:after="0" w:line="384" w:lineRule="exact"/>
        <w:rPr>
          <w:sz w:val="20"/>
          <w:szCs w:val="20"/>
          <w:color w:val="auto"/>
        </w:rPr>
      </w:pPr>
    </w:p>
    <w:p>
      <w:pPr>
        <w:jc w:val="both"/>
        <w:ind w:left="1300" w:hanging="644"/>
        <w:spacing w:after="0" w:line="237" w:lineRule="auto"/>
        <w:tabs>
          <w:tab w:leader="none" w:pos="1300" w:val="left"/>
        </w:tabs>
        <w:numPr>
          <w:ilvl w:val="0"/>
          <w:numId w:val="8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Purchase by Contran of Less Than All Remaining Shares for Contran. </w:t>
      </w:r>
      <w:r>
        <w:rPr>
          <w:rFonts w:ascii="Arial" w:cs="Arial" w:eastAsia="Arial" w:hAnsi="Arial"/>
          <w:sz w:val="22"/>
          <w:szCs w:val="22"/>
          <w:color w:val="auto"/>
        </w:rPr>
        <w:t>If Contran desires to purchase less</w:t>
      </w:r>
      <w:r>
        <w:rPr>
          <w:rFonts w:ascii="Arial" w:cs="Arial" w:eastAsia="Arial" w:hAnsi="Arial"/>
          <w:sz w:val="22"/>
          <w:szCs w:val="22"/>
          <w:b w:val="1"/>
          <w:bCs w:val="1"/>
          <w:color w:val="auto"/>
        </w:rPr>
        <w:t xml:space="preserve"> </w:t>
      </w:r>
      <w:r>
        <w:rPr>
          <w:rFonts w:ascii="Arial" w:cs="Arial" w:eastAsia="Arial" w:hAnsi="Arial"/>
          <w:sz w:val="22"/>
          <w:szCs w:val="22"/>
          <w:color w:val="auto"/>
        </w:rPr>
        <w:t>than all of the Section 2 Remaining Shares for Contran, Contran will mail or deliver written notice to each of the Proposed Transferors, the Holders, Trust 2 Trustee and each Permitted Holder within the Section 2 Contran Exercise Period, advising that Contran desires to purchase only a designated portion of the Section 2 Remaining Shares for Contran.</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31" w:name="page32"/>
    <w:bookmarkEnd w:id="31"/>
    <w:p>
      <w:pPr>
        <w:jc w:val="both"/>
        <w:ind w:left="1300" w:hanging="644"/>
        <w:spacing w:after="0" w:line="239" w:lineRule="auto"/>
        <w:tabs>
          <w:tab w:leader="none" w:pos="1300" w:val="left"/>
        </w:tabs>
        <w:numPr>
          <w:ilvl w:val="1"/>
          <w:numId w:val="8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Purchase of None of the Remaining Shares for Contran </w:t>
      </w:r>
      <w:r>
        <w:rPr>
          <w:rFonts w:ascii="Arial" w:cs="Arial" w:eastAsia="Arial" w:hAnsi="Arial"/>
          <w:sz w:val="22"/>
          <w:szCs w:val="22"/>
          <w:color w:val="auto"/>
        </w:rPr>
        <w:t>. If Contran does not elect to purchase any of the</w:t>
      </w:r>
      <w:r>
        <w:rPr>
          <w:rFonts w:ascii="Arial" w:cs="Arial" w:eastAsia="Arial" w:hAnsi="Arial"/>
          <w:sz w:val="22"/>
          <w:szCs w:val="22"/>
          <w:b w:val="1"/>
          <w:bCs w:val="1"/>
          <w:color w:val="auto"/>
        </w:rPr>
        <w:t xml:space="preserve"> </w:t>
      </w:r>
      <w:r>
        <w:rPr>
          <w:rFonts w:ascii="Arial" w:cs="Arial" w:eastAsia="Arial" w:hAnsi="Arial"/>
          <w:sz w:val="22"/>
          <w:szCs w:val="22"/>
          <w:color w:val="auto"/>
        </w:rPr>
        <w:t>Section 2 Remaining Shares for Contran, Contran will so advise the Proposed Transferor, the Holders, Trust 2 Trustee and each Permitted Holder by mailing or delivering written notice to each of such parties within the Section 2 Contran Exercise Period.</w:t>
      </w:r>
    </w:p>
    <w:p>
      <w:pPr>
        <w:spacing w:after="0" w:line="166" w:lineRule="exact"/>
        <w:rPr>
          <w:rFonts w:ascii="Arial" w:cs="Arial" w:eastAsia="Arial" w:hAnsi="Arial"/>
          <w:sz w:val="22"/>
          <w:szCs w:val="22"/>
          <w:b w:val="1"/>
          <w:bCs w:val="1"/>
          <w:color w:val="auto"/>
        </w:rPr>
      </w:pPr>
    </w:p>
    <w:p>
      <w:pPr>
        <w:jc w:val="both"/>
        <w:ind w:left="660" w:hanging="652"/>
        <w:spacing w:after="0" w:line="270" w:lineRule="auto"/>
        <w:tabs>
          <w:tab w:leader="none" w:pos="660" w:val="left"/>
        </w:tabs>
        <w:numPr>
          <w:ilvl w:val="0"/>
          <w:numId w:val="82"/>
        </w:numPr>
        <w:rPr>
          <w:rFonts w:ascii="Arial" w:cs="Arial" w:eastAsia="Arial" w:hAnsi="Arial"/>
          <w:sz w:val="19"/>
          <w:szCs w:val="19"/>
          <w:b w:val="1"/>
          <w:bCs w:val="1"/>
          <w:i w:val="1"/>
          <w:iCs w:val="1"/>
          <w:color w:val="auto"/>
        </w:rPr>
      </w:pPr>
      <w:r>
        <w:rPr>
          <w:rFonts w:ascii="Arial" w:cs="Arial" w:eastAsia="Arial" w:hAnsi="Arial"/>
          <w:sz w:val="19"/>
          <w:szCs w:val="19"/>
          <w:b w:val="1"/>
          <w:bCs w:val="1"/>
          <w:color w:val="auto"/>
        </w:rPr>
        <w:t xml:space="preserve">By Trust 2 Trustee and the Permitted Holders. </w:t>
      </w:r>
      <w:r>
        <w:rPr>
          <w:rFonts w:ascii="Arial" w:cs="Arial" w:eastAsia="Arial" w:hAnsi="Arial"/>
          <w:sz w:val="19"/>
          <w:szCs w:val="19"/>
          <w:color w:val="auto"/>
        </w:rPr>
        <w:t>In the event that the Holders and Contran do not elect to exercise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purchase right for all of the Section 2 Offered Shares (such Section 2 Offered Shares not elected to be purchased by the Holders and Contran, the </w:t>
      </w:r>
      <w:r>
        <w:rPr>
          <w:rFonts w:ascii="Arial" w:cs="Arial" w:eastAsia="Arial" w:hAnsi="Arial"/>
          <w:sz w:val="19"/>
          <w:szCs w:val="19"/>
          <w:i w:val="1"/>
          <w:iCs w:val="1"/>
          <w:color w:val="auto"/>
        </w:rPr>
        <w:t>“Section 2 Remaining Shares for Trust 2 Trustee and Permitted Holders”),</w:t>
      </w:r>
      <w:r>
        <w:rPr>
          <w:rFonts w:ascii="Arial" w:cs="Arial" w:eastAsia="Arial" w:hAnsi="Arial"/>
          <w:sz w:val="19"/>
          <w:szCs w:val="19"/>
          <w:color w:val="auto"/>
        </w:rPr>
        <w:t xml:space="preserve"> or in the event that the Contran Closing does not occur during the Section 2 Contran Closing Period due to no fault of the Proposed Transferor, then at any time within thirty (30) days after the later of (i) Contran's election not to purchase all of the Section 2 Remaining Shares for Contran or (ii) the expiration of the Section 2 Contran Closing Period with no closing due to no fault of the Proposed Transferor (such later date, the </w:t>
      </w:r>
      <w:r>
        <w:rPr>
          <w:rFonts w:ascii="Arial" w:cs="Arial" w:eastAsia="Arial" w:hAnsi="Arial"/>
          <w:sz w:val="19"/>
          <w:szCs w:val="19"/>
          <w:i w:val="1"/>
          <w:iCs w:val="1"/>
          <w:color w:val="auto"/>
        </w:rPr>
        <w:t>“Section 2 Trust 2 Trustee and Permitted Holders Exercise</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Period”), </w:t>
      </w:r>
      <w:r>
        <w:rPr>
          <w:rFonts w:ascii="Arial" w:cs="Arial" w:eastAsia="Arial" w:hAnsi="Arial"/>
          <w:sz w:val="19"/>
          <w:szCs w:val="19"/>
          <w:color w:val="auto"/>
        </w:rPr>
        <w:t>Trust 2 Trustee and each Permitted Holder may, but are not obligated to, elect to purchase all or any portion of</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Trust 2 Trustee’s and such Permitted Holder's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portion, based upon Trust 2 Trustee’s and such Permitted Holder's percentage ownership of Voting Stock as a percentage of all Voting Stock held by Trust 2 Trustee and all Permitted Holders, of the Section 2 Remaining Shares for Trust 2 Trustee and Permitted Holders, on terms substantially equivalent to the terms offered by the proposed Transferee and specified in the Proposed Transferor's Written Notice and at a price per share equal to the price offered by the proposed Transferee and specified in the Proposed Transferor's Written Notice. In the event the proposed Transfer is for no consideration, including without limitation such as with respect to a charitable donation, the Appraised Value shall be used as the price per share. Each of Trust 2 Trustee and each Permitted Holder also may designate if they elect to purchase any or all of the Section 2 Remaining Shares for Trust 2 Trustee and Permitted Holders not elected for purchase by Trust 2 Trustee and each Permitted Holders, indicating a limit on such additional shares if so desired, and recognizing that its rights to any such additional shares are limited to its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portion based on the total number of such additional shares for which such an indication has been made.</w:t>
      </w:r>
    </w:p>
    <w:p>
      <w:pPr>
        <w:spacing w:after="0" w:line="149" w:lineRule="exact"/>
        <w:rPr>
          <w:rFonts w:ascii="Arial" w:cs="Arial" w:eastAsia="Arial" w:hAnsi="Arial"/>
          <w:sz w:val="19"/>
          <w:szCs w:val="19"/>
          <w:b w:val="1"/>
          <w:bCs w:val="1"/>
          <w:i w:val="1"/>
          <w:iCs w:val="1"/>
          <w:color w:val="auto"/>
        </w:rPr>
      </w:pPr>
    </w:p>
    <w:p>
      <w:pPr>
        <w:jc w:val="both"/>
        <w:ind w:left="1300" w:hanging="644"/>
        <w:spacing w:after="0" w:line="276" w:lineRule="auto"/>
        <w:tabs>
          <w:tab w:leader="none" w:pos="1300" w:val="left"/>
        </w:tabs>
        <w:numPr>
          <w:ilvl w:val="1"/>
          <w:numId w:val="8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Notice of Trust 2 Trustee and Each Permitted Holder. </w:t>
      </w:r>
      <w:r>
        <w:rPr>
          <w:rFonts w:ascii="Arial" w:cs="Arial" w:eastAsia="Arial" w:hAnsi="Arial"/>
          <w:sz w:val="19"/>
          <w:szCs w:val="19"/>
          <w:color w:val="auto"/>
        </w:rPr>
        <w:t>Trust 2 Trustee and each Permitted Holder will advise</w:t>
      </w:r>
      <w:r>
        <w:rPr>
          <w:rFonts w:ascii="Arial" w:cs="Arial" w:eastAsia="Arial" w:hAnsi="Arial"/>
          <w:sz w:val="19"/>
          <w:szCs w:val="19"/>
          <w:b w:val="1"/>
          <w:bCs w:val="1"/>
          <w:color w:val="auto"/>
        </w:rPr>
        <w:t xml:space="preserve"> </w:t>
      </w:r>
      <w:r>
        <w:rPr>
          <w:rFonts w:ascii="Arial" w:cs="Arial" w:eastAsia="Arial" w:hAnsi="Arial"/>
          <w:sz w:val="19"/>
          <w:szCs w:val="19"/>
          <w:color w:val="auto"/>
        </w:rPr>
        <w:t>the Proposed Transferor, the Holders, Contran, Trust 2 Trustee and each other Permitted Holder as to its election to participate, and if so, in what amounts, by written notice mailed or delivered to each of the Proposed Transferor, the Holders, Contran, Trust 2 Trustee and each other Permitted Holder within the Section 2 Trust 2 Trustee and Permitted Holders Exercise Period. If Trust 2 Trustee or any Permitted Holder fails to respond during the Section 2 Trust 2 Trustee and Permitted Holders Exercise Period, such party will lose the right to participate in the right of first refusal for such proposed Transfer. Contran will be responsible for determining the number of shares properly elected for purchase by Trust 2 Trustee and each Permitted Holder.</w:t>
      </w:r>
    </w:p>
    <w:p>
      <w:pPr>
        <w:spacing w:after="0" w:line="366" w:lineRule="exact"/>
        <w:rPr>
          <w:sz w:val="20"/>
          <w:szCs w:val="20"/>
          <w:color w:val="auto"/>
        </w:rPr>
      </w:pPr>
    </w:p>
    <w:p>
      <w:pPr>
        <w:jc w:val="both"/>
        <w:ind w:left="1300" w:hanging="644"/>
        <w:spacing w:after="0" w:line="249" w:lineRule="auto"/>
        <w:tabs>
          <w:tab w:leader="none" w:pos="1300" w:val="left"/>
        </w:tabs>
        <w:numPr>
          <w:ilvl w:val="0"/>
          <w:numId w:val="83"/>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Final Right of Contran and Holders. </w:t>
      </w:r>
      <w:r>
        <w:rPr>
          <w:rFonts w:ascii="Arial" w:cs="Arial" w:eastAsia="Arial" w:hAnsi="Arial"/>
          <w:sz w:val="21"/>
          <w:szCs w:val="21"/>
          <w:color w:val="auto"/>
        </w:rPr>
        <w:t>In the event that all Section 2 Remaining Shares for Trust 2 Trustee and</w:t>
      </w:r>
      <w:r>
        <w:rPr>
          <w:rFonts w:ascii="Arial" w:cs="Arial" w:eastAsia="Arial" w:hAnsi="Arial"/>
          <w:sz w:val="21"/>
          <w:szCs w:val="21"/>
          <w:b w:val="1"/>
          <w:bCs w:val="1"/>
          <w:color w:val="auto"/>
        </w:rPr>
        <w:t xml:space="preserve"> </w:t>
      </w:r>
      <w:r>
        <w:rPr>
          <w:rFonts w:ascii="Arial" w:cs="Arial" w:eastAsia="Arial" w:hAnsi="Arial"/>
          <w:sz w:val="21"/>
          <w:szCs w:val="21"/>
          <w:color w:val="auto"/>
        </w:rPr>
        <w:t>Permitted Holders have not been elected for purchase, then Contran and the Holders will have an additional period of fifteen (15) days to determine, in communication with one another, whether any or all desire to purchase the balance of the Section 2 Remaining Shares for Trust 2 Trustee and Permitted Holders, which decision must be communicated to each of the Proposed Transferor, the Holders, Contran, Trust 2 Trustee and all Permitted Holders in writing within such 15-day period.</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53"/>
        </w:trPr>
        <w:tc>
          <w:tcPr>
            <w:tcW w:w="460" w:type="dxa"/>
            <w:vAlign w:val="bottom"/>
          </w:tcPr>
          <w:p>
            <w:pPr>
              <w:spacing w:after="0"/>
              <w:rPr>
                <w:sz w:val="21"/>
                <w:szCs w:val="21"/>
                <w:color w:val="auto"/>
              </w:rPr>
            </w:pPr>
          </w:p>
        </w:tc>
        <w:tc>
          <w:tcPr>
            <w:tcW w:w="680" w:type="dxa"/>
            <w:vAlign w:val="bottom"/>
          </w:tcPr>
          <w:p>
            <w:pPr>
              <w:ind w:left="200"/>
              <w:spacing w:after="0"/>
              <w:rPr>
                <w:sz w:val="20"/>
                <w:szCs w:val="20"/>
                <w:color w:val="auto"/>
              </w:rPr>
            </w:pPr>
            <w:r>
              <w:rPr>
                <w:rFonts w:ascii="Arial" w:cs="Arial" w:eastAsia="Arial" w:hAnsi="Arial"/>
                <w:sz w:val="22"/>
                <w:szCs w:val="22"/>
                <w:b w:val="1"/>
                <w:bCs w:val="1"/>
                <w:color w:val="auto"/>
              </w:rPr>
              <w:t>(iii)</w:t>
            </w:r>
          </w:p>
        </w:tc>
        <w:tc>
          <w:tcPr>
            <w:tcW w:w="10100" w:type="dxa"/>
            <w:vAlign w:val="bottom"/>
          </w:tcPr>
          <w:p>
            <w:pPr>
              <w:ind w:left="160"/>
              <w:spacing w:after="0"/>
              <w:rPr>
                <w:sz w:val="20"/>
                <w:szCs w:val="20"/>
                <w:color w:val="auto"/>
              </w:rPr>
            </w:pPr>
            <w:r>
              <w:rPr>
                <w:rFonts w:ascii="Arial" w:cs="Arial" w:eastAsia="Arial" w:hAnsi="Arial"/>
                <w:sz w:val="22"/>
                <w:szCs w:val="22"/>
                <w:b w:val="1"/>
                <w:bCs w:val="1"/>
                <w:color w:val="auto"/>
                <w:w w:val="93"/>
              </w:rPr>
              <w:t xml:space="preserve">Closing. </w:t>
            </w:r>
            <w:r>
              <w:rPr>
                <w:rFonts w:ascii="Arial" w:cs="Arial" w:eastAsia="Arial" w:hAnsi="Arial"/>
                <w:sz w:val="22"/>
                <w:szCs w:val="22"/>
                <w:color w:val="auto"/>
                <w:w w:val="93"/>
              </w:rPr>
              <w:t>Should the combined shares elected to be purchased by the Holders, Contran, Trust 2 Trustee and</w:t>
            </w:r>
          </w:p>
        </w:tc>
      </w:tr>
      <w:tr>
        <w:trPr>
          <w:trHeight w:val="243"/>
        </w:trPr>
        <w:tc>
          <w:tcPr>
            <w:tcW w:w="4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100" w:type="dxa"/>
            <w:vAlign w:val="bottom"/>
          </w:tcPr>
          <w:p>
            <w:pPr>
              <w:ind w:left="160"/>
              <w:spacing w:after="0" w:line="243" w:lineRule="exact"/>
              <w:rPr>
                <w:sz w:val="20"/>
                <w:szCs w:val="20"/>
                <w:color w:val="auto"/>
              </w:rPr>
            </w:pPr>
            <w:r>
              <w:rPr>
                <w:rFonts w:ascii="Arial" w:cs="Arial" w:eastAsia="Arial" w:hAnsi="Arial"/>
                <w:sz w:val="22"/>
                <w:szCs w:val="22"/>
                <w:color w:val="auto"/>
                <w:w w:val="91"/>
              </w:rPr>
              <w:t>Permitted Holders comprise all Section 2 Offered Shares, such parties then must purchase the shares for which</w:t>
            </w:r>
          </w:p>
        </w:tc>
      </w:tr>
      <w:tr>
        <w:trPr>
          <w:trHeight w:val="243"/>
        </w:trPr>
        <w:tc>
          <w:tcPr>
            <w:tcW w:w="4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100" w:type="dxa"/>
            <w:vAlign w:val="bottom"/>
          </w:tcPr>
          <w:p>
            <w:pPr>
              <w:ind w:left="160"/>
              <w:spacing w:after="0" w:line="243" w:lineRule="exact"/>
              <w:rPr>
                <w:sz w:val="20"/>
                <w:szCs w:val="20"/>
                <w:color w:val="auto"/>
              </w:rPr>
            </w:pPr>
            <w:r>
              <w:rPr>
                <w:rFonts w:ascii="Arial" w:cs="Arial" w:eastAsia="Arial" w:hAnsi="Arial"/>
                <w:sz w:val="22"/>
                <w:szCs w:val="22"/>
                <w:color w:val="auto"/>
                <w:w w:val="91"/>
              </w:rPr>
              <w:t>they respectively committed within fifteen (15) days of the determination that all Section 2 Offered Shares will be</w:t>
            </w:r>
          </w:p>
        </w:tc>
      </w:tr>
      <w:tr>
        <w:trPr>
          <w:trHeight w:val="274"/>
        </w:trPr>
        <w:tc>
          <w:tcPr>
            <w:tcW w:w="4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100" w:type="dxa"/>
            <w:vAlign w:val="bottom"/>
          </w:tcPr>
          <w:p>
            <w:pPr>
              <w:ind w:left="160"/>
              <w:spacing w:after="0"/>
              <w:rPr>
                <w:sz w:val="20"/>
                <w:szCs w:val="20"/>
                <w:color w:val="auto"/>
              </w:rPr>
            </w:pPr>
            <w:r>
              <w:rPr>
                <w:rFonts w:ascii="Arial" w:cs="Arial" w:eastAsia="Arial" w:hAnsi="Arial"/>
                <w:sz w:val="22"/>
                <w:szCs w:val="22"/>
                <w:color w:val="auto"/>
              </w:rPr>
              <w:t>purchased, with Contran to designate the time and place for such closing.</w:t>
            </w:r>
          </w:p>
        </w:tc>
      </w:tr>
      <w:tr>
        <w:trPr>
          <w:trHeight w:val="414"/>
        </w:trPr>
        <w:tc>
          <w:tcPr>
            <w:tcW w:w="460" w:type="dxa"/>
            <w:vAlign w:val="bottom"/>
          </w:tcPr>
          <w:p>
            <w:pPr>
              <w:spacing w:after="0"/>
              <w:rPr>
                <w:sz w:val="20"/>
                <w:szCs w:val="20"/>
                <w:color w:val="auto"/>
              </w:rPr>
            </w:pPr>
            <w:r>
              <w:rPr>
                <w:rFonts w:ascii="Arial" w:cs="Arial" w:eastAsia="Arial" w:hAnsi="Arial"/>
                <w:sz w:val="22"/>
                <w:szCs w:val="22"/>
                <w:b w:val="1"/>
                <w:bCs w:val="1"/>
                <w:i w:val="1"/>
                <w:iCs w:val="1"/>
                <w:color w:val="auto"/>
              </w:rPr>
              <w:t>(d)</w:t>
            </w:r>
          </w:p>
        </w:tc>
        <w:tc>
          <w:tcPr>
            <w:tcW w:w="10780" w:type="dxa"/>
            <w:vAlign w:val="bottom"/>
            <w:gridSpan w:val="2"/>
          </w:tcPr>
          <w:p>
            <w:pPr>
              <w:ind w:left="200"/>
              <w:spacing w:after="0"/>
              <w:rPr>
                <w:sz w:val="20"/>
                <w:szCs w:val="20"/>
                <w:color w:val="auto"/>
              </w:rPr>
            </w:pPr>
            <w:r>
              <w:rPr>
                <w:rFonts w:ascii="Arial" w:cs="Arial" w:eastAsia="Arial" w:hAnsi="Arial"/>
                <w:sz w:val="22"/>
                <w:szCs w:val="22"/>
                <w:b w:val="1"/>
                <w:bCs w:val="1"/>
                <w:color w:val="auto"/>
                <w:w w:val="91"/>
              </w:rPr>
              <w:t xml:space="preserve">Right to Transfer. </w:t>
            </w:r>
            <w:r>
              <w:rPr>
                <w:rFonts w:ascii="Arial" w:cs="Arial" w:eastAsia="Arial" w:hAnsi="Arial"/>
                <w:sz w:val="22"/>
                <w:szCs w:val="22"/>
                <w:color w:val="auto"/>
                <w:w w:val="91"/>
              </w:rPr>
              <w:t>In the event that no combination of the Holders, Contran, Trust 2 Trustee or  the Permitted Holders</w:t>
            </w:r>
          </w:p>
        </w:tc>
      </w:tr>
      <w:tr>
        <w:trPr>
          <w:trHeight w:val="243"/>
        </w:trPr>
        <w:tc>
          <w:tcPr>
            <w:tcW w:w="460" w:type="dxa"/>
            <w:vAlign w:val="bottom"/>
          </w:tcPr>
          <w:p>
            <w:pPr>
              <w:spacing w:after="0"/>
              <w:rPr>
                <w:sz w:val="21"/>
                <w:szCs w:val="21"/>
                <w:color w:val="auto"/>
              </w:rPr>
            </w:pPr>
          </w:p>
        </w:tc>
        <w:tc>
          <w:tcPr>
            <w:tcW w:w="10780" w:type="dxa"/>
            <w:vAlign w:val="bottom"/>
            <w:gridSpan w:val="2"/>
          </w:tcPr>
          <w:p>
            <w:pPr>
              <w:ind w:left="200"/>
              <w:spacing w:after="0" w:line="243" w:lineRule="exact"/>
              <w:rPr>
                <w:sz w:val="20"/>
                <w:szCs w:val="20"/>
                <w:color w:val="auto"/>
              </w:rPr>
            </w:pPr>
            <w:r>
              <w:rPr>
                <w:rFonts w:ascii="Arial" w:cs="Arial" w:eastAsia="Arial" w:hAnsi="Arial"/>
                <w:sz w:val="22"/>
                <w:szCs w:val="22"/>
                <w:color w:val="auto"/>
                <w:w w:val="89"/>
              </w:rPr>
              <w:t>elect to exercise the purchase right for all of the Section 2 Offered Shares in a proposed Transfer pursuant to this Section</w:t>
            </w:r>
          </w:p>
        </w:tc>
      </w:tr>
      <w:tr>
        <w:trPr>
          <w:trHeight w:val="243"/>
        </w:trPr>
        <w:tc>
          <w:tcPr>
            <w:tcW w:w="460" w:type="dxa"/>
            <w:vAlign w:val="bottom"/>
          </w:tcPr>
          <w:p>
            <w:pPr>
              <w:spacing w:after="0"/>
              <w:rPr>
                <w:sz w:val="21"/>
                <w:szCs w:val="21"/>
                <w:color w:val="auto"/>
              </w:rPr>
            </w:pPr>
          </w:p>
        </w:tc>
        <w:tc>
          <w:tcPr>
            <w:tcW w:w="10780" w:type="dxa"/>
            <w:vAlign w:val="bottom"/>
            <w:gridSpan w:val="2"/>
          </w:tcPr>
          <w:p>
            <w:pPr>
              <w:ind w:left="200"/>
              <w:spacing w:after="0" w:line="243" w:lineRule="exact"/>
              <w:rPr>
                <w:sz w:val="20"/>
                <w:szCs w:val="20"/>
                <w:color w:val="auto"/>
              </w:rPr>
            </w:pPr>
            <w:r>
              <w:rPr>
                <w:rFonts w:ascii="Arial" w:cs="Arial" w:eastAsia="Arial" w:hAnsi="Arial"/>
                <w:sz w:val="22"/>
                <w:szCs w:val="22"/>
                <w:color w:val="auto"/>
                <w:w w:val="91"/>
              </w:rPr>
              <w:t>2, or in the event that none of the closings set forth in the series of rights of first refusal timely occurs through no fault of</w:t>
            </w:r>
          </w:p>
        </w:tc>
      </w:tr>
      <w:tr>
        <w:trPr>
          <w:trHeight w:val="243"/>
        </w:trPr>
        <w:tc>
          <w:tcPr>
            <w:tcW w:w="460" w:type="dxa"/>
            <w:vAlign w:val="bottom"/>
          </w:tcPr>
          <w:p>
            <w:pPr>
              <w:spacing w:after="0"/>
              <w:rPr>
                <w:sz w:val="21"/>
                <w:szCs w:val="21"/>
                <w:color w:val="auto"/>
              </w:rPr>
            </w:pPr>
          </w:p>
        </w:tc>
        <w:tc>
          <w:tcPr>
            <w:tcW w:w="10780" w:type="dxa"/>
            <w:vAlign w:val="bottom"/>
            <w:gridSpan w:val="2"/>
          </w:tcPr>
          <w:p>
            <w:pPr>
              <w:ind w:left="200"/>
              <w:spacing w:after="0" w:line="243" w:lineRule="exact"/>
              <w:rPr>
                <w:sz w:val="20"/>
                <w:szCs w:val="20"/>
                <w:color w:val="auto"/>
              </w:rPr>
            </w:pPr>
            <w:r>
              <w:rPr>
                <w:rFonts w:ascii="Arial" w:cs="Arial" w:eastAsia="Arial" w:hAnsi="Arial"/>
                <w:sz w:val="22"/>
                <w:szCs w:val="22"/>
                <w:color w:val="auto"/>
                <w:w w:val="90"/>
              </w:rPr>
              <w:t>the Proposed Transferor, then the Proposed Transferor may, within sixty (60) days thereafter, complete such Transfer of</w:t>
            </w:r>
          </w:p>
        </w:tc>
      </w:tr>
      <w:tr>
        <w:trPr>
          <w:trHeight w:val="243"/>
        </w:trPr>
        <w:tc>
          <w:tcPr>
            <w:tcW w:w="460" w:type="dxa"/>
            <w:vAlign w:val="bottom"/>
          </w:tcPr>
          <w:p>
            <w:pPr>
              <w:spacing w:after="0"/>
              <w:rPr>
                <w:sz w:val="21"/>
                <w:szCs w:val="21"/>
                <w:color w:val="auto"/>
              </w:rPr>
            </w:pPr>
          </w:p>
        </w:tc>
        <w:tc>
          <w:tcPr>
            <w:tcW w:w="10780" w:type="dxa"/>
            <w:vAlign w:val="bottom"/>
            <w:gridSpan w:val="2"/>
          </w:tcPr>
          <w:p>
            <w:pPr>
              <w:ind w:left="200"/>
              <w:spacing w:after="0" w:line="243" w:lineRule="exact"/>
              <w:rPr>
                <w:sz w:val="20"/>
                <w:szCs w:val="20"/>
                <w:color w:val="auto"/>
              </w:rPr>
            </w:pPr>
            <w:r>
              <w:rPr>
                <w:rFonts w:ascii="Arial" w:cs="Arial" w:eastAsia="Arial" w:hAnsi="Arial"/>
                <w:sz w:val="22"/>
                <w:szCs w:val="22"/>
                <w:color w:val="auto"/>
                <w:w w:val="92"/>
              </w:rPr>
              <w:t>the Section 2 Offered Shares to the proposed Transferee at the same price and on the same terms as specified in the</w:t>
            </w:r>
          </w:p>
        </w:tc>
      </w:tr>
      <w:tr>
        <w:trPr>
          <w:trHeight w:val="243"/>
        </w:trPr>
        <w:tc>
          <w:tcPr>
            <w:tcW w:w="460" w:type="dxa"/>
            <w:vAlign w:val="bottom"/>
          </w:tcPr>
          <w:p>
            <w:pPr>
              <w:spacing w:after="0"/>
              <w:rPr>
                <w:sz w:val="21"/>
                <w:szCs w:val="21"/>
                <w:color w:val="auto"/>
              </w:rPr>
            </w:pPr>
          </w:p>
        </w:tc>
        <w:tc>
          <w:tcPr>
            <w:tcW w:w="10780" w:type="dxa"/>
            <w:vAlign w:val="bottom"/>
            <w:gridSpan w:val="2"/>
          </w:tcPr>
          <w:p>
            <w:pPr>
              <w:ind w:left="200"/>
              <w:spacing w:after="0" w:line="243" w:lineRule="exact"/>
              <w:rPr>
                <w:sz w:val="20"/>
                <w:szCs w:val="20"/>
                <w:color w:val="auto"/>
              </w:rPr>
            </w:pPr>
            <w:r>
              <w:rPr>
                <w:rFonts w:ascii="Arial" w:cs="Arial" w:eastAsia="Arial" w:hAnsi="Arial"/>
                <w:sz w:val="22"/>
                <w:szCs w:val="22"/>
                <w:color w:val="auto"/>
                <w:w w:val="92"/>
              </w:rPr>
              <w:t>Proposed Transferor's Written Notice, provided that such Transfer is effected in accordance with applicable securities</w:t>
            </w:r>
          </w:p>
        </w:tc>
      </w:tr>
      <w:tr>
        <w:trPr>
          <w:trHeight w:val="243"/>
        </w:trPr>
        <w:tc>
          <w:tcPr>
            <w:tcW w:w="460" w:type="dxa"/>
            <w:vAlign w:val="bottom"/>
          </w:tcPr>
          <w:p>
            <w:pPr>
              <w:spacing w:after="0"/>
              <w:rPr>
                <w:sz w:val="21"/>
                <w:szCs w:val="21"/>
                <w:color w:val="auto"/>
              </w:rPr>
            </w:pPr>
          </w:p>
        </w:tc>
        <w:tc>
          <w:tcPr>
            <w:tcW w:w="10780" w:type="dxa"/>
            <w:vAlign w:val="bottom"/>
            <w:gridSpan w:val="2"/>
          </w:tcPr>
          <w:p>
            <w:pPr>
              <w:ind w:left="200"/>
              <w:spacing w:after="0" w:line="243" w:lineRule="exact"/>
              <w:rPr>
                <w:sz w:val="20"/>
                <w:szCs w:val="20"/>
                <w:color w:val="auto"/>
              </w:rPr>
            </w:pPr>
            <w:r>
              <w:rPr>
                <w:rFonts w:ascii="Arial" w:cs="Arial" w:eastAsia="Arial" w:hAnsi="Arial"/>
                <w:sz w:val="22"/>
                <w:szCs w:val="22"/>
                <w:color w:val="auto"/>
                <w:w w:val="90"/>
              </w:rPr>
              <w:t>laws and otherwise in accordance with the terms of this Agreement, and further provided that such Transferee must join</w:t>
            </w:r>
          </w:p>
        </w:tc>
      </w:tr>
      <w:tr>
        <w:trPr>
          <w:trHeight w:val="243"/>
        </w:trPr>
        <w:tc>
          <w:tcPr>
            <w:tcW w:w="460" w:type="dxa"/>
            <w:vAlign w:val="bottom"/>
          </w:tcPr>
          <w:p>
            <w:pPr>
              <w:spacing w:after="0"/>
              <w:rPr>
                <w:sz w:val="21"/>
                <w:szCs w:val="21"/>
                <w:color w:val="auto"/>
              </w:rPr>
            </w:pPr>
          </w:p>
        </w:tc>
        <w:tc>
          <w:tcPr>
            <w:tcW w:w="10780" w:type="dxa"/>
            <w:vAlign w:val="bottom"/>
            <w:gridSpan w:val="2"/>
          </w:tcPr>
          <w:p>
            <w:pPr>
              <w:ind w:left="200"/>
              <w:spacing w:after="0" w:line="243" w:lineRule="exact"/>
              <w:rPr>
                <w:sz w:val="20"/>
                <w:szCs w:val="20"/>
                <w:color w:val="auto"/>
              </w:rPr>
            </w:pPr>
            <w:r>
              <w:rPr>
                <w:rFonts w:ascii="Arial" w:cs="Arial" w:eastAsia="Arial" w:hAnsi="Arial"/>
                <w:sz w:val="22"/>
                <w:szCs w:val="22"/>
                <w:color w:val="auto"/>
                <w:w w:val="89"/>
              </w:rPr>
              <w:t>this Agreement, committing to be bound by the terms of this Agreement. For clarity and emphasis, the Transferee will not</w:t>
            </w:r>
          </w:p>
        </w:tc>
      </w:tr>
      <w:tr>
        <w:trPr>
          <w:trHeight w:val="243"/>
        </w:trPr>
        <w:tc>
          <w:tcPr>
            <w:tcW w:w="460" w:type="dxa"/>
            <w:vAlign w:val="bottom"/>
          </w:tcPr>
          <w:p>
            <w:pPr>
              <w:spacing w:after="0"/>
              <w:rPr>
                <w:sz w:val="21"/>
                <w:szCs w:val="21"/>
                <w:color w:val="auto"/>
              </w:rPr>
            </w:pPr>
          </w:p>
        </w:tc>
        <w:tc>
          <w:tcPr>
            <w:tcW w:w="10780" w:type="dxa"/>
            <w:vAlign w:val="bottom"/>
            <w:gridSpan w:val="2"/>
          </w:tcPr>
          <w:p>
            <w:pPr>
              <w:ind w:left="200"/>
              <w:spacing w:after="0" w:line="243" w:lineRule="exact"/>
              <w:rPr>
                <w:sz w:val="20"/>
                <w:szCs w:val="20"/>
                <w:color w:val="auto"/>
              </w:rPr>
            </w:pPr>
            <w:r>
              <w:rPr>
                <w:rFonts w:ascii="Arial" w:cs="Arial" w:eastAsia="Arial" w:hAnsi="Arial"/>
                <w:sz w:val="22"/>
                <w:szCs w:val="22"/>
                <w:color w:val="auto"/>
                <w:w w:val="93"/>
              </w:rPr>
              <w:t>thereby become  either a Permitted Transferee or a Permitted Holder. And while such Transferee will be obligated to</w:t>
            </w:r>
          </w:p>
        </w:tc>
      </w:tr>
      <w:tr>
        <w:trPr>
          <w:trHeight w:val="243"/>
        </w:trPr>
        <w:tc>
          <w:tcPr>
            <w:tcW w:w="460" w:type="dxa"/>
            <w:vAlign w:val="bottom"/>
          </w:tcPr>
          <w:p>
            <w:pPr>
              <w:spacing w:after="0"/>
              <w:rPr>
                <w:sz w:val="21"/>
                <w:szCs w:val="21"/>
                <w:color w:val="auto"/>
              </w:rPr>
            </w:pPr>
          </w:p>
        </w:tc>
        <w:tc>
          <w:tcPr>
            <w:tcW w:w="10780" w:type="dxa"/>
            <w:vAlign w:val="bottom"/>
            <w:gridSpan w:val="2"/>
          </w:tcPr>
          <w:p>
            <w:pPr>
              <w:ind w:left="200"/>
              <w:spacing w:after="0" w:line="243" w:lineRule="exact"/>
              <w:rPr>
                <w:sz w:val="20"/>
                <w:szCs w:val="20"/>
                <w:color w:val="auto"/>
              </w:rPr>
            </w:pPr>
            <w:r>
              <w:rPr>
                <w:rFonts w:ascii="Arial" w:cs="Arial" w:eastAsia="Arial" w:hAnsi="Arial"/>
                <w:sz w:val="22"/>
                <w:szCs w:val="22"/>
                <w:color w:val="auto"/>
                <w:w w:val="95"/>
              </w:rPr>
              <w:t>comply with the terms of this Agreement, such Transferee will not be a beneficiary of the rights established by this</w:t>
            </w:r>
          </w:p>
        </w:tc>
      </w:tr>
      <w:tr>
        <w:trPr>
          <w:trHeight w:val="274"/>
        </w:trPr>
        <w:tc>
          <w:tcPr>
            <w:tcW w:w="460" w:type="dxa"/>
            <w:vAlign w:val="bottom"/>
          </w:tcPr>
          <w:p>
            <w:pPr>
              <w:spacing w:after="0"/>
              <w:rPr>
                <w:sz w:val="23"/>
                <w:szCs w:val="23"/>
                <w:color w:val="auto"/>
              </w:rPr>
            </w:pPr>
          </w:p>
        </w:tc>
        <w:tc>
          <w:tcPr>
            <w:tcW w:w="10780" w:type="dxa"/>
            <w:vAlign w:val="bottom"/>
            <w:gridSpan w:val="2"/>
          </w:tcPr>
          <w:p>
            <w:pPr>
              <w:ind w:left="200"/>
              <w:spacing w:after="0"/>
              <w:rPr>
                <w:sz w:val="20"/>
                <w:szCs w:val="20"/>
                <w:color w:val="auto"/>
              </w:rPr>
            </w:pPr>
            <w:r>
              <w:rPr>
                <w:rFonts w:ascii="Arial" w:cs="Arial" w:eastAsia="Arial" w:hAnsi="Arial"/>
                <w:sz w:val="22"/>
                <w:szCs w:val="22"/>
                <w:color w:val="auto"/>
              </w:rPr>
              <w:t>Agreement.</w:t>
            </w:r>
          </w:p>
        </w:tc>
      </w:tr>
      <w:tr>
        <w:trPr>
          <w:trHeight w:val="428"/>
        </w:trPr>
        <w:tc>
          <w:tcPr>
            <w:tcW w:w="460" w:type="dxa"/>
            <w:vAlign w:val="bottom"/>
          </w:tcPr>
          <w:p>
            <w:pPr>
              <w:spacing w:after="0"/>
              <w:rPr>
                <w:sz w:val="20"/>
                <w:szCs w:val="20"/>
                <w:color w:val="auto"/>
              </w:rPr>
            </w:pPr>
            <w:r>
              <w:rPr>
                <w:rFonts w:ascii="Arial" w:cs="Arial" w:eastAsia="Arial" w:hAnsi="Arial"/>
                <w:sz w:val="22"/>
                <w:szCs w:val="22"/>
                <w:b w:val="1"/>
                <w:bCs w:val="1"/>
                <w:i w:val="1"/>
                <w:iCs w:val="1"/>
                <w:color w:val="auto"/>
              </w:rPr>
              <w:t>(e)</w:t>
            </w:r>
          </w:p>
        </w:tc>
        <w:tc>
          <w:tcPr>
            <w:tcW w:w="10780" w:type="dxa"/>
            <w:vAlign w:val="bottom"/>
            <w:gridSpan w:val="2"/>
          </w:tcPr>
          <w:p>
            <w:pPr>
              <w:ind w:left="200"/>
              <w:spacing w:after="0"/>
              <w:rPr>
                <w:sz w:val="20"/>
                <w:szCs w:val="20"/>
                <w:color w:val="auto"/>
              </w:rPr>
            </w:pPr>
            <w:r>
              <w:rPr>
                <w:rFonts w:ascii="Arial" w:cs="Arial" w:eastAsia="Arial" w:hAnsi="Arial"/>
                <w:sz w:val="22"/>
                <w:szCs w:val="22"/>
                <w:b w:val="1"/>
                <w:bCs w:val="1"/>
                <w:color w:val="auto"/>
                <w:w w:val="92"/>
              </w:rPr>
              <w:t xml:space="preserve">Continuation of Rights and Obligations. </w:t>
            </w:r>
            <w:r>
              <w:rPr>
                <w:rFonts w:ascii="Arial" w:cs="Arial" w:eastAsia="Arial" w:hAnsi="Arial"/>
                <w:sz w:val="22"/>
                <w:szCs w:val="22"/>
                <w:color w:val="auto"/>
                <w:w w:val="92"/>
              </w:rPr>
              <w:t>For emphasis and clarity, the  provisions of Section 1(g)(ii) and (iii) remain</w:t>
            </w:r>
          </w:p>
        </w:tc>
      </w:tr>
      <w:tr>
        <w:trPr>
          <w:trHeight w:val="243"/>
        </w:trPr>
        <w:tc>
          <w:tcPr>
            <w:tcW w:w="460" w:type="dxa"/>
            <w:vAlign w:val="bottom"/>
          </w:tcPr>
          <w:p>
            <w:pPr>
              <w:spacing w:after="0"/>
              <w:rPr>
                <w:sz w:val="21"/>
                <w:szCs w:val="21"/>
                <w:color w:val="auto"/>
              </w:rPr>
            </w:pPr>
          </w:p>
        </w:tc>
        <w:tc>
          <w:tcPr>
            <w:tcW w:w="10780" w:type="dxa"/>
            <w:vAlign w:val="bottom"/>
            <w:gridSpan w:val="2"/>
          </w:tcPr>
          <w:p>
            <w:pPr>
              <w:ind w:left="200"/>
              <w:spacing w:after="0" w:line="243" w:lineRule="exact"/>
              <w:rPr>
                <w:sz w:val="20"/>
                <w:szCs w:val="20"/>
                <w:color w:val="auto"/>
              </w:rPr>
            </w:pPr>
            <w:r>
              <w:rPr>
                <w:rFonts w:ascii="Arial" w:cs="Arial" w:eastAsia="Arial" w:hAnsi="Arial"/>
                <w:sz w:val="22"/>
                <w:szCs w:val="22"/>
                <w:color w:val="auto"/>
                <w:w w:val="90"/>
              </w:rPr>
              <w:t>applicable to any Voting Stock transferred pursuant to this Section 2 until this Agreement terminates pursuant to Section</w:t>
            </w:r>
          </w:p>
        </w:tc>
      </w:tr>
      <w:tr>
        <w:trPr>
          <w:trHeight w:val="243"/>
        </w:trPr>
        <w:tc>
          <w:tcPr>
            <w:tcW w:w="460" w:type="dxa"/>
            <w:vAlign w:val="bottom"/>
          </w:tcPr>
          <w:p>
            <w:pPr>
              <w:spacing w:after="0"/>
              <w:rPr>
                <w:sz w:val="21"/>
                <w:szCs w:val="21"/>
                <w:color w:val="auto"/>
              </w:rPr>
            </w:pPr>
          </w:p>
        </w:tc>
        <w:tc>
          <w:tcPr>
            <w:tcW w:w="10780" w:type="dxa"/>
            <w:vAlign w:val="bottom"/>
            <w:gridSpan w:val="2"/>
          </w:tcPr>
          <w:p>
            <w:pPr>
              <w:ind w:left="200"/>
              <w:spacing w:after="0" w:line="243" w:lineRule="exact"/>
              <w:rPr>
                <w:sz w:val="20"/>
                <w:szCs w:val="20"/>
                <w:color w:val="auto"/>
              </w:rPr>
            </w:pPr>
            <w:r>
              <w:rPr>
                <w:rFonts w:ascii="Arial" w:cs="Arial" w:eastAsia="Arial" w:hAnsi="Arial"/>
                <w:sz w:val="22"/>
                <w:szCs w:val="22"/>
                <w:color w:val="auto"/>
                <w:w w:val="90"/>
              </w:rPr>
              <w:t>5; provided, however, that Trust 2 Trustee and the Voting Stock held by Trust 2 Trustee shall not be subject to any of the</w:t>
            </w:r>
          </w:p>
        </w:tc>
      </w:tr>
      <w:tr>
        <w:trPr>
          <w:trHeight w:val="274"/>
        </w:trPr>
        <w:tc>
          <w:tcPr>
            <w:tcW w:w="460" w:type="dxa"/>
            <w:vAlign w:val="bottom"/>
          </w:tcPr>
          <w:p>
            <w:pPr>
              <w:spacing w:after="0"/>
              <w:rPr>
                <w:sz w:val="23"/>
                <w:szCs w:val="23"/>
                <w:color w:val="auto"/>
              </w:rPr>
            </w:pPr>
          </w:p>
        </w:tc>
        <w:tc>
          <w:tcPr>
            <w:tcW w:w="10780" w:type="dxa"/>
            <w:vAlign w:val="bottom"/>
            <w:gridSpan w:val="2"/>
          </w:tcPr>
          <w:p>
            <w:pPr>
              <w:ind w:left="200"/>
              <w:spacing w:after="0"/>
              <w:rPr>
                <w:sz w:val="20"/>
                <w:szCs w:val="20"/>
                <w:color w:val="auto"/>
              </w:rPr>
            </w:pPr>
            <w:r>
              <w:rPr>
                <w:rFonts w:ascii="Arial" w:cs="Arial" w:eastAsia="Arial" w:hAnsi="Arial"/>
                <w:sz w:val="22"/>
                <w:szCs w:val="22"/>
                <w:color w:val="auto"/>
              </w:rPr>
              <w:t>provisions of Section 3 hereof.</w:t>
            </w:r>
          </w:p>
        </w:tc>
      </w:tr>
      <w:tr>
        <w:trPr>
          <w:trHeight w:val="428"/>
        </w:trPr>
        <w:tc>
          <w:tcPr>
            <w:tcW w:w="460" w:type="dxa"/>
            <w:vAlign w:val="bottom"/>
          </w:tcPr>
          <w:p>
            <w:pPr>
              <w:spacing w:after="0"/>
              <w:rPr>
                <w:sz w:val="20"/>
                <w:szCs w:val="20"/>
                <w:color w:val="auto"/>
              </w:rPr>
            </w:pPr>
            <w:r>
              <w:rPr>
                <w:rFonts w:ascii="Arial" w:cs="Arial" w:eastAsia="Arial" w:hAnsi="Arial"/>
                <w:sz w:val="22"/>
                <w:szCs w:val="22"/>
                <w:b w:val="1"/>
                <w:bCs w:val="1"/>
                <w:i w:val="1"/>
                <w:iCs w:val="1"/>
                <w:color w:val="auto"/>
              </w:rPr>
              <w:t>(f)</w:t>
            </w:r>
          </w:p>
        </w:tc>
        <w:tc>
          <w:tcPr>
            <w:tcW w:w="10780" w:type="dxa"/>
            <w:vAlign w:val="bottom"/>
            <w:gridSpan w:val="2"/>
          </w:tcPr>
          <w:p>
            <w:pPr>
              <w:ind w:left="200"/>
              <w:spacing w:after="0"/>
              <w:rPr>
                <w:sz w:val="20"/>
                <w:szCs w:val="20"/>
                <w:color w:val="auto"/>
              </w:rPr>
            </w:pPr>
            <w:r>
              <w:rPr>
                <w:rFonts w:ascii="Arial" w:cs="Arial" w:eastAsia="Arial" w:hAnsi="Arial"/>
                <w:sz w:val="22"/>
                <w:szCs w:val="22"/>
                <w:b w:val="1"/>
                <w:bCs w:val="1"/>
                <w:color w:val="auto"/>
                <w:w w:val="96"/>
              </w:rPr>
              <w:t xml:space="preserve">Permitted Transfers. </w:t>
            </w:r>
            <w:r>
              <w:rPr>
                <w:rFonts w:ascii="Arial" w:cs="Arial" w:eastAsia="Arial" w:hAnsi="Arial"/>
                <w:sz w:val="22"/>
                <w:szCs w:val="22"/>
                <w:color w:val="auto"/>
                <w:w w:val="96"/>
              </w:rPr>
              <w:t>Notwithstanding   anything herein to the contrary, the right   of first refusal contained in this</w:t>
            </w:r>
          </w:p>
        </w:tc>
      </w:tr>
      <w:tr>
        <w:trPr>
          <w:trHeight w:val="243"/>
        </w:trPr>
        <w:tc>
          <w:tcPr>
            <w:tcW w:w="460" w:type="dxa"/>
            <w:vAlign w:val="bottom"/>
          </w:tcPr>
          <w:p>
            <w:pPr>
              <w:spacing w:after="0"/>
              <w:rPr>
                <w:sz w:val="21"/>
                <w:szCs w:val="21"/>
                <w:color w:val="auto"/>
              </w:rPr>
            </w:pPr>
          </w:p>
        </w:tc>
        <w:tc>
          <w:tcPr>
            <w:tcW w:w="10780" w:type="dxa"/>
            <w:vAlign w:val="bottom"/>
            <w:gridSpan w:val="2"/>
          </w:tcPr>
          <w:p>
            <w:pPr>
              <w:ind w:left="200"/>
              <w:spacing w:after="0" w:line="243" w:lineRule="exact"/>
              <w:rPr>
                <w:sz w:val="20"/>
                <w:szCs w:val="20"/>
                <w:color w:val="auto"/>
              </w:rPr>
            </w:pPr>
            <w:r>
              <w:rPr>
                <w:rFonts w:ascii="Arial" w:cs="Arial" w:eastAsia="Arial" w:hAnsi="Arial"/>
                <w:sz w:val="22"/>
                <w:szCs w:val="22"/>
                <w:color w:val="auto"/>
                <w:w w:val="92"/>
              </w:rPr>
              <w:t>Section 2 shall not apply to any Transfer between two or more Permitted Transferees, or any Transfer between one or</w:t>
            </w:r>
          </w:p>
        </w:tc>
      </w:tr>
      <w:tr>
        <w:trPr>
          <w:trHeight w:val="274"/>
        </w:trPr>
        <w:tc>
          <w:tcPr>
            <w:tcW w:w="460" w:type="dxa"/>
            <w:vAlign w:val="bottom"/>
          </w:tcPr>
          <w:p>
            <w:pPr>
              <w:spacing w:after="0"/>
              <w:rPr>
                <w:sz w:val="23"/>
                <w:szCs w:val="23"/>
                <w:color w:val="auto"/>
              </w:rPr>
            </w:pPr>
          </w:p>
        </w:tc>
        <w:tc>
          <w:tcPr>
            <w:tcW w:w="10780" w:type="dxa"/>
            <w:vAlign w:val="bottom"/>
            <w:gridSpan w:val="2"/>
          </w:tcPr>
          <w:p>
            <w:pPr>
              <w:ind w:left="200"/>
              <w:spacing w:after="0"/>
              <w:rPr>
                <w:sz w:val="20"/>
                <w:szCs w:val="20"/>
                <w:color w:val="auto"/>
              </w:rPr>
            </w:pPr>
            <w:r>
              <w:rPr>
                <w:rFonts w:ascii="Arial" w:cs="Arial" w:eastAsia="Arial" w:hAnsi="Arial"/>
                <w:sz w:val="22"/>
                <w:szCs w:val="22"/>
                <w:color w:val="auto"/>
              </w:rPr>
              <w:t>more Permitted Transferees and Trust 2 Trustee.</w:t>
            </w:r>
          </w:p>
        </w:tc>
      </w:tr>
    </w:tbl>
    <w:p>
      <w:pPr>
        <w:spacing w:after="0" w:line="165"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Section 3.</w:t>
      </w:r>
      <w:r>
        <w:rPr>
          <w:sz w:val="20"/>
          <w:szCs w:val="20"/>
          <w:color w:val="auto"/>
        </w:rPr>
        <w:tab/>
      </w:r>
      <w:r>
        <w:rPr>
          <w:rFonts w:ascii="Arial" w:cs="Arial" w:eastAsia="Arial" w:hAnsi="Arial"/>
          <w:sz w:val="19"/>
          <w:szCs w:val="19"/>
          <w:b w:val="1"/>
          <w:bCs w:val="1"/>
          <w:color w:val="auto"/>
        </w:rPr>
        <w:t>Voting Requirements.</w:t>
      </w:r>
    </w:p>
    <w:p>
      <w:pPr>
        <w:spacing w:after="0" w:line="212" w:lineRule="exact"/>
        <w:rPr>
          <w:sz w:val="20"/>
          <w:szCs w:val="20"/>
          <w:color w:val="auto"/>
        </w:rPr>
      </w:pPr>
    </w:p>
    <w:p>
      <w:pPr>
        <w:jc w:val="both"/>
        <w:ind w:right="20"/>
        <w:spacing w:after="0" w:line="241" w:lineRule="auto"/>
        <w:rPr>
          <w:sz w:val="20"/>
          <w:szCs w:val="20"/>
          <w:color w:val="auto"/>
        </w:rPr>
      </w:pPr>
      <w:r>
        <w:rPr>
          <w:rFonts w:ascii="Arial" w:cs="Arial" w:eastAsia="Arial" w:hAnsi="Arial"/>
          <w:sz w:val="20"/>
          <w:szCs w:val="20"/>
          <w:color w:val="auto"/>
        </w:rPr>
        <w:t xml:space="preserve">Upon the death of the Deceased Sister, (i) all Permitted Transferees of Voting Stock beneficially owned (as defined by Section 13d-3(a) of the Securities Exchange Act of 1934) by the Deceased Sister at the time of her death, and prior to the completion of the probate of the estate of the Deceased Sister, the executor of the estate of the Deceased Sister, (ii) all Permitted Holders (and expressly excluding any Third Party Transferees) and (iii) for clarity, any Successor Trustee of a trust that is a Permitted Transferee, in each case, shall vote all shares of Voting Stock owned or held of record by such party in all matters brought before a vote of holders of Voting Stock in the same manner as the Surviving Sister. The voting requirements of this Section 3 shall expire on the earlier of (a) the tenth (10 </w:t>
      </w:r>
      <w:r>
        <w:rPr>
          <w:rFonts w:ascii="Arial" w:cs="Arial" w:eastAsia="Arial" w:hAnsi="Arial"/>
          <w:sz w:val="32"/>
          <w:szCs w:val="32"/>
          <w:color w:val="auto"/>
          <w:vertAlign w:val="superscript"/>
        </w:rPr>
        <w:t>th</w:t>
      </w:r>
      <w:r>
        <w:rPr>
          <w:rFonts w:ascii="Arial" w:cs="Arial" w:eastAsia="Arial" w:hAnsi="Arial"/>
          <w:sz w:val="20"/>
          <w:szCs w:val="20"/>
          <w:color w:val="auto"/>
        </w:rPr>
        <w:t xml:space="preserve"> ) anniversary of the death of the Deceased Sister, (b) the death of the Surviving Sister, or (c) the termination of this Agreement as set forth in Section 5. For clarity, the voting requirements of this Section 3 shall not apply to Trust 2 Trustee or any Voting Stock held by Trust 2 Trustee.</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33" w:name="page34"/>
    <w:bookmarkEnd w:id="33"/>
    <w:p>
      <w:pPr>
        <w:spacing w:after="0"/>
        <w:tabs>
          <w:tab w:leader="none" w:pos="1340" w:val="left"/>
        </w:tabs>
        <w:rPr>
          <w:sz w:val="20"/>
          <w:szCs w:val="20"/>
          <w:color w:val="auto"/>
        </w:rPr>
      </w:pPr>
      <w:r>
        <w:rPr>
          <w:rFonts w:ascii="Arial" w:cs="Arial" w:eastAsia="Arial" w:hAnsi="Arial"/>
          <w:sz w:val="22"/>
          <w:szCs w:val="22"/>
          <w:b w:val="1"/>
          <w:bCs w:val="1"/>
          <w:color w:val="auto"/>
        </w:rPr>
        <w:t>Section 4.</w:t>
      </w:r>
      <w:r>
        <w:rPr>
          <w:sz w:val="20"/>
          <w:szCs w:val="20"/>
          <w:color w:val="auto"/>
        </w:rPr>
        <w:tab/>
      </w:r>
      <w:r>
        <w:rPr>
          <w:rFonts w:ascii="Arial" w:cs="Arial" w:eastAsia="Arial" w:hAnsi="Arial"/>
          <w:sz w:val="19"/>
          <w:szCs w:val="19"/>
          <w:b w:val="1"/>
          <w:bCs w:val="1"/>
          <w:color w:val="auto"/>
        </w:rPr>
        <w:t>Representations, Warranties and Covenants of Each of the Parties.</w:t>
      </w:r>
    </w:p>
    <w:p>
      <w:pPr>
        <w:spacing w:after="0" w:line="199"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Each holder, Contran and Trust 2 Trustee, as applicable, represents, warrants and covenants to each other holder, Contran and Trust 2 Trustee, as applicable, that the statements contained in this Section 4 are true, correct and complete as of the date of execution of this Agreement.</w:t>
      </w:r>
    </w:p>
    <w:p>
      <w:pPr>
        <w:spacing w:after="0" w:line="356" w:lineRule="exact"/>
        <w:rPr>
          <w:sz w:val="20"/>
          <w:szCs w:val="20"/>
          <w:color w:val="auto"/>
        </w:rPr>
      </w:pPr>
    </w:p>
    <w:p>
      <w:pPr>
        <w:jc w:val="both"/>
        <w:ind w:left="660" w:hanging="652"/>
        <w:spacing w:after="0" w:line="289" w:lineRule="auto"/>
        <w:tabs>
          <w:tab w:leader="none" w:pos="660" w:val="left"/>
        </w:tabs>
        <w:numPr>
          <w:ilvl w:val="0"/>
          <w:numId w:val="84"/>
        </w:numPr>
        <w:rPr>
          <w:rFonts w:ascii="Arial" w:cs="Arial" w:eastAsia="Arial" w:hAnsi="Arial"/>
          <w:sz w:val="19"/>
          <w:szCs w:val="19"/>
          <w:b w:val="1"/>
          <w:bCs w:val="1"/>
          <w:i w:val="1"/>
          <w:iCs w:val="1"/>
          <w:color w:val="auto"/>
        </w:rPr>
      </w:pPr>
      <w:r>
        <w:rPr>
          <w:rFonts w:ascii="Arial" w:cs="Arial" w:eastAsia="Arial" w:hAnsi="Arial"/>
          <w:sz w:val="19"/>
          <w:szCs w:val="19"/>
          <w:b w:val="1"/>
          <w:bCs w:val="1"/>
          <w:color w:val="auto"/>
        </w:rPr>
        <w:t xml:space="preserve">Power and Authority. </w:t>
      </w:r>
      <w:r>
        <w:rPr>
          <w:rFonts w:ascii="Arial" w:cs="Arial" w:eastAsia="Arial" w:hAnsi="Arial"/>
          <w:sz w:val="19"/>
          <w:szCs w:val="19"/>
          <w:color w:val="auto"/>
        </w:rPr>
        <w:t>The Holder, and each holder who later joins this Agreement, has the requisite power and authority</w:t>
      </w:r>
      <w:r>
        <w:rPr>
          <w:rFonts w:ascii="Arial" w:cs="Arial" w:eastAsia="Arial" w:hAnsi="Arial"/>
          <w:sz w:val="19"/>
          <w:szCs w:val="19"/>
          <w:b w:val="1"/>
          <w:bCs w:val="1"/>
          <w:color w:val="auto"/>
        </w:rPr>
        <w:t xml:space="preserve"> </w:t>
      </w:r>
      <w:r>
        <w:rPr>
          <w:rFonts w:ascii="Arial" w:cs="Arial" w:eastAsia="Arial" w:hAnsi="Arial"/>
          <w:sz w:val="19"/>
          <w:szCs w:val="19"/>
          <w:color w:val="auto"/>
        </w:rPr>
        <w:t>to execute and deliver this Agreement and to perform its obligations under this Agreement. This Agreement constitutes the valid and legally binding obligation of such Holder, and each holder who later joins this Agreement, enforceable against such Holder, and each holder who later joins this Agreement, in accordance with the terms of this Agreement.</w:t>
      </w:r>
    </w:p>
    <w:p>
      <w:pPr>
        <w:spacing w:after="0" w:line="311" w:lineRule="exact"/>
        <w:rPr>
          <w:rFonts w:ascii="Arial" w:cs="Arial" w:eastAsia="Arial" w:hAnsi="Arial"/>
          <w:sz w:val="19"/>
          <w:szCs w:val="19"/>
          <w:b w:val="1"/>
          <w:bCs w:val="1"/>
          <w:i w:val="1"/>
          <w:iCs w:val="1"/>
          <w:color w:val="auto"/>
        </w:rPr>
      </w:pPr>
    </w:p>
    <w:p>
      <w:pPr>
        <w:jc w:val="both"/>
        <w:ind w:left="660" w:hanging="652"/>
        <w:spacing w:after="0" w:line="247" w:lineRule="auto"/>
        <w:tabs>
          <w:tab w:leader="none" w:pos="660" w:val="left"/>
        </w:tabs>
        <w:numPr>
          <w:ilvl w:val="0"/>
          <w:numId w:val="84"/>
        </w:numPr>
        <w:rPr>
          <w:rFonts w:ascii="Arial" w:cs="Arial" w:eastAsia="Arial" w:hAnsi="Arial"/>
          <w:sz w:val="21"/>
          <w:szCs w:val="21"/>
          <w:b w:val="1"/>
          <w:bCs w:val="1"/>
          <w:i w:val="1"/>
          <w:iCs w:val="1"/>
          <w:color w:val="auto"/>
        </w:rPr>
      </w:pPr>
      <w:r>
        <w:rPr>
          <w:rFonts w:ascii="Arial" w:cs="Arial" w:eastAsia="Arial" w:hAnsi="Arial"/>
          <w:sz w:val="21"/>
          <w:szCs w:val="21"/>
          <w:b w:val="1"/>
          <w:bCs w:val="1"/>
          <w:color w:val="auto"/>
        </w:rPr>
        <w:t xml:space="preserve">Corporate Power and Authority. </w:t>
      </w:r>
      <w:r>
        <w:rPr>
          <w:rFonts w:ascii="Arial" w:cs="Arial" w:eastAsia="Arial" w:hAnsi="Arial"/>
          <w:sz w:val="21"/>
          <w:szCs w:val="21"/>
          <w:color w:val="auto"/>
        </w:rPr>
        <w:t>Contran and Trust 2 Trustee each respectively has all requisite corporate power and</w:t>
      </w:r>
      <w:r>
        <w:rPr>
          <w:rFonts w:ascii="Arial" w:cs="Arial" w:eastAsia="Arial" w:hAnsi="Arial"/>
          <w:sz w:val="21"/>
          <w:szCs w:val="21"/>
          <w:b w:val="1"/>
          <w:bCs w:val="1"/>
          <w:color w:val="auto"/>
        </w:rPr>
        <w:t xml:space="preserve"> </w:t>
      </w:r>
      <w:r>
        <w:rPr>
          <w:rFonts w:ascii="Arial" w:cs="Arial" w:eastAsia="Arial" w:hAnsi="Arial"/>
          <w:sz w:val="21"/>
          <w:szCs w:val="21"/>
          <w:color w:val="auto"/>
        </w:rPr>
        <w:t>authority to execute and deliver this Agreement and to perform its obligations under this Agreement. The execution and delivery of this Agreement and the performance by each of Contran and Trust 2 Trustee of its respective obligations hereunder, has been duly and validly authorized by all necessary corporate action. This Agreement constitutes the valid and legally binding obligation of each of Contran and Trust 2 Trustee and is enforceable against each of Contran and Trust 2 Trustee in accordance with its terms except as the same may be limited by bankruptcy, insolvency, reorganization, fraudulent conveyance, arrangement, moratorium or other similar law relating to or affecting the rights of creditors generally, or by general equitable principles.</w:t>
      </w:r>
    </w:p>
    <w:p>
      <w:pPr>
        <w:spacing w:after="0" w:line="333" w:lineRule="exact"/>
        <w:rPr>
          <w:rFonts w:ascii="Arial" w:cs="Arial" w:eastAsia="Arial" w:hAnsi="Arial"/>
          <w:sz w:val="21"/>
          <w:szCs w:val="21"/>
          <w:b w:val="1"/>
          <w:bCs w:val="1"/>
          <w:i w:val="1"/>
          <w:iCs w:val="1"/>
          <w:color w:val="auto"/>
        </w:rPr>
      </w:pPr>
    </w:p>
    <w:p>
      <w:pPr>
        <w:jc w:val="both"/>
        <w:ind w:left="660" w:hanging="652"/>
        <w:spacing w:after="0" w:line="239" w:lineRule="auto"/>
        <w:tabs>
          <w:tab w:leader="none" w:pos="660" w:val="left"/>
        </w:tabs>
        <w:numPr>
          <w:ilvl w:val="0"/>
          <w:numId w:val="84"/>
        </w:numPr>
        <w:rPr>
          <w:rFonts w:ascii="Arial" w:cs="Arial" w:eastAsia="Arial" w:hAnsi="Arial"/>
          <w:sz w:val="22"/>
          <w:szCs w:val="22"/>
          <w:b w:val="1"/>
          <w:bCs w:val="1"/>
          <w:i w:val="1"/>
          <w:iCs w:val="1"/>
          <w:color w:val="auto"/>
        </w:rPr>
      </w:pPr>
      <w:r>
        <w:rPr>
          <w:rFonts w:ascii="Arial" w:cs="Arial" w:eastAsia="Arial" w:hAnsi="Arial"/>
          <w:sz w:val="22"/>
          <w:szCs w:val="22"/>
          <w:b w:val="1"/>
          <w:bCs w:val="1"/>
          <w:color w:val="auto"/>
        </w:rPr>
        <w:t xml:space="preserve">Corporate or Legal Existence. </w:t>
      </w:r>
      <w:r>
        <w:rPr>
          <w:rFonts w:ascii="Arial" w:cs="Arial" w:eastAsia="Arial" w:hAnsi="Arial"/>
          <w:sz w:val="22"/>
          <w:szCs w:val="22"/>
          <w:color w:val="auto"/>
        </w:rPr>
        <w:t>Contran is a corporation duly formed, validly existing in good standing under the laws of</w:t>
      </w:r>
      <w:r>
        <w:rPr>
          <w:rFonts w:ascii="Arial" w:cs="Arial" w:eastAsia="Arial" w:hAnsi="Arial"/>
          <w:sz w:val="22"/>
          <w:szCs w:val="22"/>
          <w:b w:val="1"/>
          <w:bCs w:val="1"/>
          <w:color w:val="auto"/>
        </w:rPr>
        <w:t xml:space="preserve"> </w:t>
      </w:r>
      <w:r>
        <w:rPr>
          <w:rFonts w:ascii="Arial" w:cs="Arial" w:eastAsia="Arial" w:hAnsi="Arial"/>
          <w:sz w:val="22"/>
          <w:szCs w:val="22"/>
          <w:color w:val="auto"/>
        </w:rPr>
        <w:t>the State of Delaware. Trust 2 Trustee is a corporation duly formed, validly existing in good standing under the laws of the State of [Texas]. Each holder who later joins this Agreement, to the extent it is a trust or other entity, is validly existing under the laws of the jurisdiction of its formation.</w:t>
      </w:r>
    </w:p>
    <w:p>
      <w:pPr>
        <w:spacing w:after="0" w:line="342" w:lineRule="exact"/>
        <w:rPr>
          <w:rFonts w:ascii="Arial" w:cs="Arial" w:eastAsia="Arial" w:hAnsi="Arial"/>
          <w:sz w:val="22"/>
          <w:szCs w:val="22"/>
          <w:b w:val="1"/>
          <w:bCs w:val="1"/>
          <w:i w:val="1"/>
          <w:iCs w:val="1"/>
          <w:color w:val="auto"/>
        </w:rPr>
      </w:pPr>
    </w:p>
    <w:p>
      <w:pPr>
        <w:jc w:val="both"/>
        <w:ind w:left="660" w:hanging="652"/>
        <w:spacing w:after="0" w:line="236" w:lineRule="auto"/>
        <w:tabs>
          <w:tab w:leader="none" w:pos="660" w:val="left"/>
        </w:tabs>
        <w:numPr>
          <w:ilvl w:val="0"/>
          <w:numId w:val="84"/>
        </w:numPr>
        <w:rPr>
          <w:rFonts w:ascii="Arial" w:cs="Arial" w:eastAsia="Arial" w:hAnsi="Arial"/>
          <w:sz w:val="22"/>
          <w:szCs w:val="22"/>
          <w:b w:val="1"/>
          <w:bCs w:val="1"/>
          <w:i w:val="1"/>
          <w:iCs w:val="1"/>
          <w:color w:val="auto"/>
        </w:rPr>
      </w:pPr>
      <w:r>
        <w:rPr>
          <w:rFonts w:ascii="Arial" w:cs="Arial" w:eastAsia="Arial" w:hAnsi="Arial"/>
          <w:sz w:val="22"/>
          <w:szCs w:val="22"/>
          <w:b w:val="1"/>
          <w:bCs w:val="1"/>
          <w:color w:val="auto"/>
        </w:rPr>
        <w:t xml:space="preserve">Ownership. </w:t>
      </w:r>
      <w:r>
        <w:rPr>
          <w:rFonts w:ascii="Arial" w:cs="Arial" w:eastAsia="Arial" w:hAnsi="Arial"/>
          <w:sz w:val="22"/>
          <w:szCs w:val="22"/>
          <w:color w:val="auto"/>
        </w:rPr>
        <w:t>The Holder and Trust 2 Trustee, and each holder who later joins this Agreement, each owns beneficially or</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of record the shares of Voting Stock set forth opposite such party’s name on </w:t>
      </w:r>
      <w:r>
        <w:rPr>
          <w:rFonts w:ascii="Arial" w:cs="Arial" w:eastAsia="Arial" w:hAnsi="Arial"/>
          <w:sz w:val="22"/>
          <w:szCs w:val="22"/>
          <w:u w:val="single" w:color="auto"/>
          <w:color w:val="auto"/>
        </w:rPr>
        <w:t>Appendix A</w:t>
      </w:r>
      <w:r>
        <w:rPr>
          <w:rFonts w:ascii="Arial" w:cs="Arial" w:eastAsia="Arial" w:hAnsi="Arial"/>
          <w:sz w:val="22"/>
          <w:szCs w:val="22"/>
          <w:color w:val="auto"/>
        </w:rPr>
        <w:t xml:space="preserve"> attached hereto and has not transferred, sold or otherwise assigned such shares. While Contran may update </w:t>
      </w:r>
      <w:r>
        <w:rPr>
          <w:rFonts w:ascii="Arial" w:cs="Arial" w:eastAsia="Arial" w:hAnsi="Arial"/>
          <w:sz w:val="22"/>
          <w:szCs w:val="22"/>
          <w:u w:val="single" w:color="auto"/>
          <w:color w:val="auto"/>
        </w:rPr>
        <w:t>Appendix A</w:t>
      </w:r>
      <w:r>
        <w:rPr>
          <w:rFonts w:ascii="Arial" w:cs="Arial" w:eastAsia="Arial" w:hAnsi="Arial"/>
          <w:sz w:val="22"/>
          <w:szCs w:val="22"/>
          <w:color w:val="auto"/>
        </w:rPr>
        <w:t xml:space="preserve"> from time to time to reflect accurately the ownership of Voting Stock, each party’s representation and warranty of its ownership applies only to </w:t>
      </w:r>
      <w:r>
        <w:rPr>
          <w:rFonts w:ascii="Arial" w:cs="Arial" w:eastAsia="Arial" w:hAnsi="Arial"/>
          <w:sz w:val="22"/>
          <w:szCs w:val="22"/>
          <w:u w:val="single" w:color="auto"/>
          <w:color w:val="auto"/>
        </w:rPr>
        <w:t>Appendix A</w:t>
      </w:r>
      <w:r>
        <w:rPr>
          <w:rFonts w:ascii="Arial" w:cs="Arial" w:eastAsia="Arial" w:hAnsi="Arial"/>
          <w:sz w:val="22"/>
          <w:szCs w:val="22"/>
          <w:color w:val="auto"/>
        </w:rPr>
        <w:t xml:space="preserve"> as it exists at the time of such party’s execution of this Agreement (including a holder who later joins this Agreement).</w:t>
      </w:r>
    </w:p>
    <w:p>
      <w:pPr>
        <w:spacing w:after="0" w:line="357" w:lineRule="exact"/>
        <w:rPr>
          <w:rFonts w:ascii="Arial" w:cs="Arial" w:eastAsia="Arial" w:hAnsi="Arial"/>
          <w:sz w:val="22"/>
          <w:szCs w:val="22"/>
          <w:b w:val="1"/>
          <w:bCs w:val="1"/>
          <w:i w:val="1"/>
          <w:iCs w:val="1"/>
          <w:color w:val="auto"/>
        </w:rPr>
      </w:pPr>
    </w:p>
    <w:p>
      <w:pPr>
        <w:jc w:val="both"/>
        <w:ind w:left="660" w:hanging="652"/>
        <w:spacing w:after="0" w:line="239" w:lineRule="auto"/>
        <w:tabs>
          <w:tab w:leader="none" w:pos="660" w:val="left"/>
        </w:tabs>
        <w:numPr>
          <w:ilvl w:val="0"/>
          <w:numId w:val="84"/>
        </w:numPr>
        <w:rPr>
          <w:rFonts w:ascii="Arial" w:cs="Arial" w:eastAsia="Arial" w:hAnsi="Arial"/>
          <w:sz w:val="22"/>
          <w:szCs w:val="22"/>
          <w:b w:val="1"/>
          <w:bCs w:val="1"/>
          <w:i w:val="1"/>
          <w:iCs w:val="1"/>
          <w:color w:val="auto"/>
        </w:rPr>
      </w:pPr>
      <w:r>
        <w:rPr>
          <w:rFonts w:ascii="Arial" w:cs="Arial" w:eastAsia="Arial" w:hAnsi="Arial"/>
          <w:sz w:val="22"/>
          <w:szCs w:val="22"/>
          <w:b w:val="1"/>
          <w:bCs w:val="1"/>
          <w:color w:val="auto"/>
        </w:rPr>
        <w:t xml:space="preserve">Right to Vote. </w:t>
      </w:r>
      <w:r>
        <w:rPr>
          <w:rFonts w:ascii="Arial" w:cs="Arial" w:eastAsia="Arial" w:hAnsi="Arial"/>
          <w:sz w:val="22"/>
          <w:szCs w:val="22"/>
          <w:color w:val="auto"/>
        </w:rPr>
        <w:t>The Holder, subject to Section 3 hereof, Trust 2 Trustee and each holder who later joins this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each has the right to vote the Voting Stock set forth opposite such party’s name on </w:t>
      </w:r>
      <w:r>
        <w:rPr>
          <w:rFonts w:ascii="Arial" w:cs="Arial" w:eastAsia="Arial" w:hAnsi="Arial"/>
          <w:sz w:val="22"/>
          <w:szCs w:val="22"/>
          <w:u w:val="single" w:color="auto"/>
          <w:color w:val="auto"/>
        </w:rPr>
        <w:t>Appendix A,</w:t>
      </w:r>
      <w:r>
        <w:rPr>
          <w:rFonts w:ascii="Arial" w:cs="Arial" w:eastAsia="Arial" w:hAnsi="Arial"/>
          <w:sz w:val="22"/>
          <w:szCs w:val="22"/>
          <w:color w:val="auto"/>
        </w:rPr>
        <w:t xml:space="preserve"> and such party has not granted or otherwise assigned the right to vote or granted a proxy to any other person or entity with respect to such Voting Stock.</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34" w:name="page35"/>
    <w:bookmarkEnd w:id="34"/>
    <w:p>
      <w:pPr>
        <w:spacing w:after="0"/>
        <w:tabs>
          <w:tab w:leader="none" w:pos="1280" w:val="left"/>
        </w:tabs>
        <w:rPr>
          <w:sz w:val="20"/>
          <w:szCs w:val="20"/>
          <w:color w:val="auto"/>
        </w:rPr>
      </w:pPr>
      <w:r>
        <w:rPr>
          <w:rFonts w:ascii="Arial" w:cs="Arial" w:eastAsia="Arial" w:hAnsi="Arial"/>
          <w:sz w:val="22"/>
          <w:szCs w:val="22"/>
          <w:b w:val="1"/>
          <w:bCs w:val="1"/>
          <w:color w:val="auto"/>
        </w:rPr>
        <w:t>Section 5.</w:t>
      </w:r>
      <w:r>
        <w:rPr>
          <w:sz w:val="20"/>
          <w:szCs w:val="20"/>
          <w:color w:val="auto"/>
        </w:rPr>
        <w:tab/>
      </w:r>
      <w:r>
        <w:rPr>
          <w:rFonts w:ascii="Arial" w:cs="Arial" w:eastAsia="Arial" w:hAnsi="Arial"/>
          <w:sz w:val="19"/>
          <w:szCs w:val="19"/>
          <w:b w:val="1"/>
          <w:bCs w:val="1"/>
          <w:color w:val="auto"/>
        </w:rPr>
        <w:t>Miscellaneous.</w:t>
      </w:r>
    </w:p>
    <w:p>
      <w:pPr>
        <w:spacing w:after="0" w:line="395" w:lineRule="exact"/>
        <w:rPr>
          <w:sz w:val="20"/>
          <w:szCs w:val="20"/>
          <w:color w:val="auto"/>
        </w:rPr>
      </w:pPr>
    </w:p>
    <w:p>
      <w:pPr>
        <w:ind w:left="660" w:hanging="652"/>
        <w:spacing w:after="0" w:line="256" w:lineRule="auto"/>
        <w:tabs>
          <w:tab w:leader="none" w:pos="660" w:val="left"/>
        </w:tabs>
        <w:numPr>
          <w:ilvl w:val="0"/>
          <w:numId w:val="8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Headings. </w:t>
      </w:r>
      <w:r>
        <w:rPr>
          <w:rFonts w:ascii="Arial" w:cs="Arial" w:eastAsia="Arial" w:hAnsi="Arial"/>
          <w:sz w:val="22"/>
          <w:szCs w:val="22"/>
          <w:color w:val="auto"/>
        </w:rPr>
        <w:t>The captions used in this Agreement are for the convenience of the parties and shall not affect the</w:t>
      </w:r>
      <w:r>
        <w:rPr>
          <w:rFonts w:ascii="Arial" w:cs="Arial" w:eastAsia="Arial" w:hAnsi="Arial"/>
          <w:sz w:val="22"/>
          <w:szCs w:val="22"/>
          <w:b w:val="1"/>
          <w:bCs w:val="1"/>
          <w:color w:val="auto"/>
        </w:rPr>
        <w:t xml:space="preserve"> </w:t>
      </w:r>
      <w:r>
        <w:rPr>
          <w:rFonts w:ascii="Arial" w:cs="Arial" w:eastAsia="Arial" w:hAnsi="Arial"/>
          <w:sz w:val="22"/>
          <w:szCs w:val="22"/>
          <w:color w:val="auto"/>
        </w:rPr>
        <w:t>interpretation of this Agreement.</w:t>
      </w:r>
    </w:p>
    <w:p>
      <w:pPr>
        <w:spacing w:after="0" w:line="337" w:lineRule="exact"/>
        <w:rPr>
          <w:rFonts w:ascii="Arial" w:cs="Arial" w:eastAsia="Arial" w:hAnsi="Arial"/>
          <w:sz w:val="22"/>
          <w:szCs w:val="22"/>
          <w:b w:val="1"/>
          <w:bCs w:val="1"/>
          <w:color w:val="auto"/>
        </w:rPr>
      </w:pPr>
    </w:p>
    <w:p>
      <w:pPr>
        <w:jc w:val="both"/>
        <w:ind w:left="660" w:hanging="652"/>
        <w:spacing w:after="0" w:line="280" w:lineRule="auto"/>
        <w:tabs>
          <w:tab w:leader="none" w:pos="660" w:val="left"/>
        </w:tabs>
        <w:numPr>
          <w:ilvl w:val="0"/>
          <w:numId w:val="8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Governing Law. </w:t>
      </w:r>
      <w:r>
        <w:rPr>
          <w:rFonts w:ascii="Arial" w:cs="Arial" w:eastAsia="Arial" w:hAnsi="Arial"/>
          <w:sz w:val="19"/>
          <w:szCs w:val="19"/>
          <w:color w:val="auto"/>
        </w:rPr>
        <w:t>This Agreement shall be governed by and construed in accordance with the domestic laws of the state of</w:t>
      </w:r>
      <w:r>
        <w:rPr>
          <w:rFonts w:ascii="Arial" w:cs="Arial" w:eastAsia="Arial" w:hAnsi="Arial"/>
          <w:sz w:val="19"/>
          <w:szCs w:val="19"/>
          <w:b w:val="1"/>
          <w:bCs w:val="1"/>
          <w:color w:val="auto"/>
        </w:rPr>
        <w:t xml:space="preserve"> </w:t>
      </w:r>
      <w:r>
        <w:rPr>
          <w:rFonts w:ascii="Arial" w:cs="Arial" w:eastAsia="Arial" w:hAnsi="Arial"/>
          <w:sz w:val="19"/>
          <w:szCs w:val="19"/>
          <w:color w:val="auto"/>
        </w:rPr>
        <w:t>Delaware, without giving effect to any choice of law or conflict of law provision or rule (whether of the state of Delaware</w:t>
      </w:r>
    </w:p>
    <w:p>
      <w:pPr>
        <w:jc w:val="both"/>
        <w:ind w:left="660"/>
        <w:spacing w:after="0" w:line="287" w:lineRule="auto"/>
        <w:rPr>
          <w:sz w:val="20"/>
          <w:szCs w:val="20"/>
          <w:color w:val="auto"/>
        </w:rPr>
      </w:pPr>
      <w:r>
        <w:rPr>
          <w:rFonts w:ascii="Arial" w:cs="Arial" w:eastAsia="Arial" w:hAnsi="Arial"/>
          <w:sz w:val="19"/>
          <w:szCs w:val="19"/>
          <w:color w:val="auto"/>
        </w:rPr>
        <w:t>or any other jurisdiction) that would cause the application of the laws of any jurisdiction other than the state of Delaware. This Agreement is intended to be a voting agreement described in Section 218(c) of the General Corporation Law of the State of Delaware and shall be governed and interpreted in accordance with such provision.</w:t>
      </w:r>
    </w:p>
    <w:p>
      <w:pPr>
        <w:spacing w:after="0" w:line="326" w:lineRule="exact"/>
        <w:rPr>
          <w:sz w:val="20"/>
          <w:szCs w:val="20"/>
          <w:color w:val="auto"/>
        </w:rPr>
      </w:pPr>
    </w:p>
    <w:p>
      <w:pPr>
        <w:jc w:val="both"/>
        <w:ind w:left="660" w:hanging="652"/>
        <w:spacing w:after="0" w:line="239" w:lineRule="auto"/>
        <w:tabs>
          <w:tab w:leader="none" w:pos="660" w:val="left"/>
        </w:tabs>
        <w:numPr>
          <w:ilvl w:val="0"/>
          <w:numId w:val="86"/>
        </w:numPr>
        <w:rPr>
          <w:rFonts w:ascii="Arial" w:cs="Arial" w:eastAsia="Arial" w:hAnsi="Arial"/>
          <w:sz w:val="22"/>
          <w:szCs w:val="22"/>
          <w:b w:val="1"/>
          <w:bCs w:val="1"/>
          <w:i w:val="1"/>
          <w:iCs w:val="1"/>
          <w:color w:val="auto"/>
        </w:rPr>
      </w:pPr>
      <w:r>
        <w:rPr>
          <w:rFonts w:ascii="Arial" w:cs="Arial" w:eastAsia="Arial" w:hAnsi="Arial"/>
          <w:sz w:val="22"/>
          <w:szCs w:val="22"/>
          <w:b w:val="1"/>
          <w:bCs w:val="1"/>
          <w:color w:val="auto"/>
        </w:rPr>
        <w:t xml:space="preserve">Severability. </w:t>
      </w:r>
      <w:r>
        <w:rPr>
          <w:rFonts w:ascii="Arial" w:cs="Arial" w:eastAsia="Arial" w:hAnsi="Arial"/>
          <w:sz w:val="22"/>
          <w:szCs w:val="22"/>
          <w:color w:val="auto"/>
        </w:rPr>
        <w:t>The invalidity of all or any part of any section of this Agreement shall not render invalid the remainder of</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or the remainder of such section. If any provision of this Agreement is so broad as to be unenforceable, such provision shall be interpreted to be only so broad as is enforceable and, if possible, most consistent with the parties' intent.</w:t>
      </w:r>
    </w:p>
    <w:p>
      <w:pPr>
        <w:spacing w:after="0" w:line="396" w:lineRule="exact"/>
        <w:rPr>
          <w:rFonts w:ascii="Arial" w:cs="Arial" w:eastAsia="Arial" w:hAnsi="Arial"/>
          <w:sz w:val="22"/>
          <w:szCs w:val="22"/>
          <w:b w:val="1"/>
          <w:bCs w:val="1"/>
          <w:i w:val="1"/>
          <w:iCs w:val="1"/>
          <w:color w:val="auto"/>
        </w:rPr>
      </w:pPr>
    </w:p>
    <w:p>
      <w:pPr>
        <w:ind w:left="660" w:hanging="652"/>
        <w:spacing w:after="0" w:line="256" w:lineRule="auto"/>
        <w:tabs>
          <w:tab w:leader="none" w:pos="660" w:val="left"/>
        </w:tabs>
        <w:numPr>
          <w:ilvl w:val="0"/>
          <w:numId w:val="86"/>
        </w:numPr>
        <w:rPr>
          <w:rFonts w:ascii="Arial" w:cs="Arial" w:eastAsia="Arial" w:hAnsi="Arial"/>
          <w:sz w:val="22"/>
          <w:szCs w:val="22"/>
          <w:b w:val="1"/>
          <w:bCs w:val="1"/>
          <w:i w:val="1"/>
          <w:iCs w:val="1"/>
          <w:color w:val="auto"/>
        </w:rPr>
      </w:pPr>
      <w:r>
        <w:rPr>
          <w:rFonts w:ascii="Arial" w:cs="Arial" w:eastAsia="Arial" w:hAnsi="Arial"/>
          <w:sz w:val="22"/>
          <w:szCs w:val="22"/>
          <w:b w:val="1"/>
          <w:bCs w:val="1"/>
          <w:color w:val="auto"/>
        </w:rPr>
        <w:t xml:space="preserve">Counterparts. </w:t>
      </w:r>
      <w:r>
        <w:rPr>
          <w:rFonts w:ascii="Arial" w:cs="Arial" w:eastAsia="Arial" w:hAnsi="Arial"/>
          <w:sz w:val="22"/>
          <w:szCs w:val="22"/>
          <w:color w:val="auto"/>
        </w:rPr>
        <w:t>This Agreement may be executed in one or more counterparts, each of which shall be deemed an original,</w:t>
      </w:r>
      <w:r>
        <w:rPr>
          <w:rFonts w:ascii="Arial" w:cs="Arial" w:eastAsia="Arial" w:hAnsi="Arial"/>
          <w:sz w:val="22"/>
          <w:szCs w:val="22"/>
          <w:b w:val="1"/>
          <w:bCs w:val="1"/>
          <w:color w:val="auto"/>
        </w:rPr>
        <w:t xml:space="preserve"> </w:t>
      </w:r>
      <w:r>
        <w:rPr>
          <w:rFonts w:ascii="Arial" w:cs="Arial" w:eastAsia="Arial" w:hAnsi="Arial"/>
          <w:sz w:val="22"/>
          <w:szCs w:val="22"/>
          <w:color w:val="auto"/>
        </w:rPr>
        <w:t>but all of which together shall constitute one and the same instrument.</w:t>
      </w:r>
    </w:p>
    <w:p>
      <w:pPr>
        <w:spacing w:after="0" w:line="364" w:lineRule="exact"/>
        <w:rPr>
          <w:rFonts w:ascii="Arial" w:cs="Arial" w:eastAsia="Arial" w:hAnsi="Arial"/>
          <w:sz w:val="22"/>
          <w:szCs w:val="22"/>
          <w:b w:val="1"/>
          <w:bCs w:val="1"/>
          <w:i w:val="1"/>
          <w:iCs w:val="1"/>
          <w:color w:val="auto"/>
        </w:rPr>
      </w:pPr>
    </w:p>
    <w:p>
      <w:pPr>
        <w:jc w:val="both"/>
        <w:ind w:left="660" w:hanging="652"/>
        <w:spacing w:after="0" w:line="283" w:lineRule="auto"/>
        <w:tabs>
          <w:tab w:leader="none" w:pos="660" w:val="left"/>
        </w:tabs>
        <w:numPr>
          <w:ilvl w:val="0"/>
          <w:numId w:val="86"/>
        </w:numPr>
        <w:rPr>
          <w:rFonts w:ascii="Arial" w:cs="Arial" w:eastAsia="Arial" w:hAnsi="Arial"/>
          <w:sz w:val="19"/>
          <w:szCs w:val="19"/>
          <w:b w:val="1"/>
          <w:bCs w:val="1"/>
          <w:i w:val="1"/>
          <w:iCs w:val="1"/>
          <w:color w:val="auto"/>
        </w:rPr>
      </w:pPr>
      <w:r>
        <w:rPr>
          <w:rFonts w:ascii="Arial" w:cs="Arial" w:eastAsia="Arial" w:hAnsi="Arial"/>
          <w:sz w:val="19"/>
          <w:szCs w:val="19"/>
          <w:b w:val="1"/>
          <w:bCs w:val="1"/>
          <w:color w:val="auto"/>
        </w:rPr>
        <w:t xml:space="preserve">Entire Agreement; Amendment; Termination. </w:t>
      </w:r>
      <w:r>
        <w:rPr>
          <w:rFonts w:ascii="Arial" w:cs="Arial" w:eastAsia="Arial" w:hAnsi="Arial"/>
          <w:sz w:val="19"/>
          <w:szCs w:val="19"/>
          <w:color w:val="auto"/>
        </w:rPr>
        <w:t>This Agreement constitutes the entire agreement of the parties, merges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all prior discussions among them respecting the subject matter of this Agreement and amends, restates and replaces in its entirety the Stockholders Agreement. Contran may update </w:t>
      </w:r>
      <w:r>
        <w:rPr>
          <w:rFonts w:ascii="Arial" w:cs="Arial" w:eastAsia="Arial" w:hAnsi="Arial"/>
          <w:sz w:val="19"/>
          <w:szCs w:val="19"/>
          <w:u w:val="single" w:color="auto"/>
          <w:color w:val="auto"/>
        </w:rPr>
        <w:t>Appendix A</w:t>
      </w:r>
      <w:r>
        <w:rPr>
          <w:rFonts w:ascii="Arial" w:cs="Arial" w:eastAsia="Arial" w:hAnsi="Arial"/>
          <w:sz w:val="19"/>
          <w:szCs w:val="19"/>
          <w:color w:val="auto"/>
        </w:rPr>
        <w:t xml:space="preserve"> at any time to reflect accurately the ownership of Voting Stock. This Agreement may be amended, modified or terminated only upon the affirmative vote of the holders of two thirds (2/3) of the Voting Stock outstanding at the time of such amendment, modification or termination.</w:t>
      </w:r>
    </w:p>
    <w:p>
      <w:pPr>
        <w:spacing w:after="0" w:line="143" w:lineRule="exact"/>
        <w:rPr>
          <w:sz w:val="20"/>
          <w:szCs w:val="20"/>
          <w:color w:val="auto"/>
        </w:rPr>
      </w:pPr>
    </w:p>
    <w:p>
      <w:pPr>
        <w:jc w:val="both"/>
        <w:ind w:left="660" w:hanging="539"/>
        <w:spacing w:after="0" w:line="243" w:lineRule="auto"/>
        <w:tabs>
          <w:tab w:leader="none" w:pos="640" w:val="left"/>
        </w:tabs>
        <w:rPr>
          <w:sz w:val="20"/>
          <w:szCs w:val="20"/>
          <w:color w:val="auto"/>
        </w:rPr>
      </w:pPr>
      <w:r>
        <w:rPr>
          <w:rFonts w:ascii="Arial" w:cs="Arial" w:eastAsia="Arial" w:hAnsi="Arial"/>
          <w:sz w:val="22"/>
          <w:szCs w:val="22"/>
          <w:b w:val="1"/>
          <w:bCs w:val="1"/>
          <w:i w:val="1"/>
          <w:iCs w:val="1"/>
          <w:color w:val="auto"/>
        </w:rPr>
        <w:t>(f)</w:t>
      </w:r>
      <w:r>
        <w:rPr>
          <w:sz w:val="20"/>
          <w:szCs w:val="20"/>
          <w:color w:val="auto"/>
        </w:rPr>
        <w:tab/>
      </w:r>
      <w:r>
        <w:rPr>
          <w:rFonts w:ascii="Arial" w:cs="Arial" w:eastAsia="Arial" w:hAnsi="Arial"/>
          <w:sz w:val="22"/>
          <w:szCs w:val="22"/>
          <w:b w:val="1"/>
          <w:bCs w:val="1"/>
          <w:color w:val="auto"/>
        </w:rPr>
        <w:t xml:space="preserve">Acts, Amendment or Termination in Event of Incapacity. </w:t>
      </w:r>
      <w:r>
        <w:rPr>
          <w:rFonts w:ascii="Arial" w:cs="Arial" w:eastAsia="Arial" w:hAnsi="Arial"/>
          <w:sz w:val="22"/>
          <w:szCs w:val="22"/>
          <w:color w:val="auto"/>
        </w:rPr>
        <w:t>In the event of the incapacity of any party to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the duly appointed attorney-in-fact for such incapacitated party may act for such party, including expressly for the amendment or termination of this Agreement.</w:t>
      </w:r>
    </w:p>
    <w:p>
      <w:pPr>
        <w:spacing w:after="0" w:line="177" w:lineRule="exact"/>
        <w:rPr>
          <w:sz w:val="20"/>
          <w:szCs w:val="20"/>
          <w:color w:val="auto"/>
        </w:rPr>
      </w:pPr>
    </w:p>
    <w:p>
      <w:pPr>
        <w:spacing w:after="0"/>
        <w:tabs>
          <w:tab w:leader="none" w:pos="640" w:val="left"/>
          <w:tab w:leader="none" w:pos="7880" w:val="left"/>
        </w:tabs>
        <w:rPr>
          <w:sz w:val="20"/>
          <w:szCs w:val="20"/>
          <w:color w:val="auto"/>
        </w:rPr>
      </w:pPr>
      <w:r>
        <w:rPr>
          <w:rFonts w:ascii="Arial" w:cs="Arial" w:eastAsia="Arial" w:hAnsi="Arial"/>
          <w:sz w:val="22"/>
          <w:szCs w:val="22"/>
          <w:b w:val="1"/>
          <w:bCs w:val="1"/>
          <w:i w:val="1"/>
          <w:iCs w:val="1"/>
          <w:color w:val="auto"/>
        </w:rPr>
        <w:t>(g)</w:t>
      </w:r>
      <w:r>
        <w:rPr>
          <w:sz w:val="20"/>
          <w:szCs w:val="20"/>
          <w:color w:val="auto"/>
        </w:rPr>
        <w:tab/>
      </w:r>
      <w:r>
        <w:rPr>
          <w:rFonts w:ascii="Arial" w:cs="Arial" w:eastAsia="Arial" w:hAnsi="Arial"/>
          <w:sz w:val="22"/>
          <w:szCs w:val="22"/>
          <w:b w:val="1"/>
          <w:bCs w:val="1"/>
          <w:color w:val="auto"/>
        </w:rPr>
        <w:t xml:space="preserve">Successors and Assigns. </w:t>
      </w:r>
      <w:r>
        <w:rPr>
          <w:rFonts w:ascii="Arial" w:cs="Arial" w:eastAsia="Arial" w:hAnsi="Arial"/>
          <w:sz w:val="22"/>
          <w:szCs w:val="22"/>
          <w:color w:val="auto"/>
        </w:rPr>
        <w:t>The rights and obligations of Sections 1 and 2 of this</w:t>
      </w:r>
      <w:r>
        <w:rPr>
          <w:sz w:val="20"/>
          <w:szCs w:val="20"/>
          <w:color w:val="auto"/>
        </w:rPr>
        <w:tab/>
      </w:r>
      <w:r>
        <w:rPr>
          <w:rFonts w:ascii="Arial" w:cs="Arial" w:eastAsia="Arial" w:hAnsi="Arial"/>
          <w:sz w:val="19"/>
          <w:szCs w:val="19"/>
          <w:color w:val="auto"/>
        </w:rPr>
        <w:t>Agreement shall be binding upon and</w:t>
      </w:r>
    </w:p>
    <w:p>
      <w:pPr>
        <w:spacing w:after="0" w:line="14" w:lineRule="exact"/>
        <w:rPr>
          <w:sz w:val="20"/>
          <w:szCs w:val="20"/>
          <w:color w:val="auto"/>
        </w:rPr>
      </w:pPr>
    </w:p>
    <w:p>
      <w:pPr>
        <w:jc w:val="both"/>
        <w:ind w:left="660"/>
        <w:spacing w:after="0" w:line="280" w:lineRule="auto"/>
        <w:rPr>
          <w:sz w:val="20"/>
          <w:szCs w:val="20"/>
          <w:color w:val="auto"/>
        </w:rPr>
      </w:pPr>
      <w:r>
        <w:rPr>
          <w:rFonts w:ascii="Arial" w:cs="Arial" w:eastAsia="Arial" w:hAnsi="Arial"/>
          <w:sz w:val="19"/>
          <w:szCs w:val="19"/>
          <w:color w:val="auto"/>
        </w:rPr>
        <w:t>inure to the benefit of the respective successors and permitted assigns of the parties hereto as contemplated herein. Any successor to Contran or Trust 2 Trustee by way of merger or otherwise shall specifically agree to be bound by the terms hereof as a condition of such successor. No party may assign its rights or obligations under this Agreement without the written consent of each living Holder, Trust 2 Trustee and all Permitted Holders at such time.</w:t>
      </w:r>
    </w:p>
    <w:p>
      <w:pPr>
        <w:spacing w:after="0" w:line="144" w:lineRule="exact"/>
        <w:rPr>
          <w:sz w:val="20"/>
          <w:szCs w:val="20"/>
          <w:color w:val="auto"/>
        </w:rPr>
      </w:pPr>
    </w:p>
    <w:p>
      <w:pPr>
        <w:jc w:val="both"/>
        <w:ind w:left="660" w:hanging="652"/>
        <w:spacing w:after="0" w:line="283" w:lineRule="auto"/>
        <w:tabs>
          <w:tab w:leader="none" w:pos="660" w:val="left"/>
        </w:tabs>
        <w:numPr>
          <w:ilvl w:val="0"/>
          <w:numId w:val="87"/>
        </w:numPr>
        <w:rPr>
          <w:rFonts w:ascii="Arial" w:cs="Arial" w:eastAsia="Arial" w:hAnsi="Arial"/>
          <w:sz w:val="19"/>
          <w:szCs w:val="19"/>
          <w:b w:val="1"/>
          <w:bCs w:val="1"/>
          <w:i w:val="1"/>
          <w:iCs w:val="1"/>
          <w:color w:val="auto"/>
        </w:rPr>
      </w:pPr>
      <w:r>
        <w:rPr>
          <w:rFonts w:ascii="Arial" w:cs="Arial" w:eastAsia="Arial" w:hAnsi="Arial"/>
          <w:sz w:val="19"/>
          <w:szCs w:val="19"/>
          <w:b w:val="1"/>
          <w:bCs w:val="1"/>
          <w:color w:val="auto"/>
        </w:rPr>
        <w:t xml:space="preserve">Third Party Beneficiaries. </w:t>
      </w:r>
      <w:r>
        <w:rPr>
          <w:rFonts w:ascii="Arial" w:cs="Arial" w:eastAsia="Arial" w:hAnsi="Arial"/>
          <w:sz w:val="19"/>
          <w:szCs w:val="19"/>
          <w:color w:val="auto"/>
        </w:rPr>
        <w:t>The Permitted Holders are third party beneficiaries of this Agreement and are entitled to the</w:t>
      </w:r>
      <w:r>
        <w:rPr>
          <w:rFonts w:ascii="Arial" w:cs="Arial" w:eastAsia="Arial" w:hAnsi="Arial"/>
          <w:sz w:val="19"/>
          <w:szCs w:val="19"/>
          <w:b w:val="1"/>
          <w:bCs w:val="1"/>
          <w:color w:val="auto"/>
        </w:rPr>
        <w:t xml:space="preserve"> </w:t>
      </w:r>
      <w:r>
        <w:rPr>
          <w:rFonts w:ascii="Arial" w:cs="Arial" w:eastAsia="Arial" w:hAnsi="Arial"/>
          <w:sz w:val="19"/>
          <w:szCs w:val="19"/>
          <w:color w:val="auto"/>
        </w:rPr>
        <w:t>rights and benefits hereof and may enforce the provisions of this Agreement as if a party hereto. Except as set forth in the previous sentence, no provision of this Agreement is intended, nor shall it be interpreted, to provide or create any third party beneficiary rights or any other rights of any kind in any other person or entity, including a Third Party Transferee, notwithstanding the obligations imposed upon Third Party Transferees by this Agreement.</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5" w:name="page36"/>
    <w:bookmarkEnd w:id="35"/>
    <w:p>
      <w:pPr>
        <w:jc w:val="both"/>
        <w:ind w:left="660" w:hanging="652"/>
        <w:spacing w:after="0" w:line="239" w:lineRule="auto"/>
        <w:tabs>
          <w:tab w:leader="none" w:pos="660" w:val="left"/>
        </w:tabs>
        <w:numPr>
          <w:ilvl w:val="0"/>
          <w:numId w:val="88"/>
        </w:numPr>
        <w:rPr>
          <w:rFonts w:ascii="Arial" w:cs="Arial" w:eastAsia="Arial" w:hAnsi="Arial"/>
          <w:sz w:val="22"/>
          <w:szCs w:val="22"/>
          <w:b w:val="1"/>
          <w:bCs w:val="1"/>
          <w:i w:val="1"/>
          <w:iCs w:val="1"/>
          <w:color w:val="auto"/>
        </w:rPr>
      </w:pPr>
      <w:r>
        <w:rPr>
          <w:rFonts w:ascii="Arial" w:cs="Arial" w:eastAsia="Arial" w:hAnsi="Arial"/>
          <w:sz w:val="22"/>
          <w:szCs w:val="22"/>
          <w:b w:val="1"/>
          <w:bCs w:val="1"/>
          <w:color w:val="auto"/>
        </w:rPr>
        <w:t xml:space="preserve">Dividends. </w:t>
      </w:r>
      <w:r>
        <w:rPr>
          <w:rFonts w:ascii="Arial" w:cs="Arial" w:eastAsia="Arial" w:hAnsi="Arial"/>
          <w:sz w:val="22"/>
          <w:szCs w:val="22"/>
          <w:color w:val="auto"/>
        </w:rPr>
        <w:t>Trust 2 and each holder shall retain all rights to receive dividends and other distributions with respect to the</w:t>
      </w:r>
      <w:r>
        <w:rPr>
          <w:rFonts w:ascii="Arial" w:cs="Arial" w:eastAsia="Arial" w:hAnsi="Arial"/>
          <w:sz w:val="22"/>
          <w:szCs w:val="22"/>
          <w:b w:val="1"/>
          <w:bCs w:val="1"/>
          <w:color w:val="auto"/>
        </w:rPr>
        <w:t xml:space="preserve"> </w:t>
      </w:r>
      <w:r>
        <w:rPr>
          <w:rFonts w:ascii="Arial" w:cs="Arial" w:eastAsia="Arial" w:hAnsi="Arial"/>
          <w:sz w:val="22"/>
          <w:szCs w:val="22"/>
          <w:color w:val="auto"/>
        </w:rPr>
        <w:t>Voting Stock held by them, and nothing in this Agreement shall be construed to impair or alter the rights of Trust 2 and holders to receive dividends and other distributions in respect of their Voting Stock prior to the termination of this Agreement.</w:t>
      </w:r>
    </w:p>
    <w:p>
      <w:pPr>
        <w:spacing w:after="0" w:line="180" w:lineRule="exact"/>
        <w:rPr>
          <w:rFonts w:ascii="Arial" w:cs="Arial" w:eastAsia="Arial" w:hAnsi="Arial"/>
          <w:sz w:val="22"/>
          <w:szCs w:val="22"/>
          <w:b w:val="1"/>
          <w:bCs w:val="1"/>
          <w:i w:val="1"/>
          <w:iCs w:val="1"/>
          <w:color w:val="auto"/>
        </w:rPr>
      </w:pPr>
    </w:p>
    <w:p>
      <w:pPr>
        <w:jc w:val="both"/>
        <w:ind w:left="660" w:hanging="652"/>
        <w:spacing w:after="0" w:line="273" w:lineRule="auto"/>
        <w:tabs>
          <w:tab w:leader="none" w:pos="660" w:val="left"/>
        </w:tabs>
        <w:numPr>
          <w:ilvl w:val="0"/>
          <w:numId w:val="88"/>
        </w:numPr>
        <w:rPr>
          <w:rFonts w:ascii="Arial" w:cs="Arial" w:eastAsia="Arial" w:hAnsi="Arial"/>
          <w:sz w:val="19"/>
          <w:szCs w:val="19"/>
          <w:b w:val="1"/>
          <w:bCs w:val="1"/>
          <w:i w:val="1"/>
          <w:iCs w:val="1"/>
          <w:color w:val="auto"/>
        </w:rPr>
      </w:pPr>
      <w:r>
        <w:rPr>
          <w:rFonts w:ascii="Arial" w:cs="Arial" w:eastAsia="Arial" w:hAnsi="Arial"/>
          <w:sz w:val="19"/>
          <w:szCs w:val="19"/>
          <w:b w:val="1"/>
          <w:bCs w:val="1"/>
          <w:color w:val="auto"/>
        </w:rPr>
        <w:t xml:space="preserve">Specific Performance. </w:t>
      </w:r>
      <w:r>
        <w:rPr>
          <w:rFonts w:ascii="Arial" w:cs="Arial" w:eastAsia="Arial" w:hAnsi="Arial"/>
          <w:sz w:val="19"/>
          <w:szCs w:val="19"/>
          <w:color w:val="auto"/>
        </w:rPr>
        <w:t>Trust 2 Trustee and each holder hereby declares that it would be impossible to measure in money</w:t>
      </w:r>
      <w:r>
        <w:rPr>
          <w:rFonts w:ascii="Arial" w:cs="Arial" w:eastAsia="Arial" w:hAnsi="Arial"/>
          <w:sz w:val="19"/>
          <w:szCs w:val="19"/>
          <w:b w:val="1"/>
          <w:bCs w:val="1"/>
          <w:color w:val="auto"/>
        </w:rPr>
        <w:t xml:space="preserve"> </w:t>
      </w:r>
      <w:r>
        <w:rPr>
          <w:rFonts w:ascii="Arial" w:cs="Arial" w:eastAsia="Arial" w:hAnsi="Arial"/>
          <w:sz w:val="19"/>
          <w:szCs w:val="19"/>
          <w:color w:val="auto"/>
        </w:rPr>
        <w:t>the damages that would accrue to all other holders by reason of Trust 2 Trustee’s or any holder's failure to perform any of its obligations imposed by this Agreement, and that Trust 2 Trustee and all other holders, as applicable, would be irreparably harmed. Therefore, Trust 2 Trustee and each holder acknowledges and agrees that Trust 2 Trustee and any injured holder, as applicable, shall be entitled to specific performance and/or injunctive relief without the posting of a bond or other security, in addition to whatever rights or remedies may exist in the injured party's favor, in any court of competent jurisdiction to force compliance with, or prevent any violation of, the terms of this Agreement. If Trust 2 Trustee or any holder, as applicable, shall institute any action or proceeding to enforce the terms of this Agreement, Trust 2 Trustee or the holder, as applicable, against whom such action or proceeding is brought hereby waives, and agrees not to assert, any claim or defense therein that the plaintiff has an adequate remedy at law. The injured Trust 2 Trustee or holder, as applicable, shall be entitled to seek recovery of all of its reasonable costs and expenses incurred in obtaining specific performance (including, without limitation, reasonably attorneys'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[REMAINDER OF PAGE INTENTIONALLY LEFT BLANK]</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36" w:name="page37"/>
    <w:bookmarkEnd w:id="36"/>
    <w:p>
      <w:pPr>
        <w:jc w:val="both"/>
        <w:ind w:right="20" w:firstLine="648"/>
        <w:spacing w:after="0" w:line="249" w:lineRule="auto"/>
        <w:rPr>
          <w:sz w:val="20"/>
          <w:szCs w:val="20"/>
          <w:color w:val="auto"/>
        </w:rPr>
      </w:pPr>
      <w:r>
        <w:rPr>
          <w:rFonts w:ascii="Arial" w:cs="Arial" w:eastAsia="Arial" w:hAnsi="Arial"/>
          <w:sz w:val="21"/>
          <w:szCs w:val="21"/>
          <w:color w:val="auto"/>
        </w:rPr>
        <w:t>The parties have executed this Agreement, as applicable, individually or through their respective duly authorized officers or agents, as of the date first written above. Future parties joining this Agreement will execute this Agreement, as applicable, individually or through their respective duly authorized officers or agents, as of the dates indicated upon their joinder to this Agreement. To the extent that an individual indicated below is signing on behalf of a trust, such individual by signing below is acting only in the capacity as a trustee or co-trustee of such trust, as applicable.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560" w:type="dxa"/>
            <w:vAlign w:val="bottom"/>
            <w:gridSpan w:val="2"/>
          </w:tcPr>
          <w:p>
            <w:pPr>
              <w:spacing w:after="0"/>
              <w:rPr>
                <w:sz w:val="20"/>
                <w:szCs w:val="20"/>
                <w:color w:val="auto"/>
              </w:rPr>
            </w:pPr>
            <w:r>
              <w:rPr>
                <w:rFonts w:ascii="Arial" w:cs="Arial" w:eastAsia="Arial" w:hAnsi="Arial"/>
                <w:sz w:val="22"/>
                <w:szCs w:val="22"/>
                <w:b w:val="1"/>
                <w:bCs w:val="1"/>
                <w:i w:val="1"/>
                <w:iCs w:val="1"/>
                <w:color w:val="auto"/>
              </w:rPr>
              <w:t>H</w:t>
            </w:r>
            <w:r>
              <w:rPr>
                <w:rFonts w:ascii="Arial" w:cs="Arial" w:eastAsia="Arial" w:hAnsi="Arial"/>
                <w:sz w:val="14"/>
                <w:szCs w:val="14"/>
                <w:b w:val="1"/>
                <w:bCs w:val="1"/>
                <w:i w:val="1"/>
                <w:iCs w:val="1"/>
                <w:color w:val="auto"/>
              </w:rPr>
              <w:t>AROLD</w:t>
            </w:r>
            <w:r>
              <w:rPr>
                <w:rFonts w:ascii="Arial" w:cs="Arial" w:eastAsia="Arial" w:hAnsi="Arial"/>
                <w:sz w:val="22"/>
                <w:szCs w:val="22"/>
                <w:b w:val="1"/>
                <w:bCs w:val="1"/>
                <w:i w:val="1"/>
                <w:iCs w:val="1"/>
                <w:color w:val="auto"/>
              </w:rPr>
              <w:t xml:space="preserve"> C. S</w:t>
            </w:r>
            <w:r>
              <w:rPr>
                <w:rFonts w:ascii="Arial" w:cs="Arial" w:eastAsia="Arial" w:hAnsi="Arial"/>
                <w:sz w:val="14"/>
                <w:szCs w:val="14"/>
                <w:b w:val="1"/>
                <w:bCs w:val="1"/>
                <w:i w:val="1"/>
                <w:iCs w:val="1"/>
                <w:color w:val="auto"/>
              </w:rPr>
              <w:t>IMMONS</w:t>
            </w:r>
            <w:r>
              <w:rPr>
                <w:rFonts w:ascii="Arial" w:cs="Arial" w:eastAsia="Arial" w:hAnsi="Arial"/>
                <w:sz w:val="22"/>
                <w:szCs w:val="22"/>
                <w:b w:val="1"/>
                <w:bCs w:val="1"/>
                <w:i w:val="1"/>
                <w:iCs w:val="1"/>
                <w:color w:val="auto"/>
              </w:rPr>
              <w:t xml:space="preserve"> F</w:t>
            </w:r>
            <w:r>
              <w:rPr>
                <w:rFonts w:ascii="Arial" w:cs="Arial" w:eastAsia="Arial" w:hAnsi="Arial"/>
                <w:sz w:val="14"/>
                <w:szCs w:val="14"/>
                <w:b w:val="1"/>
                <w:bCs w:val="1"/>
                <w:i w:val="1"/>
                <w:iCs w:val="1"/>
                <w:color w:val="auto"/>
              </w:rPr>
              <w:t>AMILY</w:t>
            </w:r>
            <w:r>
              <w:rPr>
                <w:rFonts w:ascii="Arial" w:cs="Arial" w:eastAsia="Arial" w:hAnsi="Arial"/>
                <w:sz w:val="22"/>
                <w:szCs w:val="22"/>
                <w:b w:val="1"/>
                <w:bCs w:val="1"/>
                <w:i w:val="1"/>
                <w:iCs w:val="1"/>
                <w:color w:val="auto"/>
              </w:rPr>
              <w:t xml:space="preserve"> T</w:t>
            </w:r>
            <w:r>
              <w:rPr>
                <w:rFonts w:ascii="Arial" w:cs="Arial" w:eastAsia="Arial" w:hAnsi="Arial"/>
                <w:sz w:val="14"/>
                <w:szCs w:val="14"/>
                <w:b w:val="1"/>
                <w:bCs w:val="1"/>
                <w:i w:val="1"/>
                <w:iCs w:val="1"/>
                <w:color w:val="auto"/>
              </w:rPr>
              <w:t>RUST</w:t>
            </w:r>
            <w:r>
              <w:rPr>
                <w:rFonts w:ascii="Arial" w:cs="Arial" w:eastAsia="Arial" w:hAnsi="Arial"/>
                <w:sz w:val="22"/>
                <w:szCs w:val="22"/>
                <w:b w:val="1"/>
                <w:bCs w:val="1"/>
                <w:i w:val="1"/>
                <w:iCs w:val="1"/>
                <w:color w:val="auto"/>
              </w:rPr>
              <w:t xml:space="preserve"> N</w:t>
            </w:r>
            <w:r>
              <w:rPr>
                <w:rFonts w:ascii="Arial" w:cs="Arial" w:eastAsia="Arial" w:hAnsi="Arial"/>
                <w:sz w:val="14"/>
                <w:szCs w:val="14"/>
                <w:b w:val="1"/>
                <w:bCs w:val="1"/>
                <w:i w:val="1"/>
                <w:iCs w:val="1"/>
                <w:color w:val="auto"/>
              </w:rPr>
              <w:t>O</w:t>
            </w:r>
            <w:r>
              <w:rPr>
                <w:rFonts w:ascii="Arial" w:cs="Arial" w:eastAsia="Arial" w:hAnsi="Arial"/>
                <w:sz w:val="22"/>
                <w:szCs w:val="22"/>
                <w:b w:val="1"/>
                <w:bCs w:val="1"/>
                <w:i w:val="1"/>
                <w:iCs w:val="1"/>
                <w:color w:val="auto"/>
              </w:rPr>
              <w:t>. 2</w:t>
            </w:r>
          </w:p>
        </w:tc>
        <w:tc>
          <w:tcPr>
            <w:tcW w:w="480" w:type="dxa"/>
            <w:vAlign w:val="bottom"/>
          </w:tcPr>
          <w:p>
            <w:pPr>
              <w:spacing w:after="0"/>
              <w:rPr>
                <w:sz w:val="21"/>
                <w:szCs w:val="21"/>
                <w:color w:val="auto"/>
              </w:rPr>
            </w:pPr>
          </w:p>
        </w:tc>
        <w:tc>
          <w:tcPr>
            <w:tcW w:w="5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0" w:type="dxa"/>
            <w:vAlign w:val="bottom"/>
          </w:tcPr>
          <w:p>
            <w:pPr>
              <w:spacing w:after="0" w:line="243" w:lineRule="exact"/>
              <w:rPr>
                <w:sz w:val="20"/>
                <w:szCs w:val="20"/>
                <w:color w:val="auto"/>
              </w:rPr>
            </w:pPr>
            <w:r>
              <w:rPr>
                <w:rFonts w:ascii="Arial" w:cs="Arial" w:eastAsia="Arial" w:hAnsi="Arial"/>
                <w:sz w:val="22"/>
                <w:szCs w:val="22"/>
                <w:color w:val="auto"/>
              </w:rPr>
              <w:t>B</w:t>
            </w:r>
            <w:r>
              <w:rPr>
                <w:rFonts w:ascii="Arial" w:cs="Arial" w:eastAsia="Arial" w:hAnsi="Arial"/>
                <w:sz w:val="14"/>
                <w:szCs w:val="14"/>
                <w:color w:val="auto"/>
              </w:rPr>
              <w:t>Y</w:t>
            </w:r>
            <w:r>
              <w:rPr>
                <w:rFonts w:ascii="Arial" w:cs="Arial" w:eastAsia="Arial" w:hAnsi="Arial"/>
                <w:sz w:val="22"/>
                <w:szCs w:val="22"/>
                <w:color w:val="auto"/>
              </w:rPr>
              <w:t>:</w:t>
            </w:r>
          </w:p>
        </w:tc>
        <w:tc>
          <w:tcPr>
            <w:tcW w:w="5080" w:type="dxa"/>
            <w:vAlign w:val="bottom"/>
          </w:tcPr>
          <w:p>
            <w:pPr>
              <w:ind w:left="560"/>
              <w:spacing w:after="0" w:line="243" w:lineRule="exact"/>
              <w:rPr>
                <w:sz w:val="20"/>
                <w:szCs w:val="20"/>
                <w:color w:val="auto"/>
              </w:rPr>
            </w:pPr>
            <w:r>
              <w:rPr>
                <w:rFonts w:ascii="Arial" w:cs="Arial" w:eastAsia="Arial" w:hAnsi="Arial"/>
                <w:sz w:val="22"/>
                <w:szCs w:val="22"/>
                <w:color w:val="auto"/>
              </w:rPr>
              <w:t>/</w:t>
            </w:r>
            <w:r>
              <w:rPr>
                <w:rFonts w:ascii="Arial" w:cs="Arial" w:eastAsia="Arial" w:hAnsi="Arial"/>
                <w:sz w:val="14"/>
                <w:szCs w:val="14"/>
                <w:color w:val="auto"/>
              </w:rPr>
              <w:t>S</w:t>
            </w:r>
            <w:r>
              <w:rPr>
                <w:rFonts w:ascii="Arial" w:cs="Arial" w:eastAsia="Arial" w:hAnsi="Arial"/>
                <w:sz w:val="22"/>
                <w:szCs w:val="22"/>
                <w:color w:val="auto"/>
              </w:rPr>
              <w:t>/ T</w:t>
            </w:r>
            <w:r>
              <w:rPr>
                <w:rFonts w:ascii="Arial" w:cs="Arial" w:eastAsia="Arial" w:hAnsi="Arial"/>
                <w:sz w:val="14"/>
                <w:szCs w:val="14"/>
                <w:color w:val="auto"/>
              </w:rPr>
              <w:t>OLLESON</w:t>
            </w:r>
            <w:r>
              <w:rPr>
                <w:rFonts w:ascii="Arial" w:cs="Arial" w:eastAsia="Arial" w:hAnsi="Arial"/>
                <w:sz w:val="22"/>
                <w:szCs w:val="22"/>
                <w:color w:val="auto"/>
              </w:rPr>
              <w:t xml:space="preserve"> P</w:t>
            </w:r>
            <w:r>
              <w:rPr>
                <w:rFonts w:ascii="Arial" w:cs="Arial" w:eastAsia="Arial" w:hAnsi="Arial"/>
                <w:sz w:val="14"/>
                <w:szCs w:val="14"/>
                <w:color w:val="auto"/>
              </w:rPr>
              <w:t>RIVATE</w:t>
            </w:r>
            <w:r>
              <w:rPr>
                <w:rFonts w:ascii="Arial" w:cs="Arial" w:eastAsia="Arial" w:hAnsi="Arial"/>
                <w:sz w:val="22"/>
                <w:szCs w:val="22"/>
                <w:color w:val="auto"/>
              </w:rPr>
              <w:t xml:space="preserve"> B</w:t>
            </w:r>
            <w:r>
              <w:rPr>
                <w:rFonts w:ascii="Arial" w:cs="Arial" w:eastAsia="Arial" w:hAnsi="Arial"/>
                <w:sz w:val="14"/>
                <w:szCs w:val="14"/>
                <w:color w:val="auto"/>
              </w:rPr>
              <w:t>ANK</w:t>
            </w:r>
            <w:r>
              <w:rPr>
                <w:rFonts w:ascii="Arial" w:cs="Arial" w:eastAsia="Arial" w:hAnsi="Arial"/>
                <w:sz w:val="22"/>
                <w:szCs w:val="22"/>
                <w:color w:val="auto"/>
              </w:rPr>
              <w:t xml:space="preserve"> (</w:t>
            </w:r>
            <w:r>
              <w:rPr>
                <w:rFonts w:ascii="Arial" w:cs="Arial" w:eastAsia="Arial" w:hAnsi="Arial"/>
                <w:sz w:val="14"/>
                <w:szCs w:val="14"/>
                <w:color w:val="auto"/>
              </w:rPr>
              <w:t>BY</w:t>
            </w:r>
          </w:p>
        </w:tc>
        <w:tc>
          <w:tcPr>
            <w:tcW w:w="480" w:type="dxa"/>
            <w:vAlign w:val="bottom"/>
          </w:tcPr>
          <w:p>
            <w:pPr>
              <w:spacing w:after="0"/>
              <w:rPr>
                <w:sz w:val="21"/>
                <w:szCs w:val="21"/>
                <w:color w:val="auto"/>
              </w:rPr>
            </w:pPr>
          </w:p>
        </w:tc>
        <w:tc>
          <w:tcPr>
            <w:tcW w:w="5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6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T</w:t>
            </w:r>
            <w:r>
              <w:rPr>
                <w:rFonts w:ascii="Arial" w:cs="Arial" w:eastAsia="Arial" w:hAnsi="Arial"/>
                <w:sz w:val="14"/>
                <w:szCs w:val="14"/>
                <w:color w:val="auto"/>
              </w:rPr>
              <w:t>RACEY</w:t>
            </w:r>
            <w:r>
              <w:rPr>
                <w:rFonts w:ascii="Arial" w:cs="Arial" w:eastAsia="Arial" w:hAnsi="Arial"/>
                <w:sz w:val="22"/>
                <w:szCs w:val="22"/>
                <w:color w:val="auto"/>
              </w:rPr>
              <w:t xml:space="preserve"> L. R</w:t>
            </w:r>
            <w:r>
              <w:rPr>
                <w:rFonts w:ascii="Arial" w:cs="Arial" w:eastAsia="Arial" w:hAnsi="Arial"/>
                <w:sz w:val="14"/>
                <w:szCs w:val="14"/>
                <w:color w:val="auto"/>
              </w:rPr>
              <w:t>EYES</w:t>
            </w:r>
            <w:r>
              <w:rPr>
                <w:rFonts w:ascii="Arial" w:cs="Arial" w:eastAsia="Arial" w:hAnsi="Arial"/>
                <w:sz w:val="22"/>
                <w:szCs w:val="22"/>
                <w:color w:val="auto"/>
              </w:rPr>
              <w:t>, V</w:t>
            </w:r>
            <w:r>
              <w:rPr>
                <w:rFonts w:ascii="Arial" w:cs="Arial" w:eastAsia="Arial" w:hAnsi="Arial"/>
                <w:sz w:val="14"/>
                <w:szCs w:val="14"/>
                <w:color w:val="auto"/>
              </w:rPr>
              <w:t>ICE</w:t>
            </w:r>
            <w:r>
              <w:rPr>
                <w:rFonts w:ascii="Arial" w:cs="Arial" w:eastAsia="Arial" w:hAnsi="Arial"/>
                <w:sz w:val="22"/>
                <w:szCs w:val="22"/>
                <w:color w:val="auto"/>
              </w:rPr>
              <w:t xml:space="preserve"> P</w:t>
            </w:r>
            <w:r>
              <w:rPr>
                <w:rFonts w:ascii="Arial" w:cs="Arial" w:eastAsia="Arial" w:hAnsi="Arial"/>
                <w:sz w:val="14"/>
                <w:szCs w:val="14"/>
                <w:color w:val="auto"/>
              </w:rPr>
              <w:t>RESIDENT</w:t>
            </w:r>
            <w:r>
              <w:rPr>
                <w:rFonts w:ascii="Arial" w:cs="Arial" w:eastAsia="Arial" w:hAnsi="Arial"/>
                <w:sz w:val="22"/>
                <w:szCs w:val="22"/>
                <w:color w:val="auto"/>
              </w:rPr>
              <w:t>)</w:t>
            </w:r>
          </w:p>
        </w:tc>
        <w:tc>
          <w:tcPr>
            <w:tcW w:w="480" w:type="dxa"/>
            <w:vAlign w:val="bottom"/>
          </w:tcPr>
          <w:p>
            <w:pPr>
              <w:spacing w:after="0"/>
              <w:rPr>
                <w:sz w:val="21"/>
                <w:szCs w:val="21"/>
                <w:color w:val="auto"/>
              </w:rPr>
            </w:pPr>
          </w:p>
        </w:tc>
        <w:tc>
          <w:tcPr>
            <w:tcW w:w="5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0" w:type="dxa"/>
            <w:vAlign w:val="bottom"/>
          </w:tcPr>
          <w:p>
            <w:pPr>
              <w:spacing w:after="0"/>
              <w:rPr>
                <w:sz w:val="21"/>
                <w:szCs w:val="21"/>
                <w:color w:val="auto"/>
              </w:rPr>
            </w:pPr>
          </w:p>
        </w:tc>
        <w:tc>
          <w:tcPr>
            <w:tcW w:w="5080" w:type="dxa"/>
            <w:vAlign w:val="bottom"/>
          </w:tcPr>
          <w:p>
            <w:pPr>
              <w:ind w:left="160"/>
              <w:spacing w:after="0" w:line="243" w:lineRule="exact"/>
              <w:rPr>
                <w:sz w:val="20"/>
                <w:szCs w:val="20"/>
                <w:color w:val="auto"/>
              </w:rPr>
            </w:pPr>
            <w:r>
              <w:rPr>
                <w:rFonts w:ascii="Arial" w:cs="Arial" w:eastAsia="Arial" w:hAnsi="Arial"/>
                <w:sz w:val="22"/>
                <w:szCs w:val="22"/>
                <w:color w:val="auto"/>
                <w:w w:val="94"/>
              </w:rPr>
              <w:t>T</w:t>
            </w:r>
            <w:r>
              <w:rPr>
                <w:rFonts w:ascii="Arial" w:cs="Arial" w:eastAsia="Arial" w:hAnsi="Arial"/>
                <w:sz w:val="14"/>
                <w:szCs w:val="14"/>
                <w:color w:val="auto"/>
                <w:w w:val="94"/>
              </w:rPr>
              <w:t>OLLESON</w:t>
            </w:r>
            <w:r>
              <w:rPr>
                <w:rFonts w:ascii="Arial" w:cs="Arial" w:eastAsia="Arial" w:hAnsi="Arial"/>
                <w:sz w:val="22"/>
                <w:szCs w:val="22"/>
                <w:color w:val="auto"/>
                <w:w w:val="94"/>
              </w:rPr>
              <w:t xml:space="preserve"> P</w:t>
            </w:r>
            <w:r>
              <w:rPr>
                <w:rFonts w:ascii="Arial" w:cs="Arial" w:eastAsia="Arial" w:hAnsi="Arial"/>
                <w:sz w:val="14"/>
                <w:szCs w:val="14"/>
                <w:color w:val="auto"/>
                <w:w w:val="94"/>
              </w:rPr>
              <w:t>RIVATE</w:t>
            </w:r>
            <w:r>
              <w:rPr>
                <w:rFonts w:ascii="Arial" w:cs="Arial" w:eastAsia="Arial" w:hAnsi="Arial"/>
                <w:sz w:val="22"/>
                <w:szCs w:val="22"/>
                <w:color w:val="auto"/>
                <w:w w:val="94"/>
              </w:rPr>
              <w:t xml:space="preserve"> B</w:t>
            </w:r>
            <w:r>
              <w:rPr>
                <w:rFonts w:ascii="Arial" w:cs="Arial" w:eastAsia="Arial" w:hAnsi="Arial"/>
                <w:sz w:val="14"/>
                <w:szCs w:val="14"/>
                <w:color w:val="auto"/>
                <w:w w:val="94"/>
              </w:rPr>
              <w:t>ANK</w:t>
            </w:r>
            <w:r>
              <w:rPr>
                <w:rFonts w:ascii="Arial" w:cs="Arial" w:eastAsia="Arial" w:hAnsi="Arial"/>
                <w:sz w:val="22"/>
                <w:szCs w:val="22"/>
                <w:color w:val="auto"/>
                <w:w w:val="94"/>
              </w:rPr>
              <w:t xml:space="preserve">, </w:t>
            </w:r>
            <w:r>
              <w:rPr>
                <w:rFonts w:ascii="Arial" w:cs="Arial" w:eastAsia="Arial" w:hAnsi="Arial"/>
                <w:sz w:val="22"/>
                <w:szCs w:val="22"/>
                <w:i w:val="1"/>
                <w:iCs w:val="1"/>
                <w:color w:val="auto"/>
                <w:w w:val="94"/>
              </w:rPr>
              <w:t>not in its individual capacity but</w:t>
            </w:r>
          </w:p>
        </w:tc>
        <w:tc>
          <w:tcPr>
            <w:tcW w:w="480" w:type="dxa"/>
            <w:vAlign w:val="bottom"/>
          </w:tcPr>
          <w:p>
            <w:pPr>
              <w:spacing w:after="0"/>
              <w:rPr>
                <w:sz w:val="21"/>
                <w:szCs w:val="21"/>
                <w:color w:val="auto"/>
              </w:rPr>
            </w:pPr>
          </w:p>
        </w:tc>
        <w:tc>
          <w:tcPr>
            <w:tcW w:w="5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5560" w:type="dxa"/>
            <w:vAlign w:val="bottom"/>
            <w:tcBorders>
              <w:bottom w:val="single" w:sz="8" w:color="auto"/>
            </w:tcBorders>
            <w:gridSpan w:val="2"/>
          </w:tcPr>
          <w:p>
            <w:pPr>
              <w:spacing w:after="0"/>
              <w:rPr>
                <w:sz w:val="20"/>
                <w:szCs w:val="20"/>
                <w:color w:val="auto"/>
              </w:rPr>
            </w:pPr>
            <w:r>
              <w:rPr>
                <w:rFonts w:ascii="Arial" w:cs="Arial" w:eastAsia="Arial" w:hAnsi="Arial"/>
                <w:sz w:val="22"/>
                <w:szCs w:val="22"/>
                <w:i w:val="1"/>
                <w:iCs w:val="1"/>
                <w:color w:val="auto"/>
                <w:w w:val="96"/>
              </w:rPr>
              <w:t xml:space="preserve">solely as trustee of the </w:t>
            </w:r>
            <w:r>
              <w:rPr>
                <w:rFonts w:ascii="Arial" w:cs="Arial" w:eastAsia="Arial" w:hAnsi="Arial"/>
                <w:sz w:val="22"/>
                <w:szCs w:val="22"/>
                <w:color w:val="auto"/>
                <w:w w:val="96"/>
              </w:rPr>
              <w:t>H</w:t>
            </w:r>
            <w:r>
              <w:rPr>
                <w:rFonts w:ascii="Arial" w:cs="Arial" w:eastAsia="Arial" w:hAnsi="Arial"/>
                <w:sz w:val="14"/>
                <w:szCs w:val="14"/>
                <w:color w:val="auto"/>
                <w:w w:val="96"/>
              </w:rPr>
              <w:t>AROLD</w:t>
            </w:r>
            <w:r>
              <w:rPr>
                <w:rFonts w:ascii="Arial" w:cs="Arial" w:eastAsia="Arial" w:hAnsi="Arial"/>
                <w:sz w:val="22"/>
                <w:szCs w:val="22"/>
                <w:i w:val="1"/>
                <w:iCs w:val="1"/>
                <w:color w:val="auto"/>
                <w:w w:val="96"/>
              </w:rPr>
              <w:t xml:space="preserve"> </w:t>
            </w:r>
            <w:r>
              <w:rPr>
                <w:rFonts w:ascii="Arial" w:cs="Arial" w:eastAsia="Arial" w:hAnsi="Arial"/>
                <w:sz w:val="22"/>
                <w:szCs w:val="22"/>
                <w:color w:val="auto"/>
                <w:w w:val="96"/>
              </w:rPr>
              <w:t>C. S</w:t>
            </w:r>
            <w:r>
              <w:rPr>
                <w:rFonts w:ascii="Arial" w:cs="Arial" w:eastAsia="Arial" w:hAnsi="Arial"/>
                <w:sz w:val="14"/>
                <w:szCs w:val="14"/>
                <w:color w:val="auto"/>
                <w:w w:val="96"/>
              </w:rPr>
              <w:t>IMMONS</w:t>
            </w:r>
            <w:r>
              <w:rPr>
                <w:rFonts w:ascii="Arial" w:cs="Arial" w:eastAsia="Arial" w:hAnsi="Arial"/>
                <w:sz w:val="22"/>
                <w:szCs w:val="22"/>
                <w:i w:val="1"/>
                <w:iCs w:val="1"/>
                <w:color w:val="auto"/>
                <w:w w:val="96"/>
              </w:rPr>
              <w:t xml:space="preserve"> </w:t>
            </w:r>
            <w:r>
              <w:rPr>
                <w:rFonts w:ascii="Arial" w:cs="Arial" w:eastAsia="Arial" w:hAnsi="Arial"/>
                <w:sz w:val="22"/>
                <w:szCs w:val="22"/>
                <w:color w:val="auto"/>
                <w:w w:val="96"/>
              </w:rPr>
              <w:t>F</w:t>
            </w:r>
            <w:r>
              <w:rPr>
                <w:rFonts w:ascii="Arial" w:cs="Arial" w:eastAsia="Arial" w:hAnsi="Arial"/>
                <w:sz w:val="14"/>
                <w:szCs w:val="14"/>
                <w:color w:val="auto"/>
                <w:w w:val="96"/>
              </w:rPr>
              <w:t>AMILY</w:t>
            </w:r>
            <w:r>
              <w:rPr>
                <w:rFonts w:ascii="Arial" w:cs="Arial" w:eastAsia="Arial" w:hAnsi="Arial"/>
                <w:sz w:val="22"/>
                <w:szCs w:val="22"/>
                <w:i w:val="1"/>
                <w:iCs w:val="1"/>
                <w:color w:val="auto"/>
                <w:w w:val="96"/>
              </w:rPr>
              <w:t xml:space="preserve"> </w:t>
            </w:r>
            <w:r>
              <w:rPr>
                <w:rFonts w:ascii="Arial" w:cs="Arial" w:eastAsia="Arial" w:hAnsi="Arial"/>
                <w:sz w:val="22"/>
                <w:szCs w:val="22"/>
                <w:color w:val="auto"/>
                <w:w w:val="96"/>
              </w:rPr>
              <w:t>T</w:t>
            </w:r>
            <w:r>
              <w:rPr>
                <w:rFonts w:ascii="Arial" w:cs="Arial" w:eastAsia="Arial" w:hAnsi="Arial"/>
                <w:sz w:val="14"/>
                <w:szCs w:val="14"/>
                <w:color w:val="auto"/>
                <w:w w:val="96"/>
              </w:rPr>
              <w:t>RUST</w:t>
            </w:r>
            <w:r>
              <w:rPr>
                <w:rFonts w:ascii="Arial" w:cs="Arial" w:eastAsia="Arial" w:hAnsi="Arial"/>
                <w:sz w:val="22"/>
                <w:szCs w:val="22"/>
                <w:i w:val="1"/>
                <w:iCs w:val="1"/>
                <w:color w:val="auto"/>
                <w:w w:val="96"/>
              </w:rPr>
              <w:t xml:space="preserve"> </w:t>
            </w:r>
            <w:r>
              <w:rPr>
                <w:rFonts w:ascii="Arial" w:cs="Arial" w:eastAsia="Arial" w:hAnsi="Arial"/>
                <w:sz w:val="22"/>
                <w:szCs w:val="22"/>
                <w:color w:val="auto"/>
                <w:w w:val="96"/>
              </w:rPr>
              <w:t>N</w:t>
            </w:r>
            <w:r>
              <w:rPr>
                <w:rFonts w:ascii="Arial" w:cs="Arial" w:eastAsia="Arial" w:hAnsi="Arial"/>
                <w:sz w:val="14"/>
                <w:szCs w:val="14"/>
                <w:color w:val="auto"/>
                <w:w w:val="96"/>
              </w:rPr>
              <w:t>O</w:t>
            </w:r>
            <w:r>
              <w:rPr>
                <w:rFonts w:ascii="Arial" w:cs="Arial" w:eastAsia="Arial" w:hAnsi="Arial"/>
                <w:sz w:val="22"/>
                <w:szCs w:val="22"/>
                <w:color w:val="auto"/>
                <w:w w:val="96"/>
              </w:rPr>
              <w:t>. 2</w:t>
            </w:r>
          </w:p>
        </w:tc>
        <w:tc>
          <w:tcPr>
            <w:tcW w:w="5680" w:type="dxa"/>
            <w:vAlign w:val="bottom"/>
            <w:gridSpan w:val="2"/>
            <w:vMerge w:val="restart"/>
          </w:tcPr>
          <w:p>
            <w:pPr>
              <w:ind w:left="20"/>
              <w:spacing w:after="0"/>
              <w:rPr>
                <w:sz w:val="20"/>
                <w:szCs w:val="20"/>
                <w:color w:val="auto"/>
              </w:rPr>
            </w:pPr>
            <w:r>
              <w:rPr>
                <w:rFonts w:ascii="Arial" w:cs="Arial" w:eastAsia="Arial" w:hAnsi="Arial"/>
                <w:sz w:val="22"/>
                <w:szCs w:val="22"/>
                <w:b w:val="1"/>
                <w:bCs w:val="1"/>
                <w:i w:val="1"/>
                <w:iCs w:val="1"/>
                <w:color w:val="auto"/>
              </w:rPr>
              <w:t>S</w:t>
            </w:r>
            <w:r>
              <w:rPr>
                <w:rFonts w:ascii="Arial" w:cs="Arial" w:eastAsia="Arial" w:hAnsi="Arial"/>
                <w:sz w:val="14"/>
                <w:szCs w:val="14"/>
                <w:b w:val="1"/>
                <w:bCs w:val="1"/>
                <w:i w:val="1"/>
                <w:iCs w:val="1"/>
                <w:color w:val="auto"/>
              </w:rPr>
              <w:t>ERENA</w:t>
            </w:r>
            <w:r>
              <w:rPr>
                <w:rFonts w:ascii="Arial" w:cs="Arial" w:eastAsia="Arial" w:hAnsi="Arial"/>
                <w:sz w:val="22"/>
                <w:szCs w:val="22"/>
                <w:b w:val="1"/>
                <w:bCs w:val="1"/>
                <w:i w:val="1"/>
                <w:iCs w:val="1"/>
                <w:color w:val="auto"/>
              </w:rPr>
              <w:t xml:space="preserve"> S. C</w:t>
            </w:r>
            <w:r>
              <w:rPr>
                <w:rFonts w:ascii="Arial" w:cs="Arial" w:eastAsia="Arial" w:hAnsi="Arial"/>
                <w:sz w:val="14"/>
                <w:szCs w:val="14"/>
                <w:b w:val="1"/>
                <w:bCs w:val="1"/>
                <w:i w:val="1"/>
                <w:iCs w:val="1"/>
                <w:color w:val="auto"/>
              </w:rPr>
              <w:t>ONNELLY</w:t>
            </w:r>
          </w:p>
        </w:tc>
        <w:tc>
          <w:tcPr>
            <w:tcW w:w="0" w:type="dxa"/>
            <w:vAlign w:val="bottom"/>
          </w:tcPr>
          <w:p>
            <w:pPr>
              <w:spacing w:after="0"/>
              <w:rPr>
                <w:sz w:val="1"/>
                <w:szCs w:val="1"/>
                <w:color w:val="auto"/>
              </w:rPr>
            </w:pPr>
          </w:p>
        </w:tc>
      </w:tr>
      <w:tr>
        <w:trPr>
          <w:trHeight w:val="222"/>
        </w:trPr>
        <w:tc>
          <w:tcPr>
            <w:tcW w:w="5560" w:type="dxa"/>
            <w:vAlign w:val="bottom"/>
            <w:gridSpan w:val="2"/>
          </w:tcPr>
          <w:p>
            <w:pPr>
              <w:spacing w:after="0" w:line="222" w:lineRule="exact"/>
              <w:rPr>
                <w:sz w:val="20"/>
                <w:szCs w:val="20"/>
                <w:color w:val="auto"/>
              </w:rPr>
            </w:pPr>
            <w:r>
              <w:rPr>
                <w:rFonts w:ascii="Arial" w:cs="Arial" w:eastAsia="Arial" w:hAnsi="Arial"/>
                <w:sz w:val="22"/>
                <w:szCs w:val="22"/>
                <w:b w:val="1"/>
                <w:bCs w:val="1"/>
                <w:i w:val="1"/>
                <w:iCs w:val="1"/>
                <w:color w:val="auto"/>
              </w:rPr>
              <w:t>L</w:t>
            </w:r>
            <w:r>
              <w:rPr>
                <w:rFonts w:ascii="Arial" w:cs="Arial" w:eastAsia="Arial" w:hAnsi="Arial"/>
                <w:sz w:val="14"/>
                <w:szCs w:val="14"/>
                <w:b w:val="1"/>
                <w:bCs w:val="1"/>
                <w:i w:val="1"/>
                <w:iCs w:val="1"/>
                <w:color w:val="auto"/>
              </w:rPr>
              <w:t>ISA</w:t>
            </w:r>
            <w:r>
              <w:rPr>
                <w:rFonts w:ascii="Arial" w:cs="Arial" w:eastAsia="Arial" w:hAnsi="Arial"/>
                <w:sz w:val="22"/>
                <w:szCs w:val="22"/>
                <w:b w:val="1"/>
                <w:bCs w:val="1"/>
                <w:i w:val="1"/>
                <w:iCs w:val="1"/>
                <w:color w:val="auto"/>
              </w:rPr>
              <w:t xml:space="preserve"> K. S</w:t>
            </w:r>
            <w:r>
              <w:rPr>
                <w:rFonts w:ascii="Arial" w:cs="Arial" w:eastAsia="Arial" w:hAnsi="Arial"/>
                <w:sz w:val="14"/>
                <w:szCs w:val="14"/>
                <w:b w:val="1"/>
                <w:bCs w:val="1"/>
                <w:i w:val="1"/>
                <w:iCs w:val="1"/>
                <w:color w:val="auto"/>
              </w:rPr>
              <w:t>IMMONS</w:t>
            </w:r>
          </w:p>
        </w:tc>
        <w:tc>
          <w:tcPr>
            <w:tcW w:w="56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80" w:type="dxa"/>
            <w:vAlign w:val="bottom"/>
          </w:tcPr>
          <w:p>
            <w:pPr>
              <w:spacing w:after="0" w:line="243" w:lineRule="exact"/>
              <w:rPr>
                <w:sz w:val="20"/>
                <w:szCs w:val="20"/>
                <w:color w:val="auto"/>
              </w:rPr>
            </w:pPr>
            <w:r>
              <w:rPr>
                <w:rFonts w:ascii="Arial" w:cs="Arial" w:eastAsia="Arial" w:hAnsi="Arial"/>
                <w:sz w:val="22"/>
                <w:szCs w:val="22"/>
                <w:color w:val="auto"/>
              </w:rPr>
              <w:t>B</w:t>
            </w:r>
            <w:r>
              <w:rPr>
                <w:rFonts w:ascii="Arial" w:cs="Arial" w:eastAsia="Arial" w:hAnsi="Arial"/>
                <w:sz w:val="14"/>
                <w:szCs w:val="14"/>
                <w:color w:val="auto"/>
              </w:rPr>
              <w:t>Y</w:t>
            </w:r>
            <w:r>
              <w:rPr>
                <w:rFonts w:ascii="Arial" w:cs="Arial" w:eastAsia="Arial" w:hAnsi="Arial"/>
                <w:sz w:val="22"/>
                <w:szCs w:val="22"/>
                <w:color w:val="auto"/>
              </w:rPr>
              <w:t>:</w:t>
            </w:r>
          </w:p>
        </w:tc>
        <w:tc>
          <w:tcPr>
            <w:tcW w:w="5080" w:type="dxa"/>
            <w:vAlign w:val="bottom"/>
          </w:tcPr>
          <w:p>
            <w:pPr>
              <w:ind w:left="560"/>
              <w:spacing w:after="0" w:line="243" w:lineRule="exact"/>
              <w:rPr>
                <w:sz w:val="20"/>
                <w:szCs w:val="20"/>
                <w:color w:val="auto"/>
              </w:rPr>
            </w:pPr>
            <w:r>
              <w:rPr>
                <w:rFonts w:ascii="Arial" w:cs="Arial" w:eastAsia="Arial" w:hAnsi="Arial"/>
                <w:sz w:val="22"/>
                <w:szCs w:val="22"/>
                <w:color w:val="auto"/>
              </w:rPr>
              <w:t>/</w:t>
            </w:r>
            <w:r>
              <w:rPr>
                <w:rFonts w:ascii="Arial" w:cs="Arial" w:eastAsia="Arial" w:hAnsi="Arial"/>
                <w:sz w:val="14"/>
                <w:szCs w:val="14"/>
                <w:color w:val="auto"/>
              </w:rPr>
              <w:t>S</w:t>
            </w:r>
            <w:r>
              <w:rPr>
                <w:rFonts w:ascii="Arial" w:cs="Arial" w:eastAsia="Arial" w:hAnsi="Arial"/>
                <w:sz w:val="22"/>
                <w:szCs w:val="22"/>
                <w:color w:val="auto"/>
              </w:rPr>
              <w:t>/ L</w:t>
            </w:r>
            <w:r>
              <w:rPr>
                <w:rFonts w:ascii="Arial" w:cs="Arial" w:eastAsia="Arial" w:hAnsi="Arial"/>
                <w:sz w:val="14"/>
                <w:szCs w:val="14"/>
                <w:color w:val="auto"/>
              </w:rPr>
              <w:t>ISA</w:t>
            </w:r>
            <w:r>
              <w:rPr>
                <w:rFonts w:ascii="Arial" w:cs="Arial" w:eastAsia="Arial" w:hAnsi="Arial"/>
                <w:sz w:val="22"/>
                <w:szCs w:val="22"/>
                <w:color w:val="auto"/>
              </w:rPr>
              <w:t xml:space="preserve"> K. S</w:t>
            </w:r>
            <w:r>
              <w:rPr>
                <w:rFonts w:ascii="Arial" w:cs="Arial" w:eastAsia="Arial" w:hAnsi="Arial"/>
                <w:sz w:val="14"/>
                <w:szCs w:val="14"/>
                <w:color w:val="auto"/>
              </w:rPr>
              <w:t>IMMONS</w:t>
            </w:r>
          </w:p>
        </w:tc>
        <w:tc>
          <w:tcPr>
            <w:tcW w:w="480" w:type="dxa"/>
            <w:vAlign w:val="bottom"/>
          </w:tcPr>
          <w:p>
            <w:pPr>
              <w:ind w:left="20"/>
              <w:spacing w:after="0" w:line="243" w:lineRule="exact"/>
              <w:rPr>
                <w:sz w:val="20"/>
                <w:szCs w:val="20"/>
                <w:color w:val="auto"/>
              </w:rPr>
            </w:pPr>
            <w:r>
              <w:rPr>
                <w:rFonts w:ascii="Arial" w:cs="Arial" w:eastAsia="Arial" w:hAnsi="Arial"/>
                <w:sz w:val="22"/>
                <w:szCs w:val="22"/>
                <w:color w:val="auto"/>
              </w:rPr>
              <w:t>B</w:t>
            </w:r>
            <w:r>
              <w:rPr>
                <w:rFonts w:ascii="Arial" w:cs="Arial" w:eastAsia="Arial" w:hAnsi="Arial"/>
                <w:sz w:val="14"/>
                <w:szCs w:val="14"/>
                <w:color w:val="auto"/>
              </w:rPr>
              <w:t>Y</w:t>
            </w:r>
            <w:r>
              <w:rPr>
                <w:rFonts w:ascii="Arial" w:cs="Arial" w:eastAsia="Arial" w:hAnsi="Arial"/>
                <w:sz w:val="22"/>
                <w:szCs w:val="22"/>
                <w:color w:val="auto"/>
              </w:rPr>
              <w:t>:</w:t>
            </w:r>
          </w:p>
        </w:tc>
        <w:tc>
          <w:tcPr>
            <w:tcW w:w="5200" w:type="dxa"/>
            <w:vAlign w:val="bottom"/>
          </w:tcPr>
          <w:p>
            <w:pPr>
              <w:ind w:left="580"/>
              <w:spacing w:after="0" w:line="243" w:lineRule="exact"/>
              <w:rPr>
                <w:sz w:val="20"/>
                <w:szCs w:val="20"/>
                <w:color w:val="auto"/>
              </w:rPr>
            </w:pPr>
            <w:r>
              <w:rPr>
                <w:rFonts w:ascii="Arial" w:cs="Arial" w:eastAsia="Arial" w:hAnsi="Arial"/>
                <w:sz w:val="22"/>
                <w:szCs w:val="22"/>
                <w:color w:val="auto"/>
              </w:rPr>
              <w:t>/</w:t>
            </w:r>
            <w:r>
              <w:rPr>
                <w:rFonts w:ascii="Arial" w:cs="Arial" w:eastAsia="Arial" w:hAnsi="Arial"/>
                <w:sz w:val="14"/>
                <w:szCs w:val="14"/>
                <w:color w:val="auto"/>
              </w:rPr>
              <w:t>S</w:t>
            </w:r>
            <w:r>
              <w:rPr>
                <w:rFonts w:ascii="Arial" w:cs="Arial" w:eastAsia="Arial" w:hAnsi="Arial"/>
                <w:sz w:val="22"/>
                <w:szCs w:val="22"/>
                <w:color w:val="auto"/>
              </w:rPr>
              <w:t>/ S</w:t>
            </w:r>
            <w:r>
              <w:rPr>
                <w:rFonts w:ascii="Arial" w:cs="Arial" w:eastAsia="Arial" w:hAnsi="Arial"/>
                <w:sz w:val="14"/>
                <w:szCs w:val="14"/>
                <w:color w:val="auto"/>
              </w:rPr>
              <w:t>ERENA</w:t>
            </w:r>
            <w:r>
              <w:rPr>
                <w:rFonts w:ascii="Arial" w:cs="Arial" w:eastAsia="Arial" w:hAnsi="Arial"/>
                <w:sz w:val="22"/>
                <w:szCs w:val="22"/>
                <w:color w:val="auto"/>
              </w:rPr>
              <w:t xml:space="preserve"> S. C</w:t>
            </w:r>
            <w:r>
              <w:rPr>
                <w:rFonts w:ascii="Arial" w:cs="Arial" w:eastAsia="Arial" w:hAnsi="Arial"/>
                <w:sz w:val="14"/>
                <w:szCs w:val="14"/>
                <w:color w:val="auto"/>
              </w:rPr>
              <w:t>ONNELLY</w:t>
            </w:r>
          </w:p>
        </w:tc>
        <w:tc>
          <w:tcPr>
            <w:tcW w:w="0" w:type="dxa"/>
            <w:vAlign w:val="bottom"/>
          </w:tcPr>
          <w:p>
            <w:pPr>
              <w:spacing w:after="0"/>
              <w:rPr>
                <w:sz w:val="1"/>
                <w:szCs w:val="1"/>
                <w:color w:val="auto"/>
              </w:rPr>
            </w:pPr>
          </w:p>
        </w:tc>
      </w:tr>
      <w:tr>
        <w:trPr>
          <w:trHeight w:val="271"/>
        </w:trPr>
        <w:tc>
          <w:tcPr>
            <w:tcW w:w="480" w:type="dxa"/>
            <w:vAlign w:val="bottom"/>
            <w:tcBorders>
              <w:bottom w:val="single" w:sz="8" w:color="auto"/>
            </w:tcBorders>
          </w:tcPr>
          <w:p>
            <w:pPr>
              <w:spacing w:after="0"/>
              <w:rPr>
                <w:sz w:val="23"/>
                <w:szCs w:val="23"/>
                <w:color w:val="auto"/>
              </w:rPr>
            </w:pPr>
          </w:p>
        </w:tc>
        <w:tc>
          <w:tcPr>
            <w:tcW w:w="5080" w:type="dxa"/>
            <w:vAlign w:val="bottom"/>
            <w:tcBorders>
              <w:bottom w:val="single" w:sz="8" w:color="auto"/>
            </w:tcBorders>
          </w:tcPr>
          <w:p>
            <w:pPr>
              <w:ind w:left="160"/>
              <w:spacing w:after="0"/>
              <w:rPr>
                <w:sz w:val="20"/>
                <w:szCs w:val="20"/>
                <w:color w:val="auto"/>
              </w:rPr>
            </w:pPr>
            <w:r>
              <w:rPr>
                <w:rFonts w:ascii="Arial" w:cs="Arial" w:eastAsia="Arial" w:hAnsi="Arial"/>
                <w:sz w:val="22"/>
                <w:szCs w:val="22"/>
                <w:color w:val="auto"/>
              </w:rPr>
              <w:t>L</w:t>
            </w:r>
            <w:r>
              <w:rPr>
                <w:rFonts w:ascii="Arial" w:cs="Arial" w:eastAsia="Arial" w:hAnsi="Arial"/>
                <w:sz w:val="14"/>
                <w:szCs w:val="14"/>
                <w:color w:val="auto"/>
              </w:rPr>
              <w:t>ISA</w:t>
            </w:r>
            <w:r>
              <w:rPr>
                <w:rFonts w:ascii="Arial" w:cs="Arial" w:eastAsia="Arial" w:hAnsi="Arial"/>
                <w:sz w:val="22"/>
                <w:szCs w:val="22"/>
                <w:color w:val="auto"/>
              </w:rPr>
              <w:t xml:space="preserve"> K. S</w:t>
            </w:r>
            <w:r>
              <w:rPr>
                <w:rFonts w:ascii="Arial" w:cs="Arial" w:eastAsia="Arial" w:hAnsi="Arial"/>
                <w:sz w:val="14"/>
                <w:szCs w:val="14"/>
                <w:color w:val="auto"/>
              </w:rPr>
              <w:t>IMMONS</w:t>
            </w:r>
          </w:p>
        </w:tc>
        <w:tc>
          <w:tcPr>
            <w:tcW w:w="480" w:type="dxa"/>
            <w:vAlign w:val="bottom"/>
            <w:tcBorders>
              <w:bottom w:val="single" w:sz="8" w:color="auto"/>
            </w:tcBorders>
          </w:tcPr>
          <w:p>
            <w:pPr>
              <w:spacing w:after="0"/>
              <w:rPr>
                <w:sz w:val="23"/>
                <w:szCs w:val="23"/>
                <w:color w:val="auto"/>
              </w:rPr>
            </w:pPr>
          </w:p>
        </w:tc>
        <w:tc>
          <w:tcPr>
            <w:tcW w:w="5200" w:type="dxa"/>
            <w:vAlign w:val="bottom"/>
            <w:tcBorders>
              <w:bottom w:val="single" w:sz="8" w:color="auto"/>
            </w:tcBorders>
          </w:tcPr>
          <w:p>
            <w:pPr>
              <w:ind w:left="160"/>
              <w:spacing w:after="0"/>
              <w:rPr>
                <w:sz w:val="20"/>
                <w:szCs w:val="20"/>
                <w:color w:val="auto"/>
              </w:rPr>
            </w:pPr>
            <w:r>
              <w:rPr>
                <w:rFonts w:ascii="Arial" w:cs="Arial" w:eastAsia="Arial" w:hAnsi="Arial"/>
                <w:sz w:val="22"/>
                <w:szCs w:val="22"/>
                <w:color w:val="auto"/>
              </w:rPr>
              <w:t>S</w:t>
            </w:r>
            <w:r>
              <w:rPr>
                <w:rFonts w:ascii="Arial" w:cs="Arial" w:eastAsia="Arial" w:hAnsi="Arial"/>
                <w:sz w:val="14"/>
                <w:szCs w:val="14"/>
                <w:color w:val="auto"/>
              </w:rPr>
              <w:t>ERENA</w:t>
            </w:r>
            <w:r>
              <w:rPr>
                <w:rFonts w:ascii="Arial" w:cs="Arial" w:eastAsia="Arial" w:hAnsi="Arial"/>
                <w:sz w:val="22"/>
                <w:szCs w:val="22"/>
                <w:color w:val="auto"/>
              </w:rPr>
              <w:t xml:space="preserve"> S. C</w:t>
            </w:r>
            <w:r>
              <w:rPr>
                <w:rFonts w:ascii="Arial" w:cs="Arial" w:eastAsia="Arial" w:hAnsi="Arial"/>
                <w:sz w:val="14"/>
                <w:szCs w:val="14"/>
                <w:color w:val="auto"/>
              </w:rPr>
              <w:t>ONNELLY</w:t>
            </w:r>
          </w:p>
        </w:tc>
        <w:tc>
          <w:tcPr>
            <w:tcW w:w="0" w:type="dxa"/>
            <w:vAlign w:val="bottom"/>
          </w:tcPr>
          <w:p>
            <w:pPr>
              <w:spacing w:after="0"/>
              <w:rPr>
                <w:sz w:val="1"/>
                <w:szCs w:val="1"/>
                <w:color w:val="auto"/>
              </w:rPr>
            </w:pPr>
          </w:p>
        </w:tc>
      </w:tr>
      <w:tr>
        <w:trPr>
          <w:trHeight w:val="222"/>
        </w:trPr>
        <w:tc>
          <w:tcPr>
            <w:tcW w:w="5560" w:type="dxa"/>
            <w:vAlign w:val="bottom"/>
            <w:gridSpan w:val="2"/>
          </w:tcPr>
          <w:p>
            <w:pPr>
              <w:spacing w:after="0" w:line="222" w:lineRule="exact"/>
              <w:rPr>
                <w:sz w:val="20"/>
                <w:szCs w:val="20"/>
                <w:color w:val="auto"/>
              </w:rPr>
            </w:pPr>
            <w:r>
              <w:rPr>
                <w:rFonts w:ascii="Arial" w:cs="Arial" w:eastAsia="Arial" w:hAnsi="Arial"/>
                <w:sz w:val="22"/>
                <w:szCs w:val="22"/>
                <w:b w:val="1"/>
                <w:bCs w:val="1"/>
                <w:i w:val="1"/>
                <w:iCs w:val="1"/>
                <w:color w:val="auto"/>
              </w:rPr>
              <w:t>T</w:t>
            </w:r>
            <w:r>
              <w:rPr>
                <w:rFonts w:ascii="Arial" w:cs="Arial" w:eastAsia="Arial" w:hAnsi="Arial"/>
                <w:sz w:val="14"/>
                <w:szCs w:val="14"/>
                <w:b w:val="1"/>
                <w:bCs w:val="1"/>
                <w:i w:val="1"/>
                <w:iCs w:val="1"/>
                <w:color w:val="auto"/>
              </w:rPr>
              <w:t>HE</w:t>
            </w:r>
            <w:r>
              <w:rPr>
                <w:rFonts w:ascii="Arial" w:cs="Arial" w:eastAsia="Arial" w:hAnsi="Arial"/>
                <w:sz w:val="22"/>
                <w:szCs w:val="22"/>
                <w:b w:val="1"/>
                <w:bCs w:val="1"/>
                <w:i w:val="1"/>
                <w:iCs w:val="1"/>
                <w:color w:val="auto"/>
              </w:rPr>
              <w:t xml:space="preserve"> L</w:t>
            </w:r>
            <w:r>
              <w:rPr>
                <w:rFonts w:ascii="Arial" w:cs="Arial" w:eastAsia="Arial" w:hAnsi="Arial"/>
                <w:sz w:val="14"/>
                <w:szCs w:val="14"/>
                <w:b w:val="1"/>
                <w:bCs w:val="1"/>
                <w:i w:val="1"/>
                <w:iCs w:val="1"/>
                <w:color w:val="auto"/>
              </w:rPr>
              <w:t>ISA</w:t>
            </w:r>
            <w:r>
              <w:rPr>
                <w:rFonts w:ascii="Arial" w:cs="Arial" w:eastAsia="Arial" w:hAnsi="Arial"/>
                <w:sz w:val="22"/>
                <w:szCs w:val="22"/>
                <w:b w:val="1"/>
                <w:bCs w:val="1"/>
                <w:i w:val="1"/>
                <w:iCs w:val="1"/>
                <w:color w:val="auto"/>
              </w:rPr>
              <w:t xml:space="preserve"> K. S</w:t>
            </w:r>
            <w:r>
              <w:rPr>
                <w:rFonts w:ascii="Arial" w:cs="Arial" w:eastAsia="Arial" w:hAnsi="Arial"/>
                <w:sz w:val="14"/>
                <w:szCs w:val="14"/>
                <w:b w:val="1"/>
                <w:bCs w:val="1"/>
                <w:i w:val="1"/>
                <w:iCs w:val="1"/>
                <w:color w:val="auto"/>
              </w:rPr>
              <w:t>IMMONS</w:t>
            </w:r>
            <w:r>
              <w:rPr>
                <w:rFonts w:ascii="Arial" w:cs="Arial" w:eastAsia="Arial" w:hAnsi="Arial"/>
                <w:sz w:val="22"/>
                <w:szCs w:val="22"/>
                <w:b w:val="1"/>
                <w:bCs w:val="1"/>
                <w:i w:val="1"/>
                <w:iCs w:val="1"/>
                <w:color w:val="auto"/>
              </w:rPr>
              <w:t xml:space="preserve"> 1998 T</w:t>
            </w:r>
            <w:r>
              <w:rPr>
                <w:rFonts w:ascii="Arial" w:cs="Arial" w:eastAsia="Arial" w:hAnsi="Arial"/>
                <w:sz w:val="14"/>
                <w:szCs w:val="14"/>
                <w:b w:val="1"/>
                <w:bCs w:val="1"/>
                <w:i w:val="1"/>
                <w:iCs w:val="1"/>
                <w:color w:val="auto"/>
              </w:rPr>
              <w:t>RUST</w:t>
            </w:r>
          </w:p>
        </w:tc>
        <w:tc>
          <w:tcPr>
            <w:tcW w:w="5680" w:type="dxa"/>
            <w:vAlign w:val="bottom"/>
            <w:gridSpan w:val="2"/>
          </w:tcPr>
          <w:p>
            <w:pPr>
              <w:ind w:left="20"/>
              <w:spacing w:after="0" w:line="222" w:lineRule="exact"/>
              <w:rPr>
                <w:sz w:val="20"/>
                <w:szCs w:val="20"/>
                <w:color w:val="auto"/>
              </w:rPr>
            </w:pPr>
            <w:r>
              <w:rPr>
                <w:rFonts w:ascii="Arial" w:cs="Arial" w:eastAsia="Arial" w:hAnsi="Arial"/>
                <w:sz w:val="22"/>
                <w:szCs w:val="22"/>
                <w:b w:val="1"/>
                <w:bCs w:val="1"/>
                <w:i w:val="1"/>
                <w:iCs w:val="1"/>
                <w:color w:val="auto"/>
              </w:rPr>
              <w:t>T</w:t>
            </w:r>
            <w:r>
              <w:rPr>
                <w:rFonts w:ascii="Arial" w:cs="Arial" w:eastAsia="Arial" w:hAnsi="Arial"/>
                <w:sz w:val="14"/>
                <w:szCs w:val="14"/>
                <w:b w:val="1"/>
                <w:bCs w:val="1"/>
                <w:i w:val="1"/>
                <w:iCs w:val="1"/>
                <w:color w:val="auto"/>
              </w:rPr>
              <w:t>HE</w:t>
            </w:r>
            <w:r>
              <w:rPr>
                <w:rFonts w:ascii="Arial" w:cs="Arial" w:eastAsia="Arial" w:hAnsi="Arial"/>
                <w:sz w:val="22"/>
                <w:szCs w:val="22"/>
                <w:b w:val="1"/>
                <w:bCs w:val="1"/>
                <w:i w:val="1"/>
                <w:iCs w:val="1"/>
                <w:color w:val="auto"/>
              </w:rPr>
              <w:t xml:space="preserve"> S</w:t>
            </w:r>
            <w:r>
              <w:rPr>
                <w:rFonts w:ascii="Arial" w:cs="Arial" w:eastAsia="Arial" w:hAnsi="Arial"/>
                <w:sz w:val="14"/>
                <w:szCs w:val="14"/>
                <w:b w:val="1"/>
                <w:bCs w:val="1"/>
                <w:i w:val="1"/>
                <w:iCs w:val="1"/>
                <w:color w:val="auto"/>
              </w:rPr>
              <w:t>ERENA</w:t>
            </w:r>
            <w:r>
              <w:rPr>
                <w:rFonts w:ascii="Arial" w:cs="Arial" w:eastAsia="Arial" w:hAnsi="Arial"/>
                <w:sz w:val="22"/>
                <w:szCs w:val="22"/>
                <w:b w:val="1"/>
                <w:bCs w:val="1"/>
                <w:i w:val="1"/>
                <w:iCs w:val="1"/>
                <w:color w:val="auto"/>
              </w:rPr>
              <w:t xml:space="preserve"> S. C</w:t>
            </w:r>
            <w:r>
              <w:rPr>
                <w:rFonts w:ascii="Arial" w:cs="Arial" w:eastAsia="Arial" w:hAnsi="Arial"/>
                <w:sz w:val="14"/>
                <w:szCs w:val="14"/>
                <w:b w:val="1"/>
                <w:bCs w:val="1"/>
                <w:i w:val="1"/>
                <w:iCs w:val="1"/>
                <w:color w:val="auto"/>
              </w:rPr>
              <w:t>ONNELLY</w:t>
            </w:r>
            <w:r>
              <w:rPr>
                <w:rFonts w:ascii="Arial" w:cs="Arial" w:eastAsia="Arial" w:hAnsi="Arial"/>
                <w:sz w:val="22"/>
                <w:szCs w:val="22"/>
                <w:b w:val="1"/>
                <w:bCs w:val="1"/>
                <w:i w:val="1"/>
                <w:iCs w:val="1"/>
                <w:color w:val="auto"/>
              </w:rPr>
              <w:t xml:space="preserve"> 1998 T</w:t>
            </w:r>
            <w:r>
              <w:rPr>
                <w:rFonts w:ascii="Arial" w:cs="Arial" w:eastAsia="Arial" w:hAnsi="Arial"/>
                <w:sz w:val="14"/>
                <w:szCs w:val="14"/>
                <w:b w:val="1"/>
                <w:bCs w:val="1"/>
                <w:i w:val="1"/>
                <w:iCs w:val="1"/>
                <w:color w:val="auto"/>
              </w:rPr>
              <w:t>RUST</w:t>
            </w:r>
          </w:p>
        </w:tc>
        <w:tc>
          <w:tcPr>
            <w:tcW w:w="0" w:type="dxa"/>
            <w:vAlign w:val="bottom"/>
          </w:tcPr>
          <w:p>
            <w:pPr>
              <w:spacing w:after="0"/>
              <w:rPr>
                <w:sz w:val="1"/>
                <w:szCs w:val="1"/>
                <w:color w:val="auto"/>
              </w:rPr>
            </w:pPr>
          </w:p>
        </w:tc>
      </w:tr>
      <w:tr>
        <w:trPr>
          <w:trHeight w:val="243"/>
        </w:trPr>
        <w:tc>
          <w:tcPr>
            <w:tcW w:w="480" w:type="dxa"/>
            <w:vAlign w:val="bottom"/>
          </w:tcPr>
          <w:p>
            <w:pPr>
              <w:spacing w:after="0" w:line="243" w:lineRule="exact"/>
              <w:rPr>
                <w:sz w:val="20"/>
                <w:szCs w:val="20"/>
                <w:color w:val="auto"/>
              </w:rPr>
            </w:pPr>
            <w:r>
              <w:rPr>
                <w:rFonts w:ascii="Arial" w:cs="Arial" w:eastAsia="Arial" w:hAnsi="Arial"/>
                <w:sz w:val="22"/>
                <w:szCs w:val="22"/>
                <w:color w:val="auto"/>
              </w:rPr>
              <w:t>B</w:t>
            </w:r>
            <w:r>
              <w:rPr>
                <w:rFonts w:ascii="Arial" w:cs="Arial" w:eastAsia="Arial" w:hAnsi="Arial"/>
                <w:sz w:val="14"/>
                <w:szCs w:val="14"/>
                <w:color w:val="auto"/>
              </w:rPr>
              <w:t>Y</w:t>
            </w:r>
            <w:r>
              <w:rPr>
                <w:rFonts w:ascii="Arial" w:cs="Arial" w:eastAsia="Arial" w:hAnsi="Arial"/>
                <w:sz w:val="22"/>
                <w:szCs w:val="22"/>
                <w:color w:val="auto"/>
              </w:rPr>
              <w:t>:</w:t>
            </w:r>
          </w:p>
        </w:tc>
        <w:tc>
          <w:tcPr>
            <w:tcW w:w="5080" w:type="dxa"/>
            <w:vAlign w:val="bottom"/>
          </w:tcPr>
          <w:p>
            <w:pPr>
              <w:ind w:left="560"/>
              <w:spacing w:after="0" w:line="243" w:lineRule="exact"/>
              <w:rPr>
                <w:sz w:val="20"/>
                <w:szCs w:val="20"/>
                <w:color w:val="auto"/>
              </w:rPr>
            </w:pPr>
            <w:r>
              <w:rPr>
                <w:rFonts w:ascii="Arial" w:cs="Arial" w:eastAsia="Arial" w:hAnsi="Arial"/>
                <w:sz w:val="22"/>
                <w:szCs w:val="22"/>
                <w:color w:val="auto"/>
              </w:rPr>
              <w:t>/</w:t>
            </w:r>
            <w:r>
              <w:rPr>
                <w:rFonts w:ascii="Arial" w:cs="Arial" w:eastAsia="Arial" w:hAnsi="Arial"/>
                <w:sz w:val="14"/>
                <w:szCs w:val="14"/>
                <w:color w:val="auto"/>
              </w:rPr>
              <w:t>S</w:t>
            </w:r>
            <w:r>
              <w:rPr>
                <w:rFonts w:ascii="Arial" w:cs="Arial" w:eastAsia="Arial" w:hAnsi="Arial"/>
                <w:sz w:val="22"/>
                <w:szCs w:val="22"/>
                <w:color w:val="auto"/>
              </w:rPr>
              <w:t>/ L</w:t>
            </w:r>
            <w:r>
              <w:rPr>
                <w:rFonts w:ascii="Arial" w:cs="Arial" w:eastAsia="Arial" w:hAnsi="Arial"/>
                <w:sz w:val="14"/>
                <w:szCs w:val="14"/>
                <w:color w:val="auto"/>
              </w:rPr>
              <w:t>ISA</w:t>
            </w:r>
            <w:r>
              <w:rPr>
                <w:rFonts w:ascii="Arial" w:cs="Arial" w:eastAsia="Arial" w:hAnsi="Arial"/>
                <w:sz w:val="22"/>
                <w:szCs w:val="22"/>
                <w:color w:val="auto"/>
              </w:rPr>
              <w:t xml:space="preserve"> K. S</w:t>
            </w:r>
            <w:r>
              <w:rPr>
                <w:rFonts w:ascii="Arial" w:cs="Arial" w:eastAsia="Arial" w:hAnsi="Arial"/>
                <w:sz w:val="14"/>
                <w:szCs w:val="14"/>
                <w:color w:val="auto"/>
              </w:rPr>
              <w:t>IMMONS</w:t>
            </w:r>
          </w:p>
        </w:tc>
        <w:tc>
          <w:tcPr>
            <w:tcW w:w="480" w:type="dxa"/>
            <w:vAlign w:val="bottom"/>
          </w:tcPr>
          <w:p>
            <w:pPr>
              <w:ind w:left="20"/>
              <w:spacing w:after="0" w:line="243" w:lineRule="exact"/>
              <w:rPr>
                <w:sz w:val="20"/>
                <w:szCs w:val="20"/>
                <w:color w:val="auto"/>
              </w:rPr>
            </w:pPr>
            <w:r>
              <w:rPr>
                <w:rFonts w:ascii="Arial" w:cs="Arial" w:eastAsia="Arial" w:hAnsi="Arial"/>
                <w:sz w:val="22"/>
                <w:szCs w:val="22"/>
                <w:color w:val="auto"/>
              </w:rPr>
              <w:t>B</w:t>
            </w:r>
            <w:r>
              <w:rPr>
                <w:rFonts w:ascii="Arial" w:cs="Arial" w:eastAsia="Arial" w:hAnsi="Arial"/>
                <w:sz w:val="14"/>
                <w:szCs w:val="14"/>
                <w:color w:val="auto"/>
              </w:rPr>
              <w:t>Y</w:t>
            </w:r>
            <w:r>
              <w:rPr>
                <w:rFonts w:ascii="Arial" w:cs="Arial" w:eastAsia="Arial" w:hAnsi="Arial"/>
                <w:sz w:val="22"/>
                <w:szCs w:val="22"/>
                <w:color w:val="auto"/>
              </w:rPr>
              <w:t>:</w:t>
            </w:r>
          </w:p>
        </w:tc>
        <w:tc>
          <w:tcPr>
            <w:tcW w:w="5200" w:type="dxa"/>
            <w:vAlign w:val="bottom"/>
          </w:tcPr>
          <w:p>
            <w:pPr>
              <w:ind w:left="580"/>
              <w:spacing w:after="0" w:line="243" w:lineRule="exact"/>
              <w:rPr>
                <w:sz w:val="20"/>
                <w:szCs w:val="20"/>
                <w:color w:val="auto"/>
              </w:rPr>
            </w:pPr>
            <w:r>
              <w:rPr>
                <w:rFonts w:ascii="Arial" w:cs="Arial" w:eastAsia="Arial" w:hAnsi="Arial"/>
                <w:sz w:val="22"/>
                <w:szCs w:val="22"/>
                <w:color w:val="auto"/>
              </w:rPr>
              <w:t>/</w:t>
            </w:r>
            <w:r>
              <w:rPr>
                <w:rFonts w:ascii="Arial" w:cs="Arial" w:eastAsia="Arial" w:hAnsi="Arial"/>
                <w:sz w:val="14"/>
                <w:szCs w:val="14"/>
                <w:color w:val="auto"/>
              </w:rPr>
              <w:t>S</w:t>
            </w:r>
            <w:r>
              <w:rPr>
                <w:rFonts w:ascii="Arial" w:cs="Arial" w:eastAsia="Arial" w:hAnsi="Arial"/>
                <w:sz w:val="22"/>
                <w:szCs w:val="22"/>
                <w:color w:val="auto"/>
              </w:rPr>
              <w:t>/ S</w:t>
            </w:r>
            <w:r>
              <w:rPr>
                <w:rFonts w:ascii="Arial" w:cs="Arial" w:eastAsia="Arial" w:hAnsi="Arial"/>
                <w:sz w:val="14"/>
                <w:szCs w:val="14"/>
                <w:color w:val="auto"/>
              </w:rPr>
              <w:t>ERENA</w:t>
            </w:r>
            <w:r>
              <w:rPr>
                <w:rFonts w:ascii="Arial" w:cs="Arial" w:eastAsia="Arial" w:hAnsi="Arial"/>
                <w:sz w:val="22"/>
                <w:szCs w:val="22"/>
                <w:color w:val="auto"/>
              </w:rPr>
              <w:t xml:space="preserve"> S. C</w:t>
            </w:r>
            <w:r>
              <w:rPr>
                <w:rFonts w:ascii="Arial" w:cs="Arial" w:eastAsia="Arial" w:hAnsi="Arial"/>
                <w:sz w:val="14"/>
                <w:szCs w:val="14"/>
                <w:color w:val="auto"/>
              </w:rPr>
              <w:t>ONNELLY</w:t>
            </w:r>
          </w:p>
        </w:tc>
        <w:tc>
          <w:tcPr>
            <w:tcW w:w="0" w:type="dxa"/>
            <w:vAlign w:val="bottom"/>
          </w:tcPr>
          <w:p>
            <w:pPr>
              <w:spacing w:after="0"/>
              <w:rPr>
                <w:sz w:val="1"/>
                <w:szCs w:val="1"/>
                <w:color w:val="auto"/>
              </w:rPr>
            </w:pPr>
          </w:p>
        </w:tc>
      </w:tr>
      <w:tr>
        <w:trPr>
          <w:trHeight w:val="271"/>
        </w:trPr>
        <w:tc>
          <w:tcPr>
            <w:tcW w:w="480" w:type="dxa"/>
            <w:vAlign w:val="bottom"/>
            <w:tcBorders>
              <w:bottom w:val="single" w:sz="8" w:color="auto"/>
            </w:tcBorders>
          </w:tcPr>
          <w:p>
            <w:pPr>
              <w:spacing w:after="0"/>
              <w:rPr>
                <w:sz w:val="23"/>
                <w:szCs w:val="23"/>
                <w:color w:val="auto"/>
              </w:rPr>
            </w:pPr>
          </w:p>
        </w:tc>
        <w:tc>
          <w:tcPr>
            <w:tcW w:w="5080" w:type="dxa"/>
            <w:vAlign w:val="bottom"/>
            <w:tcBorders>
              <w:bottom w:val="single" w:sz="8" w:color="auto"/>
            </w:tcBorders>
          </w:tcPr>
          <w:p>
            <w:pPr>
              <w:ind w:left="160"/>
              <w:spacing w:after="0"/>
              <w:rPr>
                <w:sz w:val="20"/>
                <w:szCs w:val="20"/>
                <w:color w:val="auto"/>
              </w:rPr>
            </w:pPr>
            <w:r>
              <w:rPr>
                <w:rFonts w:ascii="Arial" w:cs="Arial" w:eastAsia="Arial" w:hAnsi="Arial"/>
                <w:sz w:val="22"/>
                <w:szCs w:val="22"/>
                <w:color w:val="auto"/>
              </w:rPr>
              <w:t>L</w:t>
            </w:r>
            <w:r>
              <w:rPr>
                <w:rFonts w:ascii="Arial" w:cs="Arial" w:eastAsia="Arial" w:hAnsi="Arial"/>
                <w:sz w:val="14"/>
                <w:szCs w:val="14"/>
                <w:color w:val="auto"/>
              </w:rPr>
              <w:t>ISA</w:t>
            </w:r>
            <w:r>
              <w:rPr>
                <w:rFonts w:ascii="Arial" w:cs="Arial" w:eastAsia="Arial" w:hAnsi="Arial"/>
                <w:sz w:val="22"/>
                <w:szCs w:val="22"/>
                <w:color w:val="auto"/>
              </w:rPr>
              <w:t xml:space="preserve"> K. S</w:t>
            </w:r>
            <w:r>
              <w:rPr>
                <w:rFonts w:ascii="Arial" w:cs="Arial" w:eastAsia="Arial" w:hAnsi="Arial"/>
                <w:sz w:val="14"/>
                <w:szCs w:val="14"/>
                <w:color w:val="auto"/>
              </w:rPr>
              <w:t>IMMONS</w:t>
            </w:r>
            <w:r>
              <w:rPr>
                <w:rFonts w:ascii="Arial" w:cs="Arial" w:eastAsia="Arial" w:hAnsi="Arial"/>
                <w:sz w:val="22"/>
                <w:szCs w:val="22"/>
                <w:color w:val="auto"/>
              </w:rPr>
              <w:t>, T</w:t>
            </w:r>
            <w:r>
              <w:rPr>
                <w:rFonts w:ascii="Arial" w:cs="Arial" w:eastAsia="Arial" w:hAnsi="Arial"/>
                <w:sz w:val="14"/>
                <w:szCs w:val="14"/>
                <w:color w:val="auto"/>
              </w:rPr>
              <w:t>RUSTEE</w:t>
            </w:r>
          </w:p>
        </w:tc>
        <w:tc>
          <w:tcPr>
            <w:tcW w:w="480" w:type="dxa"/>
            <w:vAlign w:val="bottom"/>
            <w:tcBorders>
              <w:bottom w:val="single" w:sz="8" w:color="auto"/>
            </w:tcBorders>
          </w:tcPr>
          <w:p>
            <w:pPr>
              <w:spacing w:after="0"/>
              <w:rPr>
                <w:sz w:val="23"/>
                <w:szCs w:val="23"/>
                <w:color w:val="auto"/>
              </w:rPr>
            </w:pPr>
          </w:p>
        </w:tc>
        <w:tc>
          <w:tcPr>
            <w:tcW w:w="5200" w:type="dxa"/>
            <w:vAlign w:val="bottom"/>
            <w:tcBorders>
              <w:bottom w:val="single" w:sz="8" w:color="auto"/>
            </w:tcBorders>
          </w:tcPr>
          <w:p>
            <w:pPr>
              <w:ind w:left="160"/>
              <w:spacing w:after="0"/>
              <w:rPr>
                <w:sz w:val="20"/>
                <w:szCs w:val="20"/>
                <w:color w:val="auto"/>
              </w:rPr>
            </w:pPr>
            <w:r>
              <w:rPr>
                <w:rFonts w:ascii="Arial" w:cs="Arial" w:eastAsia="Arial" w:hAnsi="Arial"/>
                <w:sz w:val="22"/>
                <w:szCs w:val="22"/>
                <w:color w:val="auto"/>
              </w:rPr>
              <w:t>S</w:t>
            </w:r>
            <w:r>
              <w:rPr>
                <w:rFonts w:ascii="Arial" w:cs="Arial" w:eastAsia="Arial" w:hAnsi="Arial"/>
                <w:sz w:val="14"/>
                <w:szCs w:val="14"/>
                <w:color w:val="auto"/>
              </w:rPr>
              <w:t>ERENA</w:t>
            </w:r>
            <w:r>
              <w:rPr>
                <w:rFonts w:ascii="Arial" w:cs="Arial" w:eastAsia="Arial" w:hAnsi="Arial"/>
                <w:sz w:val="22"/>
                <w:szCs w:val="22"/>
                <w:color w:val="auto"/>
              </w:rPr>
              <w:t xml:space="preserve"> S. C</w:t>
            </w:r>
            <w:r>
              <w:rPr>
                <w:rFonts w:ascii="Arial" w:cs="Arial" w:eastAsia="Arial" w:hAnsi="Arial"/>
                <w:sz w:val="14"/>
                <w:szCs w:val="14"/>
                <w:color w:val="auto"/>
              </w:rPr>
              <w:t>ONNELLY</w:t>
            </w:r>
            <w:r>
              <w:rPr>
                <w:rFonts w:ascii="Arial" w:cs="Arial" w:eastAsia="Arial" w:hAnsi="Arial"/>
                <w:sz w:val="22"/>
                <w:szCs w:val="22"/>
                <w:color w:val="auto"/>
              </w:rPr>
              <w:t>, T</w:t>
            </w:r>
            <w:r>
              <w:rPr>
                <w:rFonts w:ascii="Arial" w:cs="Arial" w:eastAsia="Arial" w:hAnsi="Arial"/>
                <w:sz w:val="14"/>
                <w:szCs w:val="14"/>
                <w:color w:val="auto"/>
              </w:rPr>
              <w:t>RUSTEE</w:t>
            </w:r>
          </w:p>
        </w:tc>
        <w:tc>
          <w:tcPr>
            <w:tcW w:w="0" w:type="dxa"/>
            <w:vAlign w:val="bottom"/>
          </w:tcPr>
          <w:p>
            <w:pPr>
              <w:spacing w:after="0"/>
              <w:rPr>
                <w:sz w:val="1"/>
                <w:szCs w:val="1"/>
                <w:color w:val="auto"/>
              </w:rPr>
            </w:pPr>
          </w:p>
        </w:tc>
      </w:tr>
      <w:tr>
        <w:trPr>
          <w:trHeight w:val="222"/>
        </w:trPr>
        <w:tc>
          <w:tcPr>
            <w:tcW w:w="5560" w:type="dxa"/>
            <w:vAlign w:val="bottom"/>
            <w:gridSpan w:val="2"/>
          </w:tcPr>
          <w:p>
            <w:pPr>
              <w:spacing w:after="0" w:line="222" w:lineRule="exact"/>
              <w:rPr>
                <w:sz w:val="20"/>
                <w:szCs w:val="20"/>
                <w:color w:val="auto"/>
              </w:rPr>
            </w:pPr>
            <w:r>
              <w:rPr>
                <w:rFonts w:ascii="Arial" w:cs="Arial" w:eastAsia="Arial" w:hAnsi="Arial"/>
                <w:sz w:val="22"/>
                <w:szCs w:val="22"/>
                <w:b w:val="1"/>
                <w:bCs w:val="1"/>
                <w:i w:val="1"/>
                <w:iCs w:val="1"/>
                <w:color w:val="auto"/>
              </w:rPr>
              <w:t>NCC F</w:t>
            </w:r>
            <w:r>
              <w:rPr>
                <w:rFonts w:ascii="Arial" w:cs="Arial" w:eastAsia="Arial" w:hAnsi="Arial"/>
                <w:sz w:val="14"/>
                <w:szCs w:val="14"/>
                <w:b w:val="1"/>
                <w:bCs w:val="1"/>
                <w:i w:val="1"/>
                <w:iCs w:val="1"/>
                <w:color w:val="auto"/>
              </w:rPr>
              <w:t>AMILY</w:t>
            </w:r>
            <w:r>
              <w:rPr>
                <w:rFonts w:ascii="Arial" w:cs="Arial" w:eastAsia="Arial" w:hAnsi="Arial"/>
                <w:sz w:val="22"/>
                <w:szCs w:val="22"/>
                <w:b w:val="1"/>
                <w:bCs w:val="1"/>
                <w:i w:val="1"/>
                <w:iCs w:val="1"/>
                <w:color w:val="auto"/>
              </w:rPr>
              <w:t xml:space="preserve"> T</w:t>
            </w:r>
            <w:r>
              <w:rPr>
                <w:rFonts w:ascii="Arial" w:cs="Arial" w:eastAsia="Arial" w:hAnsi="Arial"/>
                <w:sz w:val="14"/>
                <w:szCs w:val="14"/>
                <w:b w:val="1"/>
                <w:bCs w:val="1"/>
                <w:i w:val="1"/>
                <w:iCs w:val="1"/>
                <w:color w:val="auto"/>
              </w:rPr>
              <w:t>RUST</w:t>
            </w:r>
          </w:p>
        </w:tc>
        <w:tc>
          <w:tcPr>
            <w:tcW w:w="5680" w:type="dxa"/>
            <w:vAlign w:val="bottom"/>
            <w:gridSpan w:val="2"/>
          </w:tcPr>
          <w:p>
            <w:pPr>
              <w:ind w:left="20"/>
              <w:spacing w:after="0" w:line="222" w:lineRule="exact"/>
              <w:rPr>
                <w:sz w:val="20"/>
                <w:szCs w:val="20"/>
                <w:color w:val="auto"/>
              </w:rPr>
            </w:pPr>
            <w:r>
              <w:rPr>
                <w:rFonts w:ascii="Arial" w:cs="Arial" w:eastAsia="Arial" w:hAnsi="Arial"/>
                <w:sz w:val="22"/>
                <w:szCs w:val="22"/>
                <w:b w:val="1"/>
                <w:bCs w:val="1"/>
                <w:i w:val="1"/>
                <w:iCs w:val="1"/>
                <w:color w:val="auto"/>
              </w:rPr>
              <w:t>HSE F</w:t>
            </w:r>
            <w:r>
              <w:rPr>
                <w:rFonts w:ascii="Arial" w:cs="Arial" w:eastAsia="Arial" w:hAnsi="Arial"/>
                <w:sz w:val="14"/>
                <w:szCs w:val="14"/>
                <w:b w:val="1"/>
                <w:bCs w:val="1"/>
                <w:i w:val="1"/>
                <w:iCs w:val="1"/>
                <w:color w:val="auto"/>
              </w:rPr>
              <w:t>AMILY</w:t>
            </w:r>
            <w:r>
              <w:rPr>
                <w:rFonts w:ascii="Arial" w:cs="Arial" w:eastAsia="Arial" w:hAnsi="Arial"/>
                <w:sz w:val="22"/>
                <w:szCs w:val="22"/>
                <w:b w:val="1"/>
                <w:bCs w:val="1"/>
                <w:i w:val="1"/>
                <w:iCs w:val="1"/>
                <w:color w:val="auto"/>
              </w:rPr>
              <w:t xml:space="preserve"> T</w:t>
            </w:r>
            <w:r>
              <w:rPr>
                <w:rFonts w:ascii="Arial" w:cs="Arial" w:eastAsia="Arial" w:hAnsi="Arial"/>
                <w:sz w:val="14"/>
                <w:szCs w:val="14"/>
                <w:b w:val="1"/>
                <w:bCs w:val="1"/>
                <w:i w:val="1"/>
                <w:iCs w:val="1"/>
                <w:color w:val="auto"/>
              </w:rPr>
              <w:t>RUST</w:t>
            </w:r>
          </w:p>
        </w:tc>
        <w:tc>
          <w:tcPr>
            <w:tcW w:w="0" w:type="dxa"/>
            <w:vAlign w:val="bottom"/>
          </w:tcPr>
          <w:p>
            <w:pPr>
              <w:spacing w:after="0"/>
              <w:rPr>
                <w:sz w:val="1"/>
                <w:szCs w:val="1"/>
                <w:color w:val="auto"/>
              </w:rPr>
            </w:pPr>
          </w:p>
        </w:tc>
      </w:tr>
      <w:tr>
        <w:trPr>
          <w:trHeight w:val="243"/>
        </w:trPr>
        <w:tc>
          <w:tcPr>
            <w:tcW w:w="480" w:type="dxa"/>
            <w:vAlign w:val="bottom"/>
          </w:tcPr>
          <w:p>
            <w:pPr>
              <w:spacing w:after="0" w:line="243" w:lineRule="exact"/>
              <w:rPr>
                <w:sz w:val="20"/>
                <w:szCs w:val="20"/>
                <w:color w:val="auto"/>
              </w:rPr>
            </w:pPr>
            <w:r>
              <w:rPr>
                <w:rFonts w:ascii="Arial" w:cs="Arial" w:eastAsia="Arial" w:hAnsi="Arial"/>
                <w:sz w:val="22"/>
                <w:szCs w:val="22"/>
                <w:color w:val="auto"/>
              </w:rPr>
              <w:t>B</w:t>
            </w:r>
            <w:r>
              <w:rPr>
                <w:rFonts w:ascii="Arial" w:cs="Arial" w:eastAsia="Arial" w:hAnsi="Arial"/>
                <w:sz w:val="14"/>
                <w:szCs w:val="14"/>
                <w:color w:val="auto"/>
              </w:rPr>
              <w:t>Y</w:t>
            </w:r>
            <w:r>
              <w:rPr>
                <w:rFonts w:ascii="Arial" w:cs="Arial" w:eastAsia="Arial" w:hAnsi="Arial"/>
                <w:sz w:val="22"/>
                <w:szCs w:val="22"/>
                <w:color w:val="auto"/>
              </w:rPr>
              <w:t>:</w:t>
            </w:r>
          </w:p>
        </w:tc>
        <w:tc>
          <w:tcPr>
            <w:tcW w:w="5080" w:type="dxa"/>
            <w:vAlign w:val="bottom"/>
          </w:tcPr>
          <w:p>
            <w:pPr>
              <w:ind w:left="560"/>
              <w:spacing w:after="0" w:line="243" w:lineRule="exact"/>
              <w:rPr>
                <w:sz w:val="20"/>
                <w:szCs w:val="20"/>
                <w:color w:val="auto"/>
              </w:rPr>
            </w:pPr>
            <w:r>
              <w:rPr>
                <w:rFonts w:ascii="Arial" w:cs="Arial" w:eastAsia="Arial" w:hAnsi="Arial"/>
                <w:sz w:val="22"/>
                <w:szCs w:val="22"/>
                <w:color w:val="auto"/>
              </w:rPr>
              <w:t>/</w:t>
            </w:r>
            <w:r>
              <w:rPr>
                <w:rFonts w:ascii="Arial" w:cs="Arial" w:eastAsia="Arial" w:hAnsi="Arial"/>
                <w:sz w:val="14"/>
                <w:szCs w:val="14"/>
                <w:color w:val="auto"/>
              </w:rPr>
              <w:t>S</w:t>
            </w:r>
            <w:r>
              <w:rPr>
                <w:rFonts w:ascii="Arial" w:cs="Arial" w:eastAsia="Arial" w:hAnsi="Arial"/>
                <w:sz w:val="22"/>
                <w:szCs w:val="22"/>
                <w:color w:val="auto"/>
              </w:rPr>
              <w:t>/ L</w:t>
            </w:r>
            <w:r>
              <w:rPr>
                <w:rFonts w:ascii="Arial" w:cs="Arial" w:eastAsia="Arial" w:hAnsi="Arial"/>
                <w:sz w:val="14"/>
                <w:szCs w:val="14"/>
                <w:color w:val="auto"/>
              </w:rPr>
              <w:t>ISA</w:t>
            </w:r>
            <w:r>
              <w:rPr>
                <w:rFonts w:ascii="Arial" w:cs="Arial" w:eastAsia="Arial" w:hAnsi="Arial"/>
                <w:sz w:val="22"/>
                <w:szCs w:val="22"/>
                <w:color w:val="auto"/>
              </w:rPr>
              <w:t xml:space="preserve"> K. S</w:t>
            </w:r>
            <w:r>
              <w:rPr>
                <w:rFonts w:ascii="Arial" w:cs="Arial" w:eastAsia="Arial" w:hAnsi="Arial"/>
                <w:sz w:val="14"/>
                <w:szCs w:val="14"/>
                <w:color w:val="auto"/>
              </w:rPr>
              <w:t>IMMONS</w:t>
            </w:r>
          </w:p>
        </w:tc>
        <w:tc>
          <w:tcPr>
            <w:tcW w:w="480" w:type="dxa"/>
            <w:vAlign w:val="bottom"/>
          </w:tcPr>
          <w:p>
            <w:pPr>
              <w:ind w:left="20"/>
              <w:spacing w:after="0" w:line="243" w:lineRule="exact"/>
              <w:rPr>
                <w:sz w:val="20"/>
                <w:szCs w:val="20"/>
                <w:color w:val="auto"/>
              </w:rPr>
            </w:pPr>
            <w:r>
              <w:rPr>
                <w:rFonts w:ascii="Arial" w:cs="Arial" w:eastAsia="Arial" w:hAnsi="Arial"/>
                <w:sz w:val="22"/>
                <w:szCs w:val="22"/>
                <w:color w:val="auto"/>
              </w:rPr>
              <w:t>B</w:t>
            </w:r>
            <w:r>
              <w:rPr>
                <w:rFonts w:ascii="Arial" w:cs="Arial" w:eastAsia="Arial" w:hAnsi="Arial"/>
                <w:sz w:val="14"/>
                <w:szCs w:val="14"/>
                <w:color w:val="auto"/>
              </w:rPr>
              <w:t>Y</w:t>
            </w:r>
            <w:r>
              <w:rPr>
                <w:rFonts w:ascii="Arial" w:cs="Arial" w:eastAsia="Arial" w:hAnsi="Arial"/>
                <w:sz w:val="22"/>
                <w:szCs w:val="22"/>
                <w:color w:val="auto"/>
              </w:rPr>
              <w:t>:</w:t>
            </w:r>
          </w:p>
        </w:tc>
        <w:tc>
          <w:tcPr>
            <w:tcW w:w="5200" w:type="dxa"/>
            <w:vAlign w:val="bottom"/>
          </w:tcPr>
          <w:p>
            <w:pPr>
              <w:ind w:left="580"/>
              <w:spacing w:after="0" w:line="243" w:lineRule="exact"/>
              <w:rPr>
                <w:sz w:val="20"/>
                <w:szCs w:val="20"/>
                <w:color w:val="auto"/>
              </w:rPr>
            </w:pPr>
            <w:r>
              <w:rPr>
                <w:rFonts w:ascii="Arial" w:cs="Arial" w:eastAsia="Arial" w:hAnsi="Arial"/>
                <w:sz w:val="22"/>
                <w:szCs w:val="22"/>
                <w:color w:val="auto"/>
              </w:rPr>
              <w:t>/</w:t>
            </w:r>
            <w:r>
              <w:rPr>
                <w:rFonts w:ascii="Arial" w:cs="Arial" w:eastAsia="Arial" w:hAnsi="Arial"/>
                <w:sz w:val="14"/>
                <w:szCs w:val="14"/>
                <w:color w:val="auto"/>
              </w:rPr>
              <w:t>S</w:t>
            </w:r>
            <w:r>
              <w:rPr>
                <w:rFonts w:ascii="Arial" w:cs="Arial" w:eastAsia="Arial" w:hAnsi="Arial"/>
                <w:sz w:val="22"/>
                <w:szCs w:val="22"/>
                <w:color w:val="auto"/>
              </w:rPr>
              <w:t>/ S</w:t>
            </w:r>
            <w:r>
              <w:rPr>
                <w:rFonts w:ascii="Arial" w:cs="Arial" w:eastAsia="Arial" w:hAnsi="Arial"/>
                <w:sz w:val="14"/>
                <w:szCs w:val="14"/>
                <w:color w:val="auto"/>
              </w:rPr>
              <w:t>ERENA</w:t>
            </w:r>
            <w:r>
              <w:rPr>
                <w:rFonts w:ascii="Arial" w:cs="Arial" w:eastAsia="Arial" w:hAnsi="Arial"/>
                <w:sz w:val="22"/>
                <w:szCs w:val="22"/>
                <w:color w:val="auto"/>
              </w:rPr>
              <w:t xml:space="preserve"> S. C</w:t>
            </w:r>
            <w:r>
              <w:rPr>
                <w:rFonts w:ascii="Arial" w:cs="Arial" w:eastAsia="Arial" w:hAnsi="Arial"/>
                <w:sz w:val="14"/>
                <w:szCs w:val="14"/>
                <w:color w:val="auto"/>
              </w:rPr>
              <w:t>ONNELLY</w:t>
            </w:r>
          </w:p>
        </w:tc>
        <w:tc>
          <w:tcPr>
            <w:tcW w:w="0" w:type="dxa"/>
            <w:vAlign w:val="bottom"/>
          </w:tcPr>
          <w:p>
            <w:pPr>
              <w:spacing w:after="0"/>
              <w:rPr>
                <w:sz w:val="1"/>
                <w:szCs w:val="1"/>
                <w:color w:val="auto"/>
              </w:rPr>
            </w:pPr>
          </w:p>
        </w:tc>
      </w:tr>
      <w:tr>
        <w:trPr>
          <w:trHeight w:val="271"/>
        </w:trPr>
        <w:tc>
          <w:tcPr>
            <w:tcW w:w="480" w:type="dxa"/>
            <w:vAlign w:val="bottom"/>
            <w:tcBorders>
              <w:bottom w:val="single" w:sz="8" w:color="auto"/>
            </w:tcBorders>
          </w:tcPr>
          <w:p>
            <w:pPr>
              <w:spacing w:after="0"/>
              <w:rPr>
                <w:sz w:val="23"/>
                <w:szCs w:val="23"/>
                <w:color w:val="auto"/>
              </w:rPr>
            </w:pPr>
          </w:p>
        </w:tc>
        <w:tc>
          <w:tcPr>
            <w:tcW w:w="5080" w:type="dxa"/>
            <w:vAlign w:val="bottom"/>
            <w:tcBorders>
              <w:bottom w:val="single" w:sz="8" w:color="auto"/>
            </w:tcBorders>
          </w:tcPr>
          <w:p>
            <w:pPr>
              <w:ind w:left="160"/>
              <w:spacing w:after="0"/>
              <w:rPr>
                <w:sz w:val="20"/>
                <w:szCs w:val="20"/>
                <w:color w:val="auto"/>
              </w:rPr>
            </w:pPr>
            <w:r>
              <w:rPr>
                <w:rFonts w:ascii="Arial" w:cs="Arial" w:eastAsia="Arial" w:hAnsi="Arial"/>
                <w:sz w:val="22"/>
                <w:szCs w:val="22"/>
                <w:color w:val="auto"/>
              </w:rPr>
              <w:t>L</w:t>
            </w:r>
            <w:r>
              <w:rPr>
                <w:rFonts w:ascii="Arial" w:cs="Arial" w:eastAsia="Arial" w:hAnsi="Arial"/>
                <w:sz w:val="14"/>
                <w:szCs w:val="14"/>
                <w:color w:val="auto"/>
              </w:rPr>
              <w:t>ISA</w:t>
            </w:r>
            <w:r>
              <w:rPr>
                <w:rFonts w:ascii="Arial" w:cs="Arial" w:eastAsia="Arial" w:hAnsi="Arial"/>
                <w:sz w:val="22"/>
                <w:szCs w:val="22"/>
                <w:color w:val="auto"/>
              </w:rPr>
              <w:t xml:space="preserve"> K. S</w:t>
            </w:r>
            <w:r>
              <w:rPr>
                <w:rFonts w:ascii="Arial" w:cs="Arial" w:eastAsia="Arial" w:hAnsi="Arial"/>
                <w:sz w:val="14"/>
                <w:szCs w:val="14"/>
                <w:color w:val="auto"/>
              </w:rPr>
              <w:t>IMMONS</w:t>
            </w:r>
            <w:r>
              <w:rPr>
                <w:rFonts w:ascii="Arial" w:cs="Arial" w:eastAsia="Arial" w:hAnsi="Arial"/>
                <w:sz w:val="22"/>
                <w:szCs w:val="22"/>
                <w:color w:val="auto"/>
              </w:rPr>
              <w:t>, T</w:t>
            </w:r>
            <w:r>
              <w:rPr>
                <w:rFonts w:ascii="Arial" w:cs="Arial" w:eastAsia="Arial" w:hAnsi="Arial"/>
                <w:sz w:val="14"/>
                <w:szCs w:val="14"/>
                <w:color w:val="auto"/>
              </w:rPr>
              <w:t>RUSTEE</w:t>
            </w:r>
          </w:p>
        </w:tc>
        <w:tc>
          <w:tcPr>
            <w:tcW w:w="480" w:type="dxa"/>
            <w:vAlign w:val="bottom"/>
            <w:tcBorders>
              <w:bottom w:val="single" w:sz="8" w:color="auto"/>
            </w:tcBorders>
          </w:tcPr>
          <w:p>
            <w:pPr>
              <w:spacing w:after="0"/>
              <w:rPr>
                <w:sz w:val="23"/>
                <w:szCs w:val="23"/>
                <w:color w:val="auto"/>
              </w:rPr>
            </w:pPr>
          </w:p>
        </w:tc>
        <w:tc>
          <w:tcPr>
            <w:tcW w:w="5200" w:type="dxa"/>
            <w:vAlign w:val="bottom"/>
            <w:tcBorders>
              <w:bottom w:val="single" w:sz="8" w:color="auto"/>
            </w:tcBorders>
          </w:tcPr>
          <w:p>
            <w:pPr>
              <w:ind w:left="160"/>
              <w:spacing w:after="0"/>
              <w:rPr>
                <w:sz w:val="20"/>
                <w:szCs w:val="20"/>
                <w:color w:val="auto"/>
              </w:rPr>
            </w:pPr>
            <w:r>
              <w:rPr>
                <w:rFonts w:ascii="Arial" w:cs="Arial" w:eastAsia="Arial" w:hAnsi="Arial"/>
                <w:sz w:val="22"/>
                <w:szCs w:val="22"/>
                <w:color w:val="auto"/>
              </w:rPr>
              <w:t>S</w:t>
            </w:r>
            <w:r>
              <w:rPr>
                <w:rFonts w:ascii="Arial" w:cs="Arial" w:eastAsia="Arial" w:hAnsi="Arial"/>
                <w:sz w:val="14"/>
                <w:szCs w:val="14"/>
                <w:color w:val="auto"/>
              </w:rPr>
              <w:t>ERENA</w:t>
            </w:r>
            <w:r>
              <w:rPr>
                <w:rFonts w:ascii="Arial" w:cs="Arial" w:eastAsia="Arial" w:hAnsi="Arial"/>
                <w:sz w:val="22"/>
                <w:szCs w:val="22"/>
                <w:color w:val="auto"/>
              </w:rPr>
              <w:t xml:space="preserve"> S. C</w:t>
            </w:r>
            <w:r>
              <w:rPr>
                <w:rFonts w:ascii="Arial" w:cs="Arial" w:eastAsia="Arial" w:hAnsi="Arial"/>
                <w:sz w:val="14"/>
                <w:szCs w:val="14"/>
                <w:color w:val="auto"/>
              </w:rPr>
              <w:t>ONNELLY</w:t>
            </w:r>
            <w:r>
              <w:rPr>
                <w:rFonts w:ascii="Arial" w:cs="Arial" w:eastAsia="Arial" w:hAnsi="Arial"/>
                <w:sz w:val="22"/>
                <w:szCs w:val="22"/>
                <w:color w:val="auto"/>
              </w:rPr>
              <w:t>, T</w:t>
            </w:r>
            <w:r>
              <w:rPr>
                <w:rFonts w:ascii="Arial" w:cs="Arial" w:eastAsia="Arial" w:hAnsi="Arial"/>
                <w:sz w:val="14"/>
                <w:szCs w:val="14"/>
                <w:color w:val="auto"/>
              </w:rPr>
              <w:t>RUSTEE</w:t>
            </w:r>
          </w:p>
        </w:tc>
        <w:tc>
          <w:tcPr>
            <w:tcW w:w="0" w:type="dxa"/>
            <w:vAlign w:val="bottom"/>
          </w:tcPr>
          <w:p>
            <w:pPr>
              <w:spacing w:after="0"/>
              <w:rPr>
                <w:sz w:val="1"/>
                <w:szCs w:val="1"/>
                <w:color w:val="auto"/>
              </w:rPr>
            </w:pPr>
          </w:p>
        </w:tc>
      </w:tr>
      <w:tr>
        <w:trPr>
          <w:trHeight w:val="222"/>
        </w:trPr>
        <w:tc>
          <w:tcPr>
            <w:tcW w:w="5560" w:type="dxa"/>
            <w:vAlign w:val="bottom"/>
            <w:gridSpan w:val="2"/>
          </w:tcPr>
          <w:p>
            <w:pPr>
              <w:spacing w:after="0" w:line="222" w:lineRule="exact"/>
              <w:rPr>
                <w:sz w:val="20"/>
                <w:szCs w:val="20"/>
                <w:color w:val="auto"/>
              </w:rPr>
            </w:pPr>
            <w:r>
              <w:rPr>
                <w:rFonts w:ascii="Arial" w:cs="Arial" w:eastAsia="Arial" w:hAnsi="Arial"/>
                <w:sz w:val="22"/>
                <w:szCs w:val="22"/>
                <w:b w:val="1"/>
                <w:bCs w:val="1"/>
                <w:i w:val="1"/>
                <w:iCs w:val="1"/>
                <w:color w:val="auto"/>
              </w:rPr>
              <w:t>NXC F</w:t>
            </w:r>
            <w:r>
              <w:rPr>
                <w:rFonts w:ascii="Arial" w:cs="Arial" w:eastAsia="Arial" w:hAnsi="Arial"/>
                <w:sz w:val="14"/>
                <w:szCs w:val="14"/>
                <w:b w:val="1"/>
                <w:bCs w:val="1"/>
                <w:i w:val="1"/>
                <w:iCs w:val="1"/>
                <w:color w:val="auto"/>
              </w:rPr>
              <w:t>AMILY</w:t>
            </w:r>
            <w:r>
              <w:rPr>
                <w:rFonts w:ascii="Arial" w:cs="Arial" w:eastAsia="Arial" w:hAnsi="Arial"/>
                <w:sz w:val="22"/>
                <w:szCs w:val="22"/>
                <w:b w:val="1"/>
                <w:bCs w:val="1"/>
                <w:i w:val="1"/>
                <w:iCs w:val="1"/>
                <w:color w:val="auto"/>
              </w:rPr>
              <w:t xml:space="preserve"> T</w:t>
            </w:r>
            <w:r>
              <w:rPr>
                <w:rFonts w:ascii="Arial" w:cs="Arial" w:eastAsia="Arial" w:hAnsi="Arial"/>
                <w:sz w:val="14"/>
                <w:szCs w:val="14"/>
                <w:b w:val="1"/>
                <w:bCs w:val="1"/>
                <w:i w:val="1"/>
                <w:iCs w:val="1"/>
                <w:color w:val="auto"/>
              </w:rPr>
              <w:t>RUST</w:t>
            </w:r>
          </w:p>
        </w:tc>
        <w:tc>
          <w:tcPr>
            <w:tcW w:w="5680" w:type="dxa"/>
            <w:vAlign w:val="bottom"/>
            <w:gridSpan w:val="2"/>
          </w:tcPr>
          <w:p>
            <w:pPr>
              <w:ind w:left="20"/>
              <w:spacing w:after="0" w:line="222" w:lineRule="exact"/>
              <w:rPr>
                <w:sz w:val="20"/>
                <w:szCs w:val="20"/>
                <w:color w:val="auto"/>
              </w:rPr>
            </w:pPr>
            <w:r>
              <w:rPr>
                <w:rFonts w:ascii="Arial" w:cs="Arial" w:eastAsia="Arial" w:hAnsi="Arial"/>
                <w:sz w:val="22"/>
                <w:szCs w:val="22"/>
                <w:b w:val="1"/>
                <w:bCs w:val="1"/>
                <w:i w:val="1"/>
                <w:iCs w:val="1"/>
                <w:color w:val="auto"/>
              </w:rPr>
              <w:t>C</w:t>
            </w:r>
            <w:r>
              <w:rPr>
                <w:rFonts w:ascii="Arial" w:cs="Arial" w:eastAsia="Arial" w:hAnsi="Arial"/>
                <w:sz w:val="14"/>
                <w:szCs w:val="14"/>
                <w:b w:val="1"/>
                <w:bCs w:val="1"/>
                <w:i w:val="1"/>
                <w:iCs w:val="1"/>
                <w:color w:val="auto"/>
              </w:rPr>
              <w:t>ONTRAN</w:t>
            </w:r>
            <w:r>
              <w:rPr>
                <w:rFonts w:ascii="Arial" w:cs="Arial" w:eastAsia="Arial" w:hAnsi="Arial"/>
                <w:sz w:val="22"/>
                <w:szCs w:val="22"/>
                <w:b w:val="1"/>
                <w:bCs w:val="1"/>
                <w:i w:val="1"/>
                <w:iCs w:val="1"/>
                <w:color w:val="auto"/>
              </w:rPr>
              <w:t xml:space="preserve"> C</w:t>
            </w:r>
            <w:r>
              <w:rPr>
                <w:rFonts w:ascii="Arial" w:cs="Arial" w:eastAsia="Arial" w:hAnsi="Arial"/>
                <w:sz w:val="14"/>
                <w:szCs w:val="14"/>
                <w:b w:val="1"/>
                <w:bCs w:val="1"/>
                <w:i w:val="1"/>
                <w:iCs w:val="1"/>
                <w:color w:val="auto"/>
              </w:rPr>
              <w:t>ORPORATION</w:t>
            </w:r>
          </w:p>
        </w:tc>
        <w:tc>
          <w:tcPr>
            <w:tcW w:w="0" w:type="dxa"/>
            <w:vAlign w:val="bottom"/>
          </w:tcPr>
          <w:p>
            <w:pPr>
              <w:spacing w:after="0"/>
              <w:rPr>
                <w:sz w:val="1"/>
                <w:szCs w:val="1"/>
                <w:color w:val="auto"/>
              </w:rPr>
            </w:pPr>
          </w:p>
        </w:tc>
      </w:tr>
      <w:tr>
        <w:trPr>
          <w:trHeight w:val="243"/>
        </w:trPr>
        <w:tc>
          <w:tcPr>
            <w:tcW w:w="480" w:type="dxa"/>
            <w:vAlign w:val="bottom"/>
          </w:tcPr>
          <w:p>
            <w:pPr>
              <w:spacing w:after="0" w:line="243" w:lineRule="exact"/>
              <w:rPr>
                <w:sz w:val="20"/>
                <w:szCs w:val="20"/>
                <w:color w:val="auto"/>
              </w:rPr>
            </w:pPr>
            <w:r>
              <w:rPr>
                <w:rFonts w:ascii="Arial" w:cs="Arial" w:eastAsia="Arial" w:hAnsi="Arial"/>
                <w:sz w:val="22"/>
                <w:szCs w:val="22"/>
                <w:color w:val="auto"/>
              </w:rPr>
              <w:t>B</w:t>
            </w:r>
            <w:r>
              <w:rPr>
                <w:rFonts w:ascii="Arial" w:cs="Arial" w:eastAsia="Arial" w:hAnsi="Arial"/>
                <w:sz w:val="14"/>
                <w:szCs w:val="14"/>
                <w:color w:val="auto"/>
              </w:rPr>
              <w:t>Y</w:t>
            </w:r>
            <w:r>
              <w:rPr>
                <w:rFonts w:ascii="Arial" w:cs="Arial" w:eastAsia="Arial" w:hAnsi="Arial"/>
                <w:sz w:val="22"/>
                <w:szCs w:val="22"/>
                <w:color w:val="auto"/>
              </w:rPr>
              <w:t>:</w:t>
            </w:r>
          </w:p>
        </w:tc>
        <w:tc>
          <w:tcPr>
            <w:tcW w:w="5080" w:type="dxa"/>
            <w:vAlign w:val="bottom"/>
          </w:tcPr>
          <w:p>
            <w:pPr>
              <w:ind w:left="560"/>
              <w:spacing w:after="0" w:line="243" w:lineRule="exact"/>
              <w:rPr>
                <w:sz w:val="20"/>
                <w:szCs w:val="20"/>
                <w:color w:val="auto"/>
              </w:rPr>
            </w:pPr>
            <w:r>
              <w:rPr>
                <w:rFonts w:ascii="Arial" w:cs="Arial" w:eastAsia="Arial" w:hAnsi="Arial"/>
                <w:sz w:val="22"/>
                <w:szCs w:val="22"/>
                <w:color w:val="auto"/>
              </w:rPr>
              <w:t>/</w:t>
            </w:r>
            <w:r>
              <w:rPr>
                <w:rFonts w:ascii="Arial" w:cs="Arial" w:eastAsia="Arial" w:hAnsi="Arial"/>
                <w:sz w:val="14"/>
                <w:szCs w:val="14"/>
                <w:color w:val="auto"/>
              </w:rPr>
              <w:t>S</w:t>
            </w:r>
            <w:r>
              <w:rPr>
                <w:rFonts w:ascii="Arial" w:cs="Arial" w:eastAsia="Arial" w:hAnsi="Arial"/>
                <w:sz w:val="22"/>
                <w:szCs w:val="22"/>
                <w:color w:val="auto"/>
              </w:rPr>
              <w:t>/ L</w:t>
            </w:r>
            <w:r>
              <w:rPr>
                <w:rFonts w:ascii="Arial" w:cs="Arial" w:eastAsia="Arial" w:hAnsi="Arial"/>
                <w:sz w:val="14"/>
                <w:szCs w:val="14"/>
                <w:color w:val="auto"/>
              </w:rPr>
              <w:t>ISA</w:t>
            </w:r>
            <w:r>
              <w:rPr>
                <w:rFonts w:ascii="Arial" w:cs="Arial" w:eastAsia="Arial" w:hAnsi="Arial"/>
                <w:sz w:val="22"/>
                <w:szCs w:val="22"/>
                <w:color w:val="auto"/>
              </w:rPr>
              <w:t xml:space="preserve"> K. S</w:t>
            </w:r>
            <w:r>
              <w:rPr>
                <w:rFonts w:ascii="Arial" w:cs="Arial" w:eastAsia="Arial" w:hAnsi="Arial"/>
                <w:sz w:val="14"/>
                <w:szCs w:val="14"/>
                <w:color w:val="auto"/>
              </w:rPr>
              <w:t>IMMONS</w:t>
            </w:r>
          </w:p>
        </w:tc>
        <w:tc>
          <w:tcPr>
            <w:tcW w:w="480" w:type="dxa"/>
            <w:vAlign w:val="bottom"/>
          </w:tcPr>
          <w:p>
            <w:pPr>
              <w:ind w:left="20"/>
              <w:spacing w:after="0" w:line="243" w:lineRule="exact"/>
              <w:rPr>
                <w:sz w:val="20"/>
                <w:szCs w:val="20"/>
                <w:color w:val="auto"/>
              </w:rPr>
            </w:pPr>
            <w:r>
              <w:rPr>
                <w:rFonts w:ascii="Arial" w:cs="Arial" w:eastAsia="Arial" w:hAnsi="Arial"/>
                <w:sz w:val="22"/>
                <w:szCs w:val="22"/>
                <w:color w:val="auto"/>
              </w:rPr>
              <w:t>B</w:t>
            </w:r>
            <w:r>
              <w:rPr>
                <w:rFonts w:ascii="Arial" w:cs="Arial" w:eastAsia="Arial" w:hAnsi="Arial"/>
                <w:sz w:val="14"/>
                <w:szCs w:val="14"/>
                <w:color w:val="auto"/>
              </w:rPr>
              <w:t>Y</w:t>
            </w:r>
            <w:r>
              <w:rPr>
                <w:rFonts w:ascii="Arial" w:cs="Arial" w:eastAsia="Arial" w:hAnsi="Arial"/>
                <w:sz w:val="22"/>
                <w:szCs w:val="22"/>
                <w:color w:val="auto"/>
              </w:rPr>
              <w:t>:</w:t>
            </w:r>
          </w:p>
        </w:tc>
        <w:tc>
          <w:tcPr>
            <w:tcW w:w="5200" w:type="dxa"/>
            <w:vAlign w:val="bottom"/>
          </w:tcPr>
          <w:p>
            <w:pPr>
              <w:ind w:left="580"/>
              <w:spacing w:after="0" w:line="243" w:lineRule="exact"/>
              <w:rPr>
                <w:sz w:val="20"/>
                <w:szCs w:val="20"/>
                <w:color w:val="auto"/>
              </w:rPr>
            </w:pPr>
            <w:r>
              <w:rPr>
                <w:rFonts w:ascii="Arial" w:cs="Arial" w:eastAsia="Arial" w:hAnsi="Arial"/>
                <w:sz w:val="22"/>
                <w:szCs w:val="22"/>
                <w:color w:val="auto"/>
              </w:rPr>
              <w:t>/</w:t>
            </w:r>
            <w:r>
              <w:rPr>
                <w:rFonts w:ascii="Arial" w:cs="Arial" w:eastAsia="Arial" w:hAnsi="Arial"/>
                <w:sz w:val="14"/>
                <w:szCs w:val="14"/>
                <w:color w:val="auto"/>
              </w:rPr>
              <w:t>S</w:t>
            </w:r>
            <w:r>
              <w:rPr>
                <w:rFonts w:ascii="Arial" w:cs="Arial" w:eastAsia="Arial" w:hAnsi="Arial"/>
                <w:sz w:val="22"/>
                <w:szCs w:val="22"/>
                <w:color w:val="auto"/>
              </w:rPr>
              <w:t>/ R</w:t>
            </w:r>
            <w:r>
              <w:rPr>
                <w:rFonts w:ascii="Arial" w:cs="Arial" w:eastAsia="Arial" w:hAnsi="Arial"/>
                <w:sz w:val="14"/>
                <w:szCs w:val="14"/>
                <w:color w:val="auto"/>
              </w:rPr>
              <w:t>OBERT</w:t>
            </w:r>
            <w:r>
              <w:rPr>
                <w:rFonts w:ascii="Arial" w:cs="Arial" w:eastAsia="Arial" w:hAnsi="Arial"/>
                <w:sz w:val="22"/>
                <w:szCs w:val="22"/>
                <w:color w:val="auto"/>
              </w:rPr>
              <w:t xml:space="preserve"> D. G</w:t>
            </w:r>
            <w:r>
              <w:rPr>
                <w:rFonts w:ascii="Arial" w:cs="Arial" w:eastAsia="Arial" w:hAnsi="Arial"/>
                <w:sz w:val="14"/>
                <w:szCs w:val="14"/>
                <w:color w:val="auto"/>
              </w:rPr>
              <w:t>RAHAM</w:t>
            </w:r>
          </w:p>
        </w:tc>
        <w:tc>
          <w:tcPr>
            <w:tcW w:w="0" w:type="dxa"/>
            <w:vAlign w:val="bottom"/>
          </w:tcPr>
          <w:p>
            <w:pPr>
              <w:spacing w:after="0"/>
              <w:rPr>
                <w:sz w:val="1"/>
                <w:szCs w:val="1"/>
                <w:color w:val="auto"/>
              </w:rPr>
            </w:pPr>
          </w:p>
        </w:tc>
      </w:tr>
      <w:tr>
        <w:trPr>
          <w:trHeight w:val="271"/>
        </w:trPr>
        <w:tc>
          <w:tcPr>
            <w:tcW w:w="480" w:type="dxa"/>
            <w:vAlign w:val="bottom"/>
            <w:tcBorders>
              <w:bottom w:val="single" w:sz="8" w:color="auto"/>
            </w:tcBorders>
          </w:tcPr>
          <w:p>
            <w:pPr>
              <w:spacing w:after="0"/>
              <w:rPr>
                <w:sz w:val="23"/>
                <w:szCs w:val="23"/>
                <w:color w:val="auto"/>
              </w:rPr>
            </w:pPr>
          </w:p>
        </w:tc>
        <w:tc>
          <w:tcPr>
            <w:tcW w:w="5080" w:type="dxa"/>
            <w:vAlign w:val="bottom"/>
            <w:tcBorders>
              <w:bottom w:val="single" w:sz="8" w:color="auto"/>
            </w:tcBorders>
          </w:tcPr>
          <w:p>
            <w:pPr>
              <w:ind w:left="160"/>
              <w:spacing w:after="0"/>
              <w:rPr>
                <w:sz w:val="20"/>
                <w:szCs w:val="20"/>
                <w:color w:val="auto"/>
              </w:rPr>
            </w:pPr>
            <w:r>
              <w:rPr>
                <w:rFonts w:ascii="Arial" w:cs="Arial" w:eastAsia="Arial" w:hAnsi="Arial"/>
                <w:sz w:val="22"/>
                <w:szCs w:val="22"/>
                <w:color w:val="auto"/>
              </w:rPr>
              <w:t>L</w:t>
            </w:r>
            <w:r>
              <w:rPr>
                <w:rFonts w:ascii="Arial" w:cs="Arial" w:eastAsia="Arial" w:hAnsi="Arial"/>
                <w:sz w:val="14"/>
                <w:szCs w:val="14"/>
                <w:color w:val="auto"/>
              </w:rPr>
              <w:t>ISA</w:t>
            </w:r>
            <w:r>
              <w:rPr>
                <w:rFonts w:ascii="Arial" w:cs="Arial" w:eastAsia="Arial" w:hAnsi="Arial"/>
                <w:sz w:val="22"/>
                <w:szCs w:val="22"/>
                <w:color w:val="auto"/>
              </w:rPr>
              <w:t xml:space="preserve"> K. S</w:t>
            </w:r>
            <w:r>
              <w:rPr>
                <w:rFonts w:ascii="Arial" w:cs="Arial" w:eastAsia="Arial" w:hAnsi="Arial"/>
                <w:sz w:val="14"/>
                <w:szCs w:val="14"/>
                <w:color w:val="auto"/>
              </w:rPr>
              <w:t>IMMONS</w:t>
            </w:r>
            <w:r>
              <w:rPr>
                <w:rFonts w:ascii="Arial" w:cs="Arial" w:eastAsia="Arial" w:hAnsi="Arial"/>
                <w:sz w:val="22"/>
                <w:szCs w:val="22"/>
                <w:color w:val="auto"/>
              </w:rPr>
              <w:t>, T</w:t>
            </w:r>
            <w:r>
              <w:rPr>
                <w:rFonts w:ascii="Arial" w:cs="Arial" w:eastAsia="Arial" w:hAnsi="Arial"/>
                <w:sz w:val="14"/>
                <w:szCs w:val="14"/>
                <w:color w:val="auto"/>
              </w:rPr>
              <w:t>RUSTEE</w:t>
            </w:r>
          </w:p>
        </w:tc>
        <w:tc>
          <w:tcPr>
            <w:tcW w:w="480" w:type="dxa"/>
            <w:vAlign w:val="bottom"/>
            <w:tcBorders>
              <w:bottom w:val="single" w:sz="8" w:color="auto"/>
            </w:tcBorders>
          </w:tcPr>
          <w:p>
            <w:pPr>
              <w:spacing w:after="0"/>
              <w:rPr>
                <w:sz w:val="23"/>
                <w:szCs w:val="23"/>
                <w:color w:val="auto"/>
              </w:rPr>
            </w:pPr>
          </w:p>
        </w:tc>
        <w:tc>
          <w:tcPr>
            <w:tcW w:w="5200" w:type="dxa"/>
            <w:vAlign w:val="bottom"/>
            <w:tcBorders>
              <w:bottom w:val="single" w:sz="8" w:color="auto"/>
            </w:tcBorders>
          </w:tcPr>
          <w:p>
            <w:pPr>
              <w:ind w:left="160"/>
              <w:spacing w:after="0"/>
              <w:rPr>
                <w:sz w:val="20"/>
                <w:szCs w:val="20"/>
                <w:color w:val="auto"/>
              </w:rPr>
            </w:pPr>
            <w:r>
              <w:rPr>
                <w:rFonts w:ascii="Arial" w:cs="Arial" w:eastAsia="Arial" w:hAnsi="Arial"/>
                <w:sz w:val="22"/>
                <w:szCs w:val="22"/>
                <w:color w:val="auto"/>
              </w:rPr>
              <w:t>R</w:t>
            </w:r>
            <w:r>
              <w:rPr>
                <w:rFonts w:ascii="Arial" w:cs="Arial" w:eastAsia="Arial" w:hAnsi="Arial"/>
                <w:sz w:val="14"/>
                <w:szCs w:val="14"/>
                <w:color w:val="auto"/>
              </w:rPr>
              <w:t>OBERT</w:t>
            </w:r>
            <w:r>
              <w:rPr>
                <w:rFonts w:ascii="Arial" w:cs="Arial" w:eastAsia="Arial" w:hAnsi="Arial"/>
                <w:sz w:val="22"/>
                <w:szCs w:val="22"/>
                <w:color w:val="auto"/>
              </w:rPr>
              <w:t xml:space="preserve"> D. G</w:t>
            </w:r>
            <w:r>
              <w:rPr>
                <w:rFonts w:ascii="Arial" w:cs="Arial" w:eastAsia="Arial" w:hAnsi="Arial"/>
                <w:sz w:val="14"/>
                <w:szCs w:val="14"/>
                <w:color w:val="auto"/>
              </w:rPr>
              <w:t>RAHAM</w:t>
            </w:r>
            <w:r>
              <w:rPr>
                <w:rFonts w:ascii="Arial" w:cs="Arial" w:eastAsia="Arial" w:hAnsi="Arial"/>
                <w:sz w:val="22"/>
                <w:szCs w:val="22"/>
                <w:color w:val="auto"/>
              </w:rPr>
              <w:t>, P</w:t>
            </w:r>
            <w:r>
              <w:rPr>
                <w:rFonts w:ascii="Arial" w:cs="Arial" w:eastAsia="Arial" w:hAnsi="Arial"/>
                <w:sz w:val="14"/>
                <w:szCs w:val="14"/>
                <w:color w:val="auto"/>
              </w:rPr>
              <w:t>RESIDENT</w:t>
            </w:r>
          </w:p>
        </w:tc>
        <w:tc>
          <w:tcPr>
            <w:tcW w:w="0" w:type="dxa"/>
            <w:vAlign w:val="bottom"/>
          </w:tcPr>
          <w:p>
            <w:pPr>
              <w:spacing w:after="0"/>
              <w:rPr>
                <w:sz w:val="1"/>
                <w:szCs w:val="1"/>
                <w:color w:val="auto"/>
              </w:rPr>
            </w:pPr>
          </w:p>
        </w:tc>
      </w:tr>
      <w:tr>
        <w:trPr>
          <w:trHeight w:val="623"/>
        </w:trPr>
        <w:tc>
          <w:tcPr>
            <w:tcW w:w="480" w:type="dxa"/>
            <w:vAlign w:val="bottom"/>
          </w:tcPr>
          <w:p>
            <w:pPr>
              <w:spacing w:after="0"/>
              <w:rPr>
                <w:sz w:val="20"/>
                <w:szCs w:val="20"/>
                <w:color w:val="auto"/>
              </w:rPr>
            </w:pPr>
            <w:r>
              <w:rPr>
                <w:rFonts w:ascii="Arial" w:cs="Arial" w:eastAsia="Arial" w:hAnsi="Arial"/>
                <w:sz w:val="14"/>
                <w:szCs w:val="14"/>
                <w:color w:val="auto"/>
              </w:rPr>
              <w:t>14</w:t>
            </w:r>
          </w:p>
        </w:tc>
        <w:tc>
          <w:tcPr>
            <w:tcW w:w="5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37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D89A32"/>
    <w:multiLevelType w:val="hybridMultilevel"/>
    <w:lvl w:ilvl="0">
      <w:lvlJc w:val="left"/>
      <w:lvlText w:val="1"/>
      <w:numFmt w:val="bullet"/>
      <w:start w:val="1"/>
    </w:lvl>
  </w:abstractNum>
  <w:abstractNum w:abstractNumId="1">
    <w:nsid w:val="57E4CCAF"/>
    <w:multiLevelType w:val="hybridMultilevel"/>
    <w:lvl w:ilvl="0">
      <w:lvlJc w:val="left"/>
      <w:lvlText w:val="2"/>
      <w:numFmt w:val="bullet"/>
      <w:start w:val="1"/>
    </w:lvl>
    <w:lvl w:ilvl="1">
      <w:lvlJc w:val="left"/>
      <w:lvlText w:val="(%2)"/>
      <w:numFmt w:val="lowerLetter"/>
      <w:start w:val="1"/>
    </w:lvl>
  </w:abstractNum>
  <w:abstractNum w:abstractNumId="2">
    <w:nsid w:val="7A6D8D3C"/>
    <w:multiLevelType w:val="hybridMultilevel"/>
    <w:lvl w:ilvl="0">
      <w:lvlJc w:val="left"/>
      <w:lvlText w:val="3"/>
      <w:numFmt w:val="bullet"/>
      <w:start w:val="1"/>
    </w:lvl>
  </w:abstractNum>
  <w:abstractNum w:abstractNumId="3">
    <w:nsid w:val="4B588F54"/>
    <w:multiLevelType w:val="hybridMultilevel"/>
    <w:lvl w:ilvl="0">
      <w:lvlJc w:val="left"/>
      <w:lvlText w:val="4"/>
      <w:numFmt w:val="bullet"/>
      <w:start w:val="1"/>
    </w:lvl>
  </w:abstractNum>
  <w:abstractNum w:abstractNumId="4">
    <w:nsid w:val="542289EC"/>
    <w:multiLevelType w:val="hybridMultilevel"/>
    <w:lvl w:ilvl="0">
      <w:lvlJc w:val="left"/>
      <w:lvlText w:val="5"/>
      <w:numFmt w:val="bullet"/>
      <w:start w:val="1"/>
    </w:lvl>
  </w:abstractNum>
  <w:abstractNum w:abstractNumId="5">
    <w:nsid w:val="6DE91B18"/>
    <w:multiLevelType w:val="hybridMultilevel"/>
    <w:lvl w:ilvl="0">
      <w:lvlJc w:val="left"/>
      <w:lvlText w:val="6"/>
      <w:numFmt w:val="bullet"/>
      <w:start w:val="1"/>
    </w:lvl>
  </w:abstractNum>
  <w:abstractNum w:abstractNumId="6">
    <w:nsid w:val="38437FDB"/>
    <w:multiLevelType w:val="hybridMultilevel"/>
    <w:lvl w:ilvl="0">
      <w:lvlJc w:val="left"/>
      <w:lvlText w:val="%1"/>
      <w:numFmt w:val="decimal"/>
      <w:start w:val="11"/>
    </w:lvl>
  </w:abstractNum>
  <w:abstractNum w:abstractNumId="7">
    <w:nsid w:val="7644A45C"/>
    <w:multiLevelType w:val="hybridMultilevel"/>
    <w:lvl w:ilvl="0">
      <w:lvlJc w:val="left"/>
      <w:lvlText w:val="%1"/>
      <w:numFmt w:val="decimal"/>
      <w:start w:val="14"/>
    </w:lvl>
  </w:abstractNum>
  <w:abstractNum w:abstractNumId="8">
    <w:nsid w:val="32FFF902"/>
    <w:multiLevelType w:val="hybridMultilevel"/>
    <w:lvl w:ilvl="0">
      <w:lvlJc w:val="left"/>
      <w:lvlText w:val="1"/>
      <w:numFmt w:val="bullet"/>
      <w:start w:val="1"/>
    </w:lvl>
  </w:abstractNum>
  <w:abstractNum w:abstractNumId="9">
    <w:nsid w:val="684A481A"/>
    <w:multiLevelType w:val="hybridMultilevel"/>
    <w:lvl w:ilvl="0">
      <w:lvlJc w:val="left"/>
      <w:lvlText w:val="2"/>
      <w:numFmt w:val="bullet"/>
      <w:start w:val="1"/>
    </w:lvl>
    <w:lvl w:ilvl="1">
      <w:lvlJc w:val="left"/>
      <w:lvlText w:val="(%2)"/>
      <w:numFmt w:val="lowerLetter"/>
      <w:start w:val="1"/>
    </w:lvl>
  </w:abstractNum>
  <w:abstractNum w:abstractNumId="10">
    <w:nsid w:val="579478FE"/>
    <w:multiLevelType w:val="hybridMultilevel"/>
    <w:lvl w:ilvl="0">
      <w:lvlJc w:val="left"/>
      <w:lvlText w:val="3"/>
      <w:numFmt w:val="bullet"/>
      <w:start w:val="1"/>
    </w:lvl>
  </w:abstractNum>
  <w:abstractNum w:abstractNumId="11">
    <w:nsid w:val="749ABB43"/>
    <w:multiLevelType w:val="hybridMultilevel"/>
    <w:lvl w:ilvl="0">
      <w:lvlJc w:val="left"/>
      <w:lvlText w:val="4"/>
      <w:numFmt w:val="bullet"/>
      <w:start w:val="1"/>
    </w:lvl>
  </w:abstractNum>
  <w:abstractNum w:abstractNumId="12">
    <w:nsid w:val="3DC240FB"/>
    <w:multiLevelType w:val="hybridMultilevel"/>
    <w:lvl w:ilvl="0">
      <w:lvlJc w:val="left"/>
      <w:lvlText w:val="5"/>
      <w:numFmt w:val="bullet"/>
      <w:start w:val="1"/>
    </w:lvl>
  </w:abstractNum>
  <w:abstractNum w:abstractNumId="13">
    <w:nsid w:val="1BA026FA"/>
    <w:multiLevelType w:val="hybridMultilevel"/>
    <w:lvl w:ilvl="0">
      <w:lvlJc w:val="left"/>
      <w:lvlText w:val="6"/>
      <w:numFmt w:val="bullet"/>
      <w:start w:val="1"/>
    </w:lvl>
  </w:abstractNum>
  <w:abstractNum w:abstractNumId="14">
    <w:nsid w:val="79A1DEAA"/>
    <w:multiLevelType w:val="hybridMultilevel"/>
    <w:lvl w:ilvl="0">
      <w:lvlJc w:val="left"/>
      <w:lvlText w:val="%1"/>
      <w:numFmt w:val="decimal"/>
      <w:start w:val="11"/>
    </w:lvl>
  </w:abstractNum>
  <w:abstractNum w:abstractNumId="15">
    <w:nsid w:val="75C6C33A"/>
    <w:multiLevelType w:val="hybridMultilevel"/>
    <w:lvl w:ilvl="0">
      <w:lvlJc w:val="left"/>
      <w:lvlText w:val="%1"/>
      <w:numFmt w:val="decimal"/>
      <w:start w:val="14"/>
    </w:lvl>
  </w:abstractNum>
  <w:abstractNum w:abstractNumId="16">
    <w:nsid w:val="12E685FB"/>
    <w:multiLevelType w:val="hybridMultilevel"/>
    <w:lvl w:ilvl="0">
      <w:lvlJc w:val="left"/>
      <w:lvlText w:val="1"/>
      <w:numFmt w:val="bullet"/>
      <w:start w:val="1"/>
    </w:lvl>
  </w:abstractNum>
  <w:abstractNum w:abstractNumId="17">
    <w:nsid w:val="70C6A529"/>
    <w:multiLevelType w:val="hybridMultilevel"/>
    <w:lvl w:ilvl="0">
      <w:lvlJc w:val="left"/>
      <w:lvlText w:val="2"/>
      <w:numFmt w:val="bullet"/>
      <w:start w:val="1"/>
    </w:lvl>
    <w:lvl w:ilvl="1">
      <w:lvlJc w:val="left"/>
      <w:lvlText w:val="(%2)"/>
      <w:numFmt w:val="lowerLetter"/>
      <w:start w:val="1"/>
    </w:lvl>
  </w:abstractNum>
  <w:abstractNum w:abstractNumId="18">
    <w:nsid w:val="520EEDD1"/>
    <w:multiLevelType w:val="hybridMultilevel"/>
    <w:lvl w:ilvl="0">
      <w:lvlJc w:val="left"/>
      <w:lvlText w:val="3"/>
      <w:numFmt w:val="bullet"/>
      <w:start w:val="1"/>
    </w:lvl>
  </w:abstractNum>
  <w:abstractNum w:abstractNumId="19">
    <w:nsid w:val="374A3FE6"/>
    <w:multiLevelType w:val="hybridMultilevel"/>
    <w:lvl w:ilvl="0">
      <w:lvlJc w:val="left"/>
      <w:lvlText w:val="4"/>
      <w:numFmt w:val="bullet"/>
      <w:start w:val="1"/>
    </w:lvl>
  </w:abstractNum>
  <w:abstractNum w:abstractNumId="20">
    <w:nsid w:val="4F4EF005"/>
    <w:multiLevelType w:val="hybridMultilevel"/>
    <w:lvl w:ilvl="0">
      <w:lvlJc w:val="left"/>
      <w:lvlText w:val="5"/>
      <w:numFmt w:val="bullet"/>
      <w:start w:val="1"/>
    </w:lvl>
  </w:abstractNum>
  <w:abstractNum w:abstractNumId="21">
    <w:nsid w:val="23F9C13C"/>
    <w:multiLevelType w:val="hybridMultilevel"/>
    <w:lvl w:ilvl="0">
      <w:lvlJc w:val="left"/>
      <w:lvlText w:val="6"/>
      <w:numFmt w:val="bullet"/>
      <w:start w:val="1"/>
    </w:lvl>
  </w:abstractNum>
  <w:abstractNum w:abstractNumId="22">
    <w:nsid w:val="649BB77C"/>
    <w:multiLevelType w:val="hybridMultilevel"/>
    <w:lvl w:ilvl="0">
      <w:lvlJc w:val="left"/>
      <w:lvlText w:val="%1"/>
      <w:numFmt w:val="decimal"/>
      <w:start w:val="11"/>
    </w:lvl>
  </w:abstractNum>
  <w:abstractNum w:abstractNumId="23">
    <w:nsid w:val="275AC794"/>
    <w:multiLevelType w:val="hybridMultilevel"/>
    <w:lvl w:ilvl="0">
      <w:lvlJc w:val="left"/>
      <w:lvlText w:val="%1"/>
      <w:numFmt w:val="decimal"/>
      <w:start w:val="14"/>
    </w:lvl>
  </w:abstractNum>
  <w:abstractNum w:abstractNumId="24">
    <w:nsid w:val="39386575"/>
    <w:multiLevelType w:val="hybridMultilevel"/>
    <w:lvl w:ilvl="0">
      <w:lvlJc w:val="left"/>
      <w:lvlText w:val="1"/>
      <w:numFmt w:val="bullet"/>
      <w:start w:val="1"/>
    </w:lvl>
  </w:abstractNum>
  <w:abstractNum w:abstractNumId="25">
    <w:nsid w:val="1CF10FD8"/>
    <w:multiLevelType w:val="hybridMultilevel"/>
    <w:lvl w:ilvl="0">
      <w:lvlJc w:val="left"/>
      <w:lvlText w:val="2"/>
      <w:numFmt w:val="bullet"/>
      <w:start w:val="1"/>
    </w:lvl>
    <w:lvl w:ilvl="1">
      <w:lvlJc w:val="left"/>
      <w:lvlText w:val="(%2)"/>
      <w:numFmt w:val="lowerLetter"/>
      <w:start w:val="1"/>
    </w:lvl>
  </w:abstractNum>
  <w:abstractNum w:abstractNumId="26">
    <w:nsid w:val="180115BE"/>
    <w:multiLevelType w:val="hybridMultilevel"/>
    <w:lvl w:ilvl="0">
      <w:lvlJc w:val="left"/>
      <w:lvlText w:val="3"/>
      <w:numFmt w:val="bullet"/>
      <w:start w:val="1"/>
    </w:lvl>
  </w:abstractNum>
  <w:abstractNum w:abstractNumId="27">
    <w:nsid w:val="235BA861"/>
    <w:multiLevelType w:val="hybridMultilevel"/>
    <w:lvl w:ilvl="0">
      <w:lvlJc w:val="left"/>
      <w:lvlText w:val="4"/>
      <w:numFmt w:val="bullet"/>
      <w:start w:val="1"/>
    </w:lvl>
  </w:abstractNum>
  <w:abstractNum w:abstractNumId="28">
    <w:nsid w:val="47398C89"/>
    <w:multiLevelType w:val="hybridMultilevel"/>
    <w:lvl w:ilvl="0">
      <w:lvlJc w:val="left"/>
      <w:lvlText w:val="5"/>
      <w:numFmt w:val="bullet"/>
      <w:start w:val="1"/>
    </w:lvl>
  </w:abstractNum>
  <w:abstractNum w:abstractNumId="29">
    <w:nsid w:val="354FE9F9"/>
    <w:multiLevelType w:val="hybridMultilevel"/>
    <w:lvl w:ilvl="0">
      <w:lvlJc w:val="left"/>
      <w:lvlText w:val="6"/>
      <w:numFmt w:val="bullet"/>
      <w:start w:val="1"/>
    </w:lvl>
  </w:abstractNum>
  <w:abstractNum w:abstractNumId="30">
    <w:nsid w:val="15B5AF5C"/>
    <w:multiLevelType w:val="hybridMultilevel"/>
    <w:lvl w:ilvl="0">
      <w:lvlJc w:val="left"/>
      <w:lvlText w:val="%1"/>
      <w:numFmt w:val="decimal"/>
      <w:start w:val="11"/>
    </w:lvl>
  </w:abstractNum>
  <w:abstractNum w:abstractNumId="31">
    <w:nsid w:val="741226BB"/>
    <w:multiLevelType w:val="hybridMultilevel"/>
    <w:lvl w:ilvl="0">
      <w:lvlJc w:val="left"/>
      <w:lvlText w:val="%1"/>
      <w:numFmt w:val="decimal"/>
      <w:start w:val="14"/>
    </w:lvl>
  </w:abstractNum>
  <w:abstractNum w:abstractNumId="32">
    <w:nsid w:val="D34B6A8"/>
    <w:multiLevelType w:val="hybridMultilevel"/>
    <w:lvl w:ilvl="0">
      <w:lvlJc w:val="left"/>
      <w:lvlText w:val="1"/>
      <w:numFmt w:val="bullet"/>
      <w:start w:val="1"/>
    </w:lvl>
  </w:abstractNum>
  <w:abstractNum w:abstractNumId="33">
    <w:nsid w:val="10233C99"/>
    <w:multiLevelType w:val="hybridMultilevel"/>
    <w:lvl w:ilvl="0">
      <w:lvlJc w:val="left"/>
      <w:lvlText w:val="2"/>
      <w:numFmt w:val="bullet"/>
      <w:start w:val="1"/>
    </w:lvl>
    <w:lvl w:ilvl="1">
      <w:lvlJc w:val="left"/>
      <w:lvlText w:val="(%2)"/>
      <w:numFmt w:val="lowerLetter"/>
      <w:start w:val="1"/>
    </w:lvl>
  </w:abstractNum>
  <w:abstractNum w:abstractNumId="34">
    <w:nsid w:val="3F6AB60F"/>
    <w:multiLevelType w:val="hybridMultilevel"/>
    <w:lvl w:ilvl="0">
      <w:lvlJc w:val="left"/>
      <w:lvlText w:val="3"/>
      <w:numFmt w:val="bullet"/>
      <w:start w:val="1"/>
    </w:lvl>
  </w:abstractNum>
  <w:abstractNum w:abstractNumId="35">
    <w:nsid w:val="61574095"/>
    <w:multiLevelType w:val="hybridMultilevel"/>
    <w:lvl w:ilvl="0">
      <w:lvlJc w:val="left"/>
      <w:lvlText w:val="4"/>
      <w:numFmt w:val="bullet"/>
      <w:start w:val="1"/>
    </w:lvl>
  </w:abstractNum>
  <w:abstractNum w:abstractNumId="36">
    <w:nsid w:val="7E0C57B1"/>
    <w:multiLevelType w:val="hybridMultilevel"/>
    <w:lvl w:ilvl="0">
      <w:lvlJc w:val="left"/>
      <w:lvlText w:val="5"/>
      <w:numFmt w:val="bullet"/>
      <w:start w:val="1"/>
    </w:lvl>
  </w:abstractNum>
  <w:abstractNum w:abstractNumId="37">
    <w:nsid w:val="77AE35EB"/>
    <w:multiLevelType w:val="hybridMultilevel"/>
    <w:lvl w:ilvl="0">
      <w:lvlJc w:val="left"/>
      <w:lvlText w:val="6"/>
      <w:numFmt w:val="bullet"/>
      <w:start w:val="1"/>
    </w:lvl>
  </w:abstractNum>
  <w:abstractNum w:abstractNumId="38">
    <w:nsid w:val="579BE4F1"/>
    <w:multiLevelType w:val="hybridMultilevel"/>
    <w:lvl w:ilvl="0">
      <w:lvlJc w:val="left"/>
      <w:lvlText w:val="%1"/>
      <w:numFmt w:val="decimal"/>
      <w:start w:val="11"/>
    </w:lvl>
  </w:abstractNum>
  <w:abstractNum w:abstractNumId="39">
    <w:nsid w:val="310C50B3"/>
    <w:multiLevelType w:val="hybridMultilevel"/>
    <w:lvl w:ilvl="0">
      <w:lvlJc w:val="left"/>
      <w:lvlText w:val="%1"/>
      <w:numFmt w:val="decimal"/>
      <w:start w:val="14"/>
    </w:lvl>
  </w:abstractNum>
  <w:abstractNum w:abstractNumId="40">
    <w:nsid w:val="5FF87E05"/>
    <w:multiLevelType w:val="hybridMultilevel"/>
    <w:lvl w:ilvl="0">
      <w:lvlJc w:val="left"/>
      <w:lvlText w:val="1"/>
      <w:numFmt w:val="bullet"/>
      <w:start w:val="1"/>
    </w:lvl>
  </w:abstractNum>
  <w:abstractNum w:abstractNumId="41">
    <w:nsid w:val="2F305DEF"/>
    <w:multiLevelType w:val="hybridMultilevel"/>
    <w:lvl w:ilvl="0">
      <w:lvlJc w:val="left"/>
      <w:lvlText w:val="2"/>
      <w:numFmt w:val="bullet"/>
      <w:start w:val="1"/>
    </w:lvl>
    <w:lvl w:ilvl="1">
      <w:lvlJc w:val="left"/>
      <w:lvlText w:val="(%2)"/>
      <w:numFmt w:val="lowerLetter"/>
      <w:start w:val="1"/>
    </w:lvl>
  </w:abstractNum>
  <w:abstractNum w:abstractNumId="42">
    <w:nsid w:val="25A70BF7"/>
    <w:multiLevelType w:val="hybridMultilevel"/>
    <w:lvl w:ilvl="0">
      <w:lvlJc w:val="left"/>
      <w:lvlText w:val="3"/>
      <w:numFmt w:val="bullet"/>
      <w:start w:val="1"/>
    </w:lvl>
  </w:abstractNum>
  <w:abstractNum w:abstractNumId="43">
    <w:nsid w:val="1DBABF00"/>
    <w:multiLevelType w:val="hybridMultilevel"/>
    <w:lvl w:ilvl="0">
      <w:lvlJc w:val="left"/>
      <w:lvlText w:val="4"/>
      <w:numFmt w:val="bullet"/>
      <w:start w:val="1"/>
    </w:lvl>
  </w:abstractNum>
  <w:abstractNum w:abstractNumId="44">
    <w:nsid w:val="4AD084E9"/>
    <w:multiLevelType w:val="hybridMultilevel"/>
    <w:lvl w:ilvl="0">
      <w:lvlJc w:val="left"/>
      <w:lvlText w:val="5"/>
      <w:numFmt w:val="bullet"/>
      <w:start w:val="1"/>
    </w:lvl>
  </w:abstractNum>
  <w:abstractNum w:abstractNumId="45">
    <w:nsid w:val="1F48EAA1"/>
    <w:multiLevelType w:val="hybridMultilevel"/>
    <w:lvl w:ilvl="0">
      <w:lvlJc w:val="left"/>
      <w:lvlText w:val="6"/>
      <w:numFmt w:val="bullet"/>
      <w:start w:val="1"/>
    </w:lvl>
  </w:abstractNum>
  <w:abstractNum w:abstractNumId="46">
    <w:nsid w:val="1381823A"/>
    <w:multiLevelType w:val="hybridMultilevel"/>
    <w:lvl w:ilvl="0">
      <w:lvlJc w:val="left"/>
      <w:lvlText w:val="%1"/>
      <w:numFmt w:val="decimal"/>
      <w:start w:val="11"/>
    </w:lvl>
  </w:abstractNum>
  <w:abstractNum w:abstractNumId="47">
    <w:nsid w:val="5DB70AE5"/>
    <w:multiLevelType w:val="hybridMultilevel"/>
    <w:lvl w:ilvl="0">
      <w:lvlJc w:val="left"/>
      <w:lvlText w:val="%1"/>
      <w:numFmt w:val="decimal"/>
      <w:start w:val="14"/>
    </w:lvl>
  </w:abstractNum>
  <w:abstractNum w:abstractNumId="48">
    <w:nsid w:val="100F8FCA"/>
    <w:multiLevelType w:val="hybridMultilevel"/>
    <w:lvl w:ilvl="0">
      <w:lvlJc w:val="left"/>
      <w:lvlText w:val="1"/>
      <w:numFmt w:val="bullet"/>
      <w:start w:val="1"/>
    </w:lvl>
  </w:abstractNum>
  <w:abstractNum w:abstractNumId="49">
    <w:nsid w:val="6590700B"/>
    <w:multiLevelType w:val="hybridMultilevel"/>
    <w:lvl w:ilvl="0">
      <w:lvlJc w:val="left"/>
      <w:lvlText w:val="2"/>
      <w:numFmt w:val="bullet"/>
      <w:start w:val="1"/>
    </w:lvl>
    <w:lvl w:ilvl="1">
      <w:lvlJc w:val="left"/>
      <w:lvlText w:val="(%2)"/>
      <w:numFmt w:val="lowerLetter"/>
      <w:start w:val="1"/>
    </w:lvl>
  </w:abstractNum>
  <w:abstractNum w:abstractNumId="50">
    <w:nsid w:val="15014ACB"/>
    <w:multiLevelType w:val="hybridMultilevel"/>
    <w:lvl w:ilvl="0">
      <w:lvlJc w:val="left"/>
      <w:lvlText w:val="3"/>
      <w:numFmt w:val="bullet"/>
      <w:start w:val="1"/>
    </w:lvl>
  </w:abstractNum>
  <w:abstractNum w:abstractNumId="51">
    <w:nsid w:val="5F5E7FD0"/>
    <w:multiLevelType w:val="hybridMultilevel"/>
    <w:lvl w:ilvl="0">
      <w:lvlJc w:val="left"/>
      <w:lvlText w:val="4"/>
      <w:numFmt w:val="bullet"/>
      <w:start w:val="1"/>
    </w:lvl>
  </w:abstractNum>
  <w:abstractNum w:abstractNumId="52">
    <w:nsid w:val="98A3148"/>
    <w:multiLevelType w:val="hybridMultilevel"/>
    <w:lvl w:ilvl="0">
      <w:lvlJc w:val="left"/>
      <w:lvlText w:val="5"/>
      <w:numFmt w:val="bullet"/>
      <w:start w:val="1"/>
    </w:lvl>
  </w:abstractNum>
  <w:abstractNum w:abstractNumId="53">
    <w:nsid w:val="799D0247"/>
    <w:multiLevelType w:val="hybridMultilevel"/>
    <w:lvl w:ilvl="0">
      <w:lvlJc w:val="left"/>
      <w:lvlText w:val="6"/>
      <w:numFmt w:val="bullet"/>
      <w:start w:val="1"/>
    </w:lvl>
  </w:abstractNum>
  <w:abstractNum w:abstractNumId="54">
    <w:nsid w:val="6B94764"/>
    <w:multiLevelType w:val="hybridMultilevel"/>
    <w:lvl w:ilvl="0">
      <w:lvlJc w:val="left"/>
      <w:lvlText w:val="%1"/>
      <w:numFmt w:val="decimal"/>
      <w:start w:val="11"/>
    </w:lvl>
  </w:abstractNum>
  <w:abstractNum w:abstractNumId="55">
    <w:nsid w:val="42C296BD"/>
    <w:multiLevelType w:val="hybridMultilevel"/>
    <w:lvl w:ilvl="0">
      <w:lvlJc w:val="left"/>
      <w:lvlText w:val="%1"/>
      <w:numFmt w:val="decimal"/>
      <w:start w:val="14"/>
    </w:lvl>
  </w:abstractNum>
  <w:abstractNum w:abstractNumId="56">
    <w:nsid w:val="168E121F"/>
    <w:multiLevelType w:val="hybridMultilevel"/>
    <w:lvl w:ilvl="0">
      <w:lvlJc w:val="left"/>
      <w:lvlText w:val="(%1)"/>
      <w:numFmt w:val="lowerLetter"/>
      <w:start w:val="1"/>
    </w:lvl>
  </w:abstractNum>
  <w:abstractNum w:abstractNumId="57">
    <w:nsid w:val="1EBA5D23"/>
    <w:multiLevelType w:val="hybridMultilevel"/>
    <w:lvl w:ilvl="0">
      <w:lvlJc w:val="left"/>
      <w:lvlText w:val="•"/>
      <w:numFmt w:val="bullet"/>
      <w:start w:val="1"/>
    </w:lvl>
  </w:abstractNum>
  <w:abstractNum w:abstractNumId="58">
    <w:nsid w:val="661E3F1E"/>
    <w:multiLevelType w:val="hybridMultilevel"/>
    <w:lvl w:ilvl="0">
      <w:lvlJc w:val="left"/>
      <w:lvlText w:val="(%1)"/>
      <w:numFmt w:val="lowerLetter"/>
      <w:start w:val="2"/>
    </w:lvl>
  </w:abstractNum>
  <w:abstractNum w:abstractNumId="59">
    <w:nsid w:val="5DC79EA8"/>
    <w:multiLevelType w:val="hybridMultilevel"/>
    <w:lvl w:ilvl="0">
      <w:lvlJc w:val="left"/>
      <w:lvlText w:val="(%1)"/>
      <w:numFmt w:val="lowerLetter"/>
      <w:start w:val="3"/>
    </w:lvl>
  </w:abstractNum>
  <w:abstractNum w:abstractNumId="60">
    <w:nsid w:val="540A471C"/>
    <w:multiLevelType w:val="hybridMultilevel"/>
    <w:lvl w:ilvl="0">
      <w:lvlJc w:val="left"/>
      <w:lvlText w:val="(%1)"/>
      <w:numFmt w:val="lowerLetter"/>
      <w:start w:val="4"/>
    </w:lvl>
  </w:abstractNum>
  <w:abstractNum w:abstractNumId="61">
    <w:nsid w:val="7BD3EE7B"/>
    <w:multiLevelType w:val="hybridMultilevel"/>
    <w:lvl w:ilvl="0">
      <w:lvlJc w:val="left"/>
      <w:lvlText w:val="(%1)"/>
      <w:numFmt w:val="lowerLetter"/>
      <w:start w:val="1"/>
    </w:lvl>
  </w:abstractNum>
  <w:abstractNum w:abstractNumId="62">
    <w:nsid w:val="51D9C564"/>
    <w:multiLevelType w:val="hybridMultilevel"/>
    <w:lvl w:ilvl="0">
      <w:lvlJc w:val="left"/>
      <w:lvlText w:val="(%1)"/>
      <w:numFmt w:val="decimal"/>
      <w:start w:val="1"/>
    </w:lvl>
  </w:abstractNum>
  <w:abstractNum w:abstractNumId="63">
    <w:nsid w:val="613EFDC5"/>
    <w:multiLevelType w:val="hybridMultilevel"/>
    <w:lvl w:ilvl="0">
      <w:lvlJc w:val="left"/>
      <w:lvlText w:val="(%1)"/>
      <w:numFmt w:val="lowerLetter"/>
      <w:start w:val="2"/>
    </w:lvl>
    <w:lvl w:ilvl="1">
      <w:lvlJc w:val="left"/>
      <w:lvlText w:val="(%2)"/>
      <w:numFmt w:val="decimal"/>
      <w:start w:val="1"/>
    </w:lvl>
  </w:abstractNum>
  <w:abstractNum w:abstractNumId="64">
    <w:nsid w:val="BF72B14"/>
    <w:multiLevelType w:val="hybridMultilevel"/>
    <w:lvl w:ilvl="0">
      <w:lvlJc w:val="left"/>
      <w:lvlText w:val="(%1)"/>
      <w:numFmt w:val="lowerLetter"/>
      <w:start w:val="4"/>
    </w:lvl>
  </w:abstractNum>
  <w:abstractNum w:abstractNumId="65">
    <w:nsid w:val="11447B73"/>
    <w:multiLevelType w:val="hybridMultilevel"/>
    <w:lvl w:ilvl="0">
      <w:lvlJc w:val="left"/>
      <w:lvlText w:val="(%1)"/>
      <w:numFmt w:val="decimal"/>
      <w:start w:val="1"/>
    </w:lvl>
  </w:abstractNum>
  <w:abstractNum w:abstractNumId="66">
    <w:nsid w:val="42963E5A"/>
    <w:multiLevelType w:val="hybridMultilevel"/>
    <w:lvl w:ilvl="0">
      <w:lvlJc w:val="left"/>
      <w:lvlText w:val="(%1)"/>
      <w:numFmt w:val="decimal"/>
      <w:start w:val="1"/>
    </w:lvl>
  </w:abstractNum>
  <w:abstractNum w:abstractNumId="67">
    <w:nsid w:val="A0382C5"/>
    <w:multiLevelType w:val="hybridMultilevel"/>
    <w:lvl w:ilvl="0">
      <w:lvlJc w:val="left"/>
      <w:lvlText w:val="(%1)"/>
      <w:numFmt w:val="lowerLetter"/>
      <w:start w:val="1"/>
    </w:lvl>
  </w:abstractNum>
  <w:abstractNum w:abstractNumId="68">
    <w:nsid w:val="8F2B15E"/>
    <w:multiLevelType w:val="hybridMultilevel"/>
    <w:lvl w:ilvl="0">
      <w:lvlJc w:val="left"/>
      <w:lvlText w:val="(%1)"/>
      <w:numFmt w:val="lowerRoman"/>
      <w:start w:val="1"/>
    </w:lvl>
  </w:abstractNum>
  <w:abstractNum w:abstractNumId="69">
    <w:nsid w:val="1A32234B"/>
    <w:multiLevelType w:val="hybridMultilevel"/>
    <w:lvl w:ilvl="0">
      <w:lvlJc w:val="left"/>
      <w:lvlText w:val="%1"/>
      <w:numFmt w:val="lowerLetter"/>
      <w:start w:val="1"/>
    </w:lvl>
    <w:lvl w:ilvl="1">
      <w:lvlJc w:val="left"/>
      <w:lvlText w:val="(%2)"/>
      <w:numFmt w:val="lowerRoman"/>
      <w:start w:val="2"/>
    </w:lvl>
    <w:lvl w:ilvl="2">
      <w:lvlJc w:val="left"/>
      <w:lvlText w:val="%3"/>
      <w:numFmt w:val="decimal"/>
      <w:start w:val="1"/>
    </w:lvl>
  </w:abstractNum>
  <w:abstractNum w:abstractNumId="70">
    <w:nsid w:val="3B0FD379"/>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5"/>
    </w:lvl>
  </w:abstractNum>
  <w:abstractNum w:abstractNumId="71">
    <w:nsid w:val="68EB2F63"/>
    <w:multiLevelType w:val="hybridMultilevel"/>
    <w:lvl w:ilvl="0">
      <w:lvlJc w:val="left"/>
      <w:lvlText w:val="%1"/>
      <w:numFmt w:val="lowerLetter"/>
      <w:start w:val="1"/>
    </w:lvl>
    <w:lvl w:ilvl="1">
      <w:lvlJc w:val="left"/>
      <w:lvlText w:val="(%2)"/>
      <w:numFmt w:val="lowerLetter"/>
      <w:start w:val="61"/>
    </w:lvl>
  </w:abstractNum>
  <w:abstractNum w:abstractNumId="72">
    <w:nsid w:val="4962813B"/>
    <w:multiLevelType w:val="hybridMultilevel"/>
    <w:lvl w:ilvl="0">
      <w:lvlJc w:val="left"/>
      <w:lvlText w:val="(%1)"/>
      <w:numFmt w:val="lowerLetter"/>
      <w:start w:val="3"/>
    </w:lvl>
    <w:lvl w:ilvl="1">
      <w:lvlJc w:val="left"/>
      <w:lvlText w:val="(%2)"/>
      <w:numFmt w:val="lowerLetter"/>
      <w:start w:val="9"/>
    </w:lvl>
  </w:abstractNum>
  <w:abstractNum w:abstractNumId="73">
    <w:nsid w:val="60B6DF70"/>
    <w:multiLevelType w:val="hybridMultilevel"/>
    <w:lvl w:ilvl="0">
      <w:lvlJc w:val="left"/>
      <w:lvlText w:val="(%1)"/>
      <w:numFmt w:val="lowerRoman"/>
      <w:start w:val="2"/>
    </w:lvl>
  </w:abstractNum>
  <w:abstractNum w:abstractNumId="74">
    <w:nsid w:val="6A5EE64"/>
    <w:multiLevelType w:val="hybridMultilevel"/>
    <w:lvl w:ilvl="0">
      <w:lvlJc w:val="left"/>
      <w:lvlText w:val="(%1)"/>
      <w:numFmt w:val="lowerLetter"/>
      <w:start w:val="5"/>
    </w:lvl>
  </w:abstractNum>
  <w:abstractNum w:abstractNumId="75">
    <w:nsid w:val="14330624"/>
    <w:multiLevelType w:val="hybridMultilevel"/>
    <w:lvl w:ilvl="0">
      <w:lvlJc w:val="left"/>
      <w:lvlText w:val="(%1)"/>
      <w:numFmt w:val="lowerLetter"/>
      <w:start w:val="7"/>
    </w:lvl>
  </w:abstractNum>
  <w:abstractNum w:abstractNumId="76">
    <w:nsid w:val="7FFFCA11"/>
    <w:multiLevelType w:val="hybridMultilevel"/>
    <w:lvl w:ilvl="0">
      <w:lvlJc w:val="left"/>
      <w:lvlText w:val="(%1)"/>
      <w:numFmt w:val="lowerRoman"/>
      <w:start w:val="1"/>
    </w:lvl>
  </w:abstractNum>
  <w:abstractNum w:abstractNumId="77">
    <w:nsid w:val="1A27709E"/>
    <w:multiLevelType w:val="hybridMultilevel"/>
    <w:lvl w:ilvl="0">
      <w:lvlJc w:val="left"/>
      <w:lvlText w:val="(%1)"/>
      <w:numFmt w:val="lowerRoman"/>
      <w:start w:val="2"/>
    </w:lvl>
  </w:abstractNum>
  <w:abstractNum w:abstractNumId="78">
    <w:nsid w:val="71EA1109"/>
    <w:multiLevelType w:val="hybridMultilevel"/>
    <w:lvl w:ilvl="0">
      <w:lvlJc w:val="left"/>
      <w:lvlText w:val="(%1)"/>
      <w:numFmt w:val="lowerLetter"/>
      <w:start w:val="1"/>
    </w:lvl>
    <w:lvl w:ilvl="1">
      <w:lvlJc w:val="left"/>
      <w:lvlText w:val="(%2)"/>
      <w:numFmt w:val="lowerRoman"/>
      <w:start w:val="1"/>
    </w:lvl>
  </w:abstractNum>
  <w:abstractNum w:abstractNumId="79">
    <w:nsid w:val="100F59DC"/>
    <w:multiLevelType w:val="hybridMultilevel"/>
    <w:lvl w:ilvl="0">
      <w:lvlJc w:val="left"/>
      <w:lvlText w:val="(%1)"/>
      <w:numFmt w:val="lowerRoman"/>
      <w:start w:val="2"/>
    </w:lvl>
  </w:abstractNum>
  <w:abstractNum w:abstractNumId="80">
    <w:nsid w:val="7FB7E0AA"/>
    <w:multiLevelType w:val="hybridMultilevel"/>
    <w:lvl w:ilvl="0">
      <w:lvlJc w:val="left"/>
      <w:lvlText w:val="%1"/>
      <w:numFmt w:val="lowerLetter"/>
      <w:start w:val="1"/>
    </w:lvl>
    <w:lvl w:ilvl="1">
      <w:lvlJc w:val="left"/>
      <w:lvlText w:val="(%2)"/>
      <w:numFmt w:val="lowerLetter"/>
      <w:start w:val="61"/>
    </w:lvl>
  </w:abstractNum>
  <w:abstractNum w:abstractNumId="81">
    <w:nsid w:val="6EB5BD4"/>
    <w:multiLevelType w:val="hybridMultilevel"/>
    <w:lvl w:ilvl="0">
      <w:lvlJc w:val="left"/>
      <w:lvlText w:val="(%1)"/>
      <w:numFmt w:val="lowerLetter"/>
      <w:start w:val="3"/>
    </w:lvl>
    <w:lvl w:ilvl="1">
      <w:lvlJc w:val="left"/>
      <w:lvlText w:val="(%2)"/>
      <w:numFmt w:val="lowerLetter"/>
      <w:start w:val="9"/>
    </w:lvl>
  </w:abstractNum>
  <w:abstractNum w:abstractNumId="82">
    <w:nsid w:val="6F6DD9AC"/>
    <w:multiLevelType w:val="hybridMultilevel"/>
    <w:lvl w:ilvl="0">
      <w:lvlJc w:val="left"/>
      <w:lvlText w:val="(%1)"/>
      <w:numFmt w:val="lowerRoman"/>
      <w:start w:val="2"/>
    </w:lvl>
  </w:abstractNum>
  <w:abstractNum w:abstractNumId="83">
    <w:nsid w:val="94211F2"/>
    <w:multiLevelType w:val="hybridMultilevel"/>
    <w:lvl w:ilvl="0">
      <w:lvlJc w:val="left"/>
      <w:lvlText w:val="(%1)"/>
      <w:numFmt w:val="lowerLetter"/>
      <w:start w:val="1"/>
    </w:lvl>
  </w:abstractNum>
  <w:abstractNum w:abstractNumId="84">
    <w:nsid w:val="885E1B"/>
    <w:multiLevelType w:val="hybridMultilevel"/>
    <w:lvl w:ilvl="0">
      <w:lvlJc w:val="left"/>
      <w:lvlText w:val="(%1)"/>
      <w:numFmt w:val="lowerLetter"/>
      <w:start w:val="1"/>
    </w:lvl>
  </w:abstractNum>
  <w:abstractNum w:abstractNumId="85">
    <w:nsid w:val="76272110"/>
    <w:multiLevelType w:val="hybridMultilevel"/>
    <w:lvl w:ilvl="0">
      <w:lvlJc w:val="left"/>
      <w:lvlText w:val="(%1)"/>
      <w:numFmt w:val="lowerLetter"/>
      <w:start w:val="3"/>
    </w:lvl>
  </w:abstractNum>
  <w:abstractNum w:abstractNumId="86">
    <w:nsid w:val="4C04A8AF"/>
    <w:multiLevelType w:val="hybridMultilevel"/>
    <w:lvl w:ilvl="0">
      <w:lvlJc w:val="left"/>
      <w:lvlText w:val="(%1)"/>
      <w:numFmt w:val="lowerLetter"/>
      <w:start w:val="8"/>
    </w:lvl>
  </w:abstractNum>
  <w:abstractNum w:abstractNumId="87">
    <w:nsid w:val="1716703B"/>
    <w:multiLevelType w:val="hybridMultilevel"/>
    <w:lvl w:ilvl="0">
      <w:lvlJc w:val="left"/>
      <w:lvlText w:val="(%1)"/>
      <w:numFmt w:val="lowerLetter"/>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2020-04-28T16:17:15Z</dcterms:created>
  <dcterms:modified xsi:type="dcterms:W3CDTF">2020-04-28T16:17:15Z</dcterms:modified>
</cp:coreProperties>
</file>