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368935</wp:posOffset>
            </wp:positionV>
            <wp:extent cx="7196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309880</wp:posOffset>
            </wp:positionV>
            <wp:extent cx="71964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17145"/>
                    </a:xfrm>
                    <a:prstGeom prst="rect">
                      <a:avLst/>
                    </a:prstGeom>
                    <a:noFill/>
                  </pic:spPr>
                </pic:pic>
              </a:graphicData>
            </a:graphic>
          </wp:anchor>
        </w:drawing>
        <w:t>UNITED STATES</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109220</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112395</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367" w:lineRule="exact"/>
        <w:rPr>
          <w:sz w:val="24"/>
          <w:szCs w:val="24"/>
          <w:color w:val="auto"/>
        </w:rPr>
      </w:pPr>
    </w:p>
    <w:p>
      <w:pPr>
        <w:ind w:left="1860" w:right="380" w:hanging="369"/>
        <w:spacing w:after="0" w:line="256" w:lineRule="auto"/>
        <w:tabs>
          <w:tab w:leader="none" w:pos="18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QUARTERLY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2021</w:t>
      </w:r>
    </w:p>
    <w:p>
      <w:pPr>
        <w:spacing w:after="0" w:line="236" w:lineRule="exact"/>
        <w:rPr>
          <w:sz w:val="24"/>
          <w:szCs w:val="24"/>
          <w:color w:val="auto"/>
        </w:rPr>
      </w:pPr>
    </w:p>
    <w:p>
      <w:pPr>
        <w:ind w:left="1880" w:right="2220" w:hanging="389"/>
        <w:spacing w:after="0" w:line="270" w:lineRule="auto"/>
        <w:tabs>
          <w:tab w:leader="none" w:pos="1853"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TRANSITION REPORT PURSUANT TO SECTION 13 OR 15(d) OF THE SECURITIES EXCHANGE ACT OF 1934</w:t>
      </w:r>
    </w:p>
    <w:p>
      <w:pPr>
        <w:spacing w:after="0" w:line="56" w:lineRule="exact"/>
        <w:rPr>
          <w:sz w:val="24"/>
          <w:szCs w:val="24"/>
          <w:color w:val="auto"/>
        </w:rPr>
      </w:pPr>
    </w:p>
    <w:tbl>
      <w:tblPr>
        <w:tblLayout w:type="fixed"/>
        <w:tblInd w:w="1400" w:type="dxa"/>
        <w:tblCellMar>
          <w:top w:w="0" w:type="dxa"/>
          <w:left w:w="0" w:type="dxa"/>
          <w:bottom w:w="0" w:type="dxa"/>
          <w:right w:w="0" w:type="dxa"/>
        </w:tblCellMar>
      </w:tblPr>
      <w:tr>
        <w:trPr>
          <w:trHeight w:val="231"/>
        </w:trPr>
        <w:tc>
          <w:tcPr>
            <w:tcW w:w="6480" w:type="dxa"/>
            <w:vAlign w:val="bottom"/>
            <w:gridSpan w:val="3"/>
          </w:tcPr>
          <w:p>
            <w:pPr>
              <w:ind w:left="2240"/>
              <w:spacing w:after="0"/>
              <w:rPr>
                <w:sz w:val="20"/>
                <w:szCs w:val="20"/>
                <w:color w:val="auto"/>
              </w:rPr>
            </w:pPr>
            <w:r>
              <w:rPr>
                <w:rFonts w:ascii="Arial" w:cs="Arial" w:eastAsia="Arial" w:hAnsi="Arial"/>
                <w:sz w:val="18"/>
                <w:szCs w:val="18"/>
                <w:b w:val="1"/>
                <w:bCs w:val="1"/>
                <w:color w:val="auto"/>
                <w:w w:val="90"/>
              </w:rPr>
              <w:t>For the transition period from _________ to _________</w:t>
            </w:r>
          </w:p>
        </w:tc>
        <w:tc>
          <w:tcPr>
            <w:tcW w:w="1120" w:type="dxa"/>
            <w:vAlign w:val="bottom"/>
          </w:tcPr>
          <w:p>
            <w:pPr>
              <w:spacing w:after="0"/>
              <w:rPr>
                <w:sz w:val="20"/>
                <w:szCs w:val="20"/>
                <w:color w:val="auto"/>
              </w:rPr>
            </w:pPr>
          </w:p>
        </w:tc>
      </w:tr>
      <w:tr>
        <w:trPr>
          <w:trHeight w:val="428"/>
        </w:trPr>
        <w:tc>
          <w:tcPr>
            <w:tcW w:w="6480" w:type="dxa"/>
            <w:vAlign w:val="bottom"/>
            <w:gridSpan w:val="3"/>
          </w:tcPr>
          <w:p>
            <w:pPr>
              <w:jc w:val="center"/>
              <w:ind w:left="1869"/>
              <w:spacing w:after="0"/>
              <w:rPr>
                <w:sz w:val="20"/>
                <w:szCs w:val="20"/>
                <w:color w:val="auto"/>
              </w:rPr>
            </w:pPr>
            <w:r>
              <w:rPr>
                <w:rFonts w:ascii="Arial" w:cs="Arial" w:eastAsia="Arial" w:hAnsi="Arial"/>
                <w:sz w:val="18"/>
                <w:szCs w:val="18"/>
                <w:b w:val="1"/>
                <w:bCs w:val="1"/>
                <w:color w:val="auto"/>
                <w:w w:val="89"/>
              </w:rPr>
              <w:t>Commission file number 1-13905</w:t>
            </w:r>
          </w:p>
        </w:tc>
        <w:tc>
          <w:tcPr>
            <w:tcW w:w="1120" w:type="dxa"/>
            <w:vAlign w:val="bottom"/>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260" w:type="dxa"/>
            <w:vAlign w:val="bottom"/>
            <w:gridSpan w:val="2"/>
          </w:tcPr>
          <w:p>
            <w:pPr>
              <w:spacing w:after="0"/>
              <w:rPr>
                <w:sz w:val="14"/>
                <w:szCs w:val="14"/>
                <w:color w:val="auto"/>
              </w:rPr>
            </w:pPr>
          </w:p>
        </w:tc>
      </w:tr>
      <w:tr>
        <w:trPr>
          <w:trHeight w:val="447"/>
        </w:trPr>
        <w:tc>
          <w:tcPr>
            <w:tcW w:w="7600" w:type="dxa"/>
            <w:vAlign w:val="bottom"/>
            <w:gridSpan w:val="4"/>
          </w:tcPr>
          <w:p>
            <w:pPr>
              <w:jc w:val="center"/>
              <w:ind w:left="749"/>
              <w:spacing w:after="0"/>
              <w:rPr>
                <w:sz w:val="20"/>
                <w:szCs w:val="20"/>
                <w:color w:val="auto"/>
              </w:rPr>
            </w:pPr>
            <w:r>
              <w:rPr>
                <w:rFonts w:ascii="Arial" w:cs="Arial" w:eastAsia="Arial" w:hAnsi="Arial"/>
                <w:sz w:val="32"/>
                <w:szCs w:val="32"/>
                <w:b w:val="1"/>
                <w:bCs w:val="1"/>
                <w:color w:val="auto"/>
              </w:rPr>
              <w:t>COMPX INTERNATIONAL INC.</w:t>
            </w:r>
          </w:p>
        </w:tc>
      </w:tr>
      <w:tr>
        <w:trPr>
          <w:trHeight w:val="227"/>
        </w:trPr>
        <w:tc>
          <w:tcPr>
            <w:tcW w:w="6480" w:type="dxa"/>
            <w:vAlign w:val="bottom"/>
            <w:gridSpan w:val="3"/>
          </w:tcPr>
          <w:p>
            <w:pPr>
              <w:jc w:val="center"/>
              <w:ind w:left="1889"/>
              <w:spacing w:after="0"/>
              <w:rPr>
                <w:sz w:val="20"/>
                <w:szCs w:val="20"/>
                <w:color w:val="auto"/>
              </w:rPr>
            </w:pPr>
            <w:r>
              <w:rPr>
                <w:rFonts w:ascii="Arial" w:cs="Arial" w:eastAsia="Arial" w:hAnsi="Arial"/>
                <w:sz w:val="18"/>
                <w:szCs w:val="18"/>
                <w:color w:val="auto"/>
                <w:w w:val="89"/>
              </w:rPr>
              <w:t>(Exact name of Registrant as specified in its charter)</w:t>
            </w:r>
          </w:p>
        </w:tc>
        <w:tc>
          <w:tcPr>
            <w:tcW w:w="1120" w:type="dxa"/>
            <w:vAlign w:val="bottom"/>
          </w:tcPr>
          <w:p>
            <w:pPr>
              <w:spacing w:after="0"/>
              <w:rPr>
                <w:sz w:val="19"/>
                <w:szCs w:val="19"/>
                <w:color w:val="auto"/>
              </w:rPr>
            </w:pPr>
          </w:p>
        </w:tc>
      </w:tr>
      <w:tr>
        <w:trPr>
          <w:trHeight w:val="344"/>
        </w:trPr>
        <w:tc>
          <w:tcPr>
            <w:tcW w:w="648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57-0981653</w:t>
            </w:r>
          </w:p>
        </w:tc>
      </w:tr>
      <w:tr>
        <w:trPr>
          <w:trHeight w:val="147"/>
        </w:trPr>
        <w:tc>
          <w:tcPr>
            <w:tcW w:w="6480" w:type="dxa"/>
            <w:vAlign w:val="bottom"/>
            <w:gridSpan w:val="3"/>
          </w:tcPr>
          <w:p>
            <w:pPr>
              <w:jc w:val="center"/>
              <w:ind w:right="378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120" w:type="dxa"/>
            <w:vAlign w:val="bottom"/>
          </w:tcPr>
          <w:p>
            <w:pPr>
              <w:jc w:val="center"/>
              <w:spacing w:after="0" w:line="147" w:lineRule="exact"/>
              <w:rPr>
                <w:sz w:val="20"/>
                <w:szCs w:val="20"/>
                <w:color w:val="auto"/>
              </w:rPr>
            </w:pPr>
            <w:r>
              <w:rPr>
                <w:rFonts w:ascii="Arial" w:cs="Arial" w:eastAsia="Arial" w:hAnsi="Arial"/>
                <w:sz w:val="14"/>
                <w:szCs w:val="14"/>
                <w:color w:val="auto"/>
                <w:w w:val="94"/>
              </w:rPr>
              <w:t>(IRS Employer</w:t>
            </w:r>
          </w:p>
        </w:tc>
      </w:tr>
      <w:tr>
        <w:trPr>
          <w:trHeight w:val="181"/>
        </w:trPr>
        <w:tc>
          <w:tcPr>
            <w:tcW w:w="6480" w:type="dxa"/>
            <w:vAlign w:val="bottom"/>
            <w:gridSpan w:val="3"/>
          </w:tcPr>
          <w:p>
            <w:pPr>
              <w:jc w:val="center"/>
              <w:ind w:right="3760"/>
              <w:spacing w:after="0"/>
              <w:rPr>
                <w:sz w:val="20"/>
                <w:szCs w:val="20"/>
                <w:color w:val="auto"/>
              </w:rPr>
            </w:pPr>
            <w:r>
              <w:rPr>
                <w:rFonts w:ascii="Arial" w:cs="Arial" w:eastAsia="Arial" w:hAnsi="Arial"/>
                <w:sz w:val="14"/>
                <w:szCs w:val="14"/>
                <w:color w:val="auto"/>
                <w:w w:val="94"/>
              </w:rPr>
              <w:t>Incorporation or organization)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434"/>
        </w:trPr>
        <w:tc>
          <w:tcPr>
            <w:tcW w:w="648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9"/>
              </w:rPr>
              <w:t>5430 LBJ Freeway, Suite 1700,</w:t>
            </w:r>
          </w:p>
        </w:tc>
        <w:tc>
          <w:tcPr>
            <w:tcW w:w="1120" w:type="dxa"/>
            <w:vAlign w:val="bottom"/>
          </w:tcPr>
          <w:p>
            <w:pPr>
              <w:spacing w:after="0"/>
              <w:rPr>
                <w:sz w:val="24"/>
                <w:szCs w:val="24"/>
                <w:color w:val="auto"/>
              </w:rPr>
            </w:pPr>
          </w:p>
        </w:tc>
      </w:tr>
      <w:tr>
        <w:trPr>
          <w:trHeight w:val="227"/>
        </w:trPr>
        <w:tc>
          <w:tcPr>
            <w:tcW w:w="648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9"/>
              </w:rPr>
              <w:t>Three Lincoln Centre, Dallas, Texas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75240-2620</w:t>
            </w:r>
          </w:p>
        </w:tc>
      </w:tr>
      <w:tr>
        <w:trPr>
          <w:trHeight w:val="181"/>
        </w:trPr>
        <w:tc>
          <w:tcPr>
            <w:tcW w:w="6480" w:type="dxa"/>
            <w:vAlign w:val="bottom"/>
            <w:gridSpan w:val="3"/>
          </w:tcPr>
          <w:p>
            <w:pPr>
              <w:jc w:val="center"/>
              <w:ind w:right="3780"/>
              <w:spacing w:after="0"/>
              <w:rPr>
                <w:sz w:val="20"/>
                <w:szCs w:val="20"/>
                <w:color w:val="auto"/>
              </w:rPr>
            </w:pPr>
            <w:r>
              <w:rPr>
                <w:rFonts w:ascii="Arial" w:cs="Arial" w:eastAsia="Arial" w:hAnsi="Arial"/>
                <w:sz w:val="14"/>
                <w:szCs w:val="14"/>
                <w:color w:val="auto"/>
                <w:w w:val="94"/>
              </w:rPr>
              <w:t>(Address of principal executive offices)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(Zip Code)</w:t>
            </w:r>
          </w:p>
        </w:tc>
      </w:tr>
    </w:tbl>
    <w:p>
      <w:pPr>
        <w:spacing w:after="0" w:line="180"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9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0"/>
        </w:trPr>
        <w:tc>
          <w:tcPr>
            <w:tcW w:w="476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CIX</w:t>
            </w:r>
          </w:p>
        </w:tc>
        <w:tc>
          <w:tcPr>
            <w:tcW w:w="100" w:type="dxa"/>
            <w:vAlign w:val="bottom"/>
          </w:tcPr>
          <w:p>
            <w:pPr>
              <w:spacing w:after="0"/>
              <w:rPr>
                <w:sz w:val="17"/>
                <w:szCs w:val="17"/>
                <w:color w:val="auto"/>
              </w:rPr>
            </w:pPr>
          </w:p>
        </w:tc>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189" w:lineRule="exact"/>
        <w:rPr>
          <w:sz w:val="24"/>
          <w:szCs w:val="24"/>
          <w:color w:val="auto"/>
        </w:rPr>
      </w:pPr>
    </w:p>
    <w:p>
      <w:pPr>
        <w:jc w:val="both"/>
        <w:spacing w:after="0" w:line="214" w:lineRule="exact"/>
        <w:rPr>
          <w:sz w:val="20"/>
          <w:szCs w:val="20"/>
          <w:color w:val="auto"/>
        </w:rPr>
      </w:pPr>
      <w:r>
        <w:rPr>
          <w:rFonts w:ascii="Arial" w:cs="Arial" w:eastAsia="Arial" w:hAnsi="Arial"/>
          <w:sz w:val="15"/>
          <w:szCs w:val="15"/>
          <w:b w:val="1"/>
          <w:bCs w:val="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 xml:space="preserve"> No </w:t>
      </w:r>
      <w:r>
        <w:rPr>
          <w:rFonts w:ascii="MS PGothic" w:cs="MS PGothic" w:eastAsia="MS PGothic" w:hAnsi="MS PGothic"/>
          <w:sz w:val="15"/>
          <w:szCs w:val="15"/>
          <w:color w:val="auto"/>
          <w:highlight w:val="black"/>
        </w:rPr>
        <w:t>☐</w:t>
      </w:r>
    </w:p>
    <w:p>
      <w:pPr>
        <w:spacing w:after="0" w:line="188" w:lineRule="exact"/>
        <w:rPr>
          <w:sz w:val="24"/>
          <w:szCs w:val="24"/>
          <w:color w:val="auto"/>
        </w:rPr>
      </w:pPr>
    </w:p>
    <w:p>
      <w:pPr>
        <w:jc w:val="both"/>
        <w:spacing w:after="0" w:line="27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53" w:lineRule="exact"/>
        <w:rPr>
          <w:sz w:val="24"/>
          <w:szCs w:val="24"/>
          <w:color w:val="auto"/>
        </w:rPr>
      </w:pPr>
    </w:p>
    <w:p>
      <w:pPr>
        <w:spacing w:after="0" w:line="184" w:lineRule="exact"/>
        <w:tabs>
          <w:tab w:leader="none" w:pos="1860" w:val="left"/>
          <w:tab w:leader="none" w:pos="3340" w:val="left"/>
        </w:tabs>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ab/>
        <w:t xml:space="preserve">Accelerated filer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 Smaller reporting company </w:t>
      </w:r>
      <w:r>
        <w:rPr>
          <w:rFonts w:ascii="MS PGothic" w:cs="MS PGothic" w:eastAsia="MS PGothic" w:hAnsi="MS PGothic"/>
          <w:sz w:val="14"/>
          <w:szCs w:val="14"/>
          <w:color w:val="auto"/>
          <w:highlight w:val="black"/>
        </w:rPr>
        <w:t>☐</w:t>
      </w:r>
    </w:p>
    <w:p>
      <w:pPr>
        <w:spacing w:after="0" w:line="231"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highlight w:val="black"/>
        </w:rPr>
        <w:t>☐</w:t>
      </w:r>
    </w:p>
    <w:p>
      <w:pPr>
        <w:spacing w:after="0" w:line="257"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163" w:lineRule="exact"/>
        <w:rPr>
          <w:sz w:val="24"/>
          <w:szCs w:val="24"/>
          <w:color w:val="auto"/>
        </w:rPr>
      </w:pPr>
    </w:p>
    <w:p>
      <w:pPr>
        <w:spacing w:after="0" w:line="184" w:lineRule="exact"/>
        <w:tabs>
          <w:tab w:leader="none" w:pos="7860" w:val="left"/>
          <w:tab w:leader="none" w:pos="8480" w:val="left"/>
        </w:tabs>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5"/>
          <w:szCs w:val="15"/>
          <w:b w:val="1"/>
          <w:bCs w:val="1"/>
          <w:color w:val="auto"/>
        </w:rPr>
        <w:t xml:space="preserve">No </w:t>
      </w: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April 29, 2021, the registrant had 12,401,157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113030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779780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40" w:type="dxa"/>
            <w:vAlign w:val="bottom"/>
            <w:gridSpan w:val="9"/>
          </w:tcPr>
          <w:p>
            <w:pPr>
              <w:jc w:val="center"/>
              <w:ind w:right="2100"/>
              <w:spacing w:after="0"/>
              <w:rPr>
                <w:sz w:val="20"/>
                <w:szCs w:val="20"/>
                <w:color w:val="auto"/>
              </w:rPr>
            </w:pPr>
            <w:r>
              <w:rPr>
                <w:rFonts w:ascii="Arial" w:cs="Arial" w:eastAsia="Arial" w:hAnsi="Arial"/>
                <w:sz w:val="18"/>
                <w:szCs w:val="18"/>
                <w:b w:val="1"/>
                <w:bCs w:val="1"/>
                <w:color w:val="auto"/>
              </w:rPr>
              <w:t>COMPX INTERNATIONAL INC.</w:t>
            </w:r>
          </w:p>
        </w:tc>
        <w:tc>
          <w:tcPr>
            <w:tcW w:w="800" w:type="dxa"/>
            <w:vAlign w:val="bottom"/>
          </w:tcPr>
          <w:p>
            <w:pPr>
              <w:spacing w:after="0"/>
              <w:rPr>
                <w:sz w:val="20"/>
                <w:szCs w:val="20"/>
                <w:color w:val="auto"/>
              </w:rPr>
            </w:pPr>
          </w:p>
        </w:tc>
      </w:tr>
      <w:tr>
        <w:trPr>
          <w:trHeight w:val="428"/>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40" w:type="dxa"/>
            <w:vAlign w:val="bottom"/>
            <w:gridSpan w:val="7"/>
          </w:tcPr>
          <w:p>
            <w:pPr>
              <w:jc w:val="center"/>
              <w:ind w:right="4400"/>
              <w:spacing w:after="0"/>
              <w:rPr>
                <w:sz w:val="20"/>
                <w:szCs w:val="20"/>
                <w:color w:val="auto"/>
              </w:rPr>
            </w:pPr>
            <w:r>
              <w:rPr>
                <w:rFonts w:ascii="Arial" w:cs="Arial" w:eastAsia="Arial" w:hAnsi="Arial"/>
                <w:sz w:val="18"/>
                <w:szCs w:val="18"/>
                <w:b w:val="1"/>
                <w:bCs w:val="1"/>
                <w:color w:val="auto"/>
                <w:w w:val="93"/>
              </w:rPr>
              <w:t>Index</w:t>
            </w:r>
          </w:p>
        </w:tc>
        <w:tc>
          <w:tcPr>
            <w:tcW w:w="800" w:type="dxa"/>
            <w:vAlign w:val="bottom"/>
          </w:tcPr>
          <w:p>
            <w:pPr>
              <w:spacing w:after="0"/>
              <w:rPr>
                <w:sz w:val="24"/>
                <w:szCs w:val="24"/>
                <w:color w:val="auto"/>
              </w:rPr>
            </w:pPr>
          </w:p>
        </w:tc>
      </w:tr>
      <w:tr>
        <w:trPr>
          <w:trHeight w:val="443"/>
        </w:trPr>
        <w:tc>
          <w:tcPr>
            <w:tcW w:w="8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3"/>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spacing w:after="0"/>
              <w:rPr>
                <w:sz w:val="17"/>
                <w:szCs w:val="17"/>
                <w:color w:val="auto"/>
              </w:rPr>
            </w:pPr>
          </w:p>
        </w:tc>
      </w:tr>
      <w:tr>
        <w:trPr>
          <w:trHeight w:val="295"/>
        </w:trPr>
        <w:tc>
          <w:tcPr>
            <w:tcW w:w="880" w:type="dxa"/>
            <w:vAlign w:val="bottom"/>
          </w:tcPr>
          <w:p>
            <w:pPr>
              <w:spacing w:after="0"/>
              <w:rPr>
                <w:sz w:val="24"/>
                <w:szCs w:val="24"/>
                <w:color w:val="auto"/>
              </w:rPr>
            </w:pPr>
          </w:p>
        </w:tc>
        <w:tc>
          <w:tcPr>
            <w:tcW w:w="95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31, 2020 and March 31, 2021 (unaudited)</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- 3 -</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4"/>
        </w:trPr>
        <w:tc>
          <w:tcPr>
            <w:tcW w:w="880" w:type="dxa"/>
            <w:vAlign w:val="bottom"/>
          </w:tcPr>
          <w:p>
            <w:pPr>
              <w:spacing w:after="0"/>
              <w:rPr>
                <w:sz w:val="24"/>
                <w:szCs w:val="24"/>
                <w:color w:val="auto"/>
              </w:rPr>
            </w:pPr>
          </w:p>
        </w:tc>
        <w:tc>
          <w:tcPr>
            <w:tcW w:w="95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months ended March 31, 2020 and 2021</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- 4 -</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4"/>
        </w:trPr>
        <w:tc>
          <w:tcPr>
            <w:tcW w:w="880" w:type="dxa"/>
            <w:vAlign w:val="bottom"/>
          </w:tcPr>
          <w:p>
            <w:pPr>
              <w:spacing w:after="0"/>
              <w:rPr>
                <w:sz w:val="24"/>
                <w:szCs w:val="24"/>
                <w:color w:val="auto"/>
              </w:rPr>
            </w:pPr>
          </w:p>
        </w:tc>
        <w:tc>
          <w:tcPr>
            <w:tcW w:w="9560" w:type="dxa"/>
            <w:vAlign w:val="bottom"/>
            <w:gridSpan w:val="13"/>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Stockholders’ Equity (unaudited) – Three months ended March 31, 2020 and 2021</w:t>
              </w:r>
            </w:hyperlink>
          </w:p>
        </w:tc>
        <w:tc>
          <w:tcPr>
            <w:tcW w:w="800" w:type="dxa"/>
            <w:vAlign w:val="bottom"/>
          </w:tcPr>
          <w:p>
            <w:pPr>
              <w:ind w:left="300"/>
              <w:spacing w:after="0"/>
              <w:rPr>
                <w:sz w:val="20"/>
                <w:szCs w:val="20"/>
                <w:color w:val="auto"/>
              </w:rPr>
            </w:pPr>
            <w:r>
              <w:rPr>
                <w:rFonts w:ascii="Arial" w:cs="Arial" w:eastAsia="Arial" w:hAnsi="Arial"/>
                <w:sz w:val="18"/>
                <w:szCs w:val="18"/>
                <w:color w:val="auto"/>
              </w:rPr>
              <w:t>- 5 -</w:t>
            </w:r>
          </w:p>
        </w:tc>
      </w:tr>
      <w:tr>
        <w:trPr>
          <w:trHeight w:val="314"/>
        </w:trPr>
        <w:tc>
          <w:tcPr>
            <w:tcW w:w="880" w:type="dxa"/>
            <w:vAlign w:val="bottom"/>
          </w:tcPr>
          <w:p>
            <w:pPr>
              <w:spacing w:after="0"/>
              <w:rPr>
                <w:sz w:val="24"/>
                <w:szCs w:val="24"/>
                <w:color w:val="auto"/>
              </w:rPr>
            </w:pPr>
          </w:p>
        </w:tc>
        <w:tc>
          <w:tcPr>
            <w:tcW w:w="8740" w:type="dxa"/>
            <w:vAlign w:val="bottom"/>
            <w:tcBorders>
              <w:top w:val="single" w:sz="8" w:color="0000EE"/>
            </w:tcBorders>
            <w:gridSpan w:val="12"/>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Cash Flows (unaudited) – Three months ended March 31, 2020 and 2021</w:t>
              </w:r>
            </w:hyperlink>
          </w:p>
        </w:tc>
        <w:tc>
          <w:tcPr>
            <w:tcW w:w="82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- 6 -</w:t>
            </w:r>
          </w:p>
        </w:tc>
      </w:tr>
      <w:tr>
        <w:trPr>
          <w:trHeight w:val="314"/>
        </w:trPr>
        <w:tc>
          <w:tcPr>
            <w:tcW w:w="880" w:type="dxa"/>
            <w:vAlign w:val="bottom"/>
          </w:tcPr>
          <w:p>
            <w:pPr>
              <w:spacing w:after="0"/>
              <w:rPr>
                <w:sz w:val="24"/>
                <w:szCs w:val="24"/>
                <w:color w:val="auto"/>
              </w:rPr>
            </w:pPr>
          </w:p>
        </w:tc>
        <w:tc>
          <w:tcPr>
            <w:tcW w:w="48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 (unaudited)</w:t>
              </w:r>
            </w:hyperlink>
          </w:p>
        </w:tc>
        <w:tc>
          <w:tcPr>
            <w:tcW w:w="3220" w:type="dxa"/>
            <w:vAlign w:val="bottom"/>
            <w:tcBorders>
              <w:top w:val="single" w:sz="8" w:color="0000EE"/>
            </w:tcBorders>
            <w:gridSpan w:val="4"/>
          </w:tcPr>
          <w:p>
            <w:pPr>
              <w:spacing w:after="0"/>
              <w:rPr>
                <w:sz w:val="24"/>
                <w:szCs w:val="24"/>
                <w:color w:val="auto"/>
              </w:rPr>
            </w:pPr>
          </w:p>
        </w:tc>
        <w:tc>
          <w:tcPr>
            <w:tcW w:w="1500" w:type="dxa"/>
            <w:vAlign w:val="bottom"/>
            <w:gridSpan w:val="2"/>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- 7 -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- 11 -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Quantitative and Qualitative Disclosure About Market Risk</w:t>
              </w:r>
            </w:hyperlink>
          </w:p>
        </w:tc>
        <w:tc>
          <w:tcPr>
            <w:tcW w:w="2140" w:type="dxa"/>
            <w:vAlign w:val="bottom"/>
            <w:tcBorders>
              <w:top w:val="single" w:sz="8" w:color="0000EE"/>
            </w:tcBorders>
            <w:gridSpan w:val="3"/>
          </w:tcPr>
          <w:p>
            <w:pPr>
              <w:spacing w:after="0"/>
              <w:rPr>
                <w:sz w:val="24"/>
                <w:szCs w:val="24"/>
                <w:color w:val="auto"/>
              </w:rPr>
            </w:pPr>
          </w:p>
        </w:tc>
        <w:tc>
          <w:tcPr>
            <w:tcW w:w="3160" w:type="dxa"/>
            <w:vAlign w:val="bottom"/>
            <w:gridSpan w:val="5"/>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- 16 -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- 16 -</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4"/>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754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- 18 -</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Unregistered Sales of Equity Securities and Use of Proceeds</w:t>
              </w:r>
            </w:hyperlink>
          </w:p>
        </w:tc>
        <w:tc>
          <w:tcPr>
            <w:tcW w:w="5240" w:type="dxa"/>
            <w:vAlign w:val="bottom"/>
            <w:gridSpan w:val="7"/>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- 18 -</w:t>
            </w:r>
          </w:p>
        </w:tc>
      </w:tr>
      <w:tr>
        <w:trPr>
          <w:trHeight w:val="31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800" w:type="dxa"/>
            <w:vAlign w:val="bottom"/>
          </w:tcPr>
          <w:p>
            <w:pPr>
              <w:ind w:left="280"/>
              <w:spacing w:after="0"/>
              <w:rPr>
                <w:sz w:val="20"/>
                <w:szCs w:val="20"/>
                <w:color w:val="auto"/>
              </w:rPr>
            </w:pPr>
            <w:r>
              <w:rPr>
                <w:rFonts w:ascii="Arial" w:cs="Arial" w:eastAsia="Arial" w:hAnsi="Arial"/>
                <w:sz w:val="18"/>
                <w:szCs w:val="18"/>
                <w:color w:val="auto"/>
              </w:rPr>
              <w:t>- 18 -</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Items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0"/>
        </w:trPr>
        <w:tc>
          <w:tcPr>
            <w:tcW w:w="84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440" w:type="dxa"/>
            <w:vAlign w:val="bottom"/>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jc w:val="center"/>
              <w:ind w:right="93"/>
              <w:spacing w:after="0" w:line="154"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101,246</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68,227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97,323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97,680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68,373</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28,950</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184,045</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183,801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8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12,198</w:t>
            </w:r>
          </w:p>
        </w:tc>
        <w:tc>
          <w:tcPr>
            <w:tcW w:w="2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55,987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111,545</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167,656</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169,096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184,045</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183,801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57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2"/>
              <w:spacing w:after="0" w:line="154"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154"/>
        </w:trPr>
        <w:tc>
          <w:tcPr>
            <w:tcW w:w="57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6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w w:val="94"/>
              </w:rPr>
              <w:t>(unaudited)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860" w:type="dxa"/>
            <w:vAlign w:val="bottom"/>
            <w:gridSpan w:val="2"/>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32,311</w:t>
            </w: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35,924</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8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21,880</w:t>
            </w:r>
          </w:p>
        </w:tc>
        <w:tc>
          <w:tcPr>
            <w:tcW w:w="3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24,889</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10,431</w:t>
            </w: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11,035</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18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3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5,218</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w:t>
            </w: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5,817</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8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3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5,627</w:t>
            </w: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6,155</w:t>
            </w:r>
          </w:p>
        </w:tc>
        <w:tc>
          <w:tcPr>
            <w:tcW w:w="100" w:type="dxa"/>
            <w:vAlign w:val="bottom"/>
            <w:shd w:val="clear" w:color="auto" w:fill="CFF0FC"/>
          </w:tcPr>
          <w:p>
            <w:pPr>
              <w:spacing w:after="0"/>
              <w:rPr>
                <w:sz w:val="19"/>
                <w:szCs w:val="19"/>
                <w:color w:val="auto"/>
              </w:rPr>
            </w:pP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3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1,470</w:t>
            </w:r>
          </w:p>
        </w:tc>
        <w:tc>
          <w:tcPr>
            <w:tcW w:w="100" w:type="dxa"/>
            <w:vAlign w:val="bottom"/>
            <w:tcBorders>
              <w:bottom w:val="single" w:sz="8" w:color="CFF0FC"/>
            </w:tcBorders>
          </w:tcPr>
          <w:p>
            <w:pPr>
              <w:spacing w:after="0"/>
              <w:rPr>
                <w:sz w:val="19"/>
                <w:szCs w:val="19"/>
                <w:color w:val="auto"/>
              </w:rPr>
            </w:pPr>
          </w:p>
        </w:tc>
      </w:tr>
      <w:tr>
        <w:trPr>
          <w:trHeight w:val="221"/>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8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4,271</w:t>
            </w:r>
          </w:p>
        </w:tc>
        <w:tc>
          <w:tcPr>
            <w:tcW w:w="3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per common share</w:t>
            </w:r>
          </w:p>
        </w:tc>
        <w:tc>
          <w:tcPr>
            <w:tcW w:w="2860" w:type="dxa"/>
            <w:vAlign w:val="bottom"/>
            <w:gridSpan w:val="2"/>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0.38</w:t>
            </w:r>
          </w:p>
        </w:tc>
        <w:tc>
          <w:tcPr>
            <w:tcW w:w="100" w:type="dxa"/>
            <w:vAlign w:val="bottom"/>
            <w:shd w:val="clear" w:color="auto" w:fill="CFF0FC"/>
          </w:tcPr>
          <w:p>
            <w:pPr>
              <w:spacing w:after="0"/>
              <w:rPr>
                <w:sz w:val="19"/>
                <w:szCs w:val="19"/>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7"/>
        </w:trPr>
        <w:tc>
          <w:tcPr>
            <w:tcW w:w="5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8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12,443</w:t>
            </w:r>
          </w:p>
        </w:tc>
        <w:tc>
          <w:tcPr>
            <w:tcW w:w="3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Three months ended March 31, 2020 and 2021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40"/>
              <w:spacing w:after="0" w:line="146" w:lineRule="exact"/>
              <w:rPr>
                <w:sz w:val="20"/>
                <w:szCs w:val="20"/>
                <w:color w:val="auto"/>
              </w:rPr>
            </w:pPr>
            <w:r>
              <w:rPr>
                <w:rFonts w:ascii="Arial" w:cs="Arial" w:eastAsia="Arial" w:hAnsi="Arial"/>
                <w:sz w:val="14"/>
                <w:szCs w:val="14"/>
                <w:b w:val="1"/>
                <w:bCs w:val="1"/>
                <w:color w:val="auto"/>
                <w:w w:val="89"/>
              </w:rPr>
              <w:t>Class A</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420"/>
              <w:spacing w:after="0" w:line="146" w:lineRule="exact"/>
              <w:rPr>
                <w:sz w:val="20"/>
                <w:szCs w:val="20"/>
                <w:color w:val="auto"/>
              </w:rPr>
            </w:pPr>
            <w:r>
              <w:rPr>
                <w:rFonts w:ascii="Arial" w:cs="Arial" w:eastAsia="Arial" w:hAnsi="Arial"/>
                <w:sz w:val="14"/>
                <w:szCs w:val="14"/>
                <w:b w:val="1"/>
                <w:bCs w:val="1"/>
                <w:color w:val="auto"/>
                <w:w w:val="93"/>
              </w:rPr>
              <w:t>Additional</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95"/>
              <w:spacing w:after="0" w:line="146"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60"/>
        </w:trPr>
        <w:tc>
          <w:tcPr>
            <w:tcW w:w="3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common</w:t>
            </w:r>
          </w:p>
        </w:tc>
        <w:tc>
          <w:tcPr>
            <w:tcW w:w="12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3"/>
                <w:szCs w:val="1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stockholders'</w:t>
            </w:r>
          </w:p>
        </w:tc>
      </w:tr>
      <w:tr>
        <w:trPr>
          <w:trHeight w:val="170"/>
        </w:trPr>
        <w:tc>
          <w:tcPr>
            <w:tcW w:w="3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4"/>
                <w:szCs w:val="14"/>
                <w:color w:val="auto"/>
              </w:rPr>
            </w:pPr>
          </w:p>
        </w:tc>
      </w:tr>
      <w:tr>
        <w:trPr>
          <w:trHeight w:val="447"/>
        </w:trPr>
        <w:tc>
          <w:tcPr>
            <w:tcW w:w="32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55,869</w:t>
            </w:r>
          </w:p>
        </w:tc>
        <w:tc>
          <w:tcPr>
            <w:tcW w:w="28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106,202</w:t>
            </w:r>
          </w:p>
        </w:tc>
        <w:tc>
          <w:tcPr>
            <w:tcW w:w="180" w:type="dxa"/>
            <w:vAlign w:val="bottom"/>
          </w:tcPr>
          <w:p>
            <w:pPr>
              <w:spacing w:after="0"/>
              <w:rPr>
                <w:sz w:val="24"/>
                <w:szCs w:val="24"/>
                <w:color w:val="auto"/>
              </w:rPr>
            </w:pP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162,195</w:t>
            </w:r>
          </w:p>
        </w:tc>
        <w:tc>
          <w:tcPr>
            <w:tcW w:w="120" w:type="dxa"/>
            <w:vAlign w:val="bottom"/>
          </w:tcPr>
          <w:p>
            <w:pPr>
              <w:spacing w:after="0"/>
              <w:rPr>
                <w:sz w:val="24"/>
                <w:szCs w:val="24"/>
                <w:color w:val="auto"/>
              </w:rPr>
            </w:pPr>
          </w:p>
        </w:tc>
      </w:tr>
      <w:tr>
        <w:trPr>
          <w:trHeight w:val="228"/>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w:t>
            </w:r>
          </w:p>
        </w:tc>
        <w:tc>
          <w:tcPr>
            <w:tcW w:w="120" w:type="dxa"/>
            <w:vAlign w:val="bottom"/>
            <w:shd w:val="clear" w:color="auto" w:fill="CFF0FC"/>
          </w:tcPr>
          <w:p>
            <w:pPr>
              <w:spacing w:after="0"/>
              <w:rPr>
                <w:sz w:val="19"/>
                <w:szCs w:val="19"/>
                <w:color w:val="auto"/>
              </w:rPr>
            </w:pPr>
          </w:p>
        </w:tc>
      </w:tr>
      <w:tr>
        <w:trPr>
          <w:trHeight w:val="227"/>
        </w:trPr>
        <w:tc>
          <w:tcPr>
            <w:tcW w:w="3260" w:type="dxa"/>
            <w:vAlign w:val="bottom"/>
          </w:tcPr>
          <w:p>
            <w:pPr>
              <w:spacing w:after="0"/>
              <w:rPr>
                <w:sz w:val="20"/>
                <w:szCs w:val="20"/>
                <w:color w:val="auto"/>
              </w:rPr>
            </w:pPr>
            <w:r>
              <w:rPr>
                <w:rFonts w:ascii="Arial" w:cs="Arial" w:eastAsia="Arial" w:hAnsi="Arial"/>
                <w:sz w:val="18"/>
                <w:szCs w:val="18"/>
                <w:color w:val="auto"/>
              </w:rPr>
              <w:t>Cash dividends ($0.10 per share)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(1,244)</w:t>
            </w:r>
          </w:p>
        </w:tc>
      </w:tr>
      <w:tr>
        <w:trPr>
          <w:trHeight w:val="221"/>
        </w:trPr>
        <w:tc>
          <w:tcPr>
            <w:tcW w:w="3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55,869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109,229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3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55,987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111,545</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167,656</w:t>
            </w:r>
          </w:p>
        </w:tc>
        <w:tc>
          <w:tcPr>
            <w:tcW w:w="120" w:type="dxa"/>
            <w:vAlign w:val="bottom"/>
            <w:shd w:val="clear" w:color="auto" w:fill="CFF0FC"/>
          </w:tcPr>
          <w:p>
            <w:pPr>
              <w:spacing w:after="0"/>
              <w:rPr>
                <w:sz w:val="19"/>
                <w:szCs w:val="19"/>
                <w:color w:val="auto"/>
              </w:rPr>
            </w:pPr>
          </w:p>
        </w:tc>
      </w:tr>
      <w:tr>
        <w:trPr>
          <w:trHeight w:val="227"/>
        </w:trPr>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9"/>
                <w:szCs w:val="19"/>
                <w:color w:val="auto"/>
              </w:rPr>
            </w:pPr>
          </w:p>
        </w:tc>
      </w:tr>
      <w:tr>
        <w:trPr>
          <w:trHeight w:val="228"/>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($0.20 per share)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(2,490)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(2,490)</w:t>
            </w:r>
          </w:p>
        </w:tc>
      </w:tr>
      <w:tr>
        <w:trPr>
          <w:trHeight w:val="227"/>
        </w:trPr>
        <w:tc>
          <w:tcPr>
            <w:tcW w:w="3260" w:type="dxa"/>
            <w:vAlign w:val="bottom"/>
          </w:tcPr>
          <w:p>
            <w:pPr>
              <w:spacing w:after="0"/>
              <w:rPr>
                <w:sz w:val="20"/>
                <w:szCs w:val="20"/>
                <w:color w:val="auto"/>
              </w:rPr>
            </w:pPr>
            <w:r>
              <w:rPr>
                <w:rFonts w:ascii="Arial" w:cs="Arial" w:eastAsia="Arial" w:hAnsi="Arial"/>
                <w:sz w:val="18"/>
                <w:szCs w:val="18"/>
                <w:color w:val="auto"/>
              </w:rPr>
              <w:t>Treasury stock:</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3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Acquired</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(755)</w:t>
            </w:r>
          </w:p>
        </w:tc>
      </w:tr>
      <w:tr>
        <w:trPr>
          <w:trHeight w:val="227"/>
        </w:trPr>
        <w:tc>
          <w:tcPr>
            <w:tcW w:w="3260" w:type="dxa"/>
            <w:vAlign w:val="bottom"/>
          </w:tcPr>
          <w:p>
            <w:pPr>
              <w:ind w:left="100"/>
              <w:spacing w:after="0"/>
              <w:rPr>
                <w:sz w:val="20"/>
                <w:szCs w:val="20"/>
                <w:color w:val="auto"/>
              </w:rPr>
            </w:pPr>
            <w:r>
              <w:rPr>
                <w:rFonts w:ascii="Arial" w:cs="Arial" w:eastAsia="Arial" w:hAnsi="Arial"/>
                <w:sz w:val="18"/>
                <w:szCs w:val="18"/>
                <w:color w:val="auto"/>
              </w:rPr>
              <w:t>Retired</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1"/>
        </w:trPr>
        <w:tc>
          <w:tcPr>
            <w:tcW w:w="3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55,232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113,740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169,096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r>
      <w:tr>
        <w:trPr>
          <w:trHeight w:val="212"/>
        </w:trPr>
        <w:tc>
          <w:tcPr>
            <w:tcW w:w="6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6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r>
      <w:tr>
        <w:trPr>
          <w:trHeight w:val="221"/>
        </w:trPr>
        <w:tc>
          <w:tcPr>
            <w:tcW w:w="6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91"/>
              </w:rPr>
              <w:t>(unaudited)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4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4,271</w:t>
            </w:r>
          </w:p>
        </w:tc>
        <w:tc>
          <w:tcPr>
            <w:tcW w:w="28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4,685</w:t>
            </w:r>
          </w:p>
        </w:tc>
        <w:tc>
          <w:tcPr>
            <w:tcW w:w="120" w:type="dxa"/>
            <w:vAlign w:val="bottom"/>
          </w:tcPr>
          <w:p>
            <w:pPr>
              <w:spacing w:after="0"/>
              <w:rPr>
                <w:sz w:val="19"/>
                <w:szCs w:val="19"/>
                <w:color w:val="auto"/>
              </w:rPr>
            </w:pPr>
          </w:p>
        </w:tc>
      </w:tr>
      <w:tr>
        <w:trPr>
          <w:trHeight w:val="227"/>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949</w:t>
            </w:r>
          </w:p>
        </w:tc>
        <w:tc>
          <w:tcPr>
            <w:tcW w:w="120" w:type="dxa"/>
            <w:vAlign w:val="bottom"/>
            <w:shd w:val="clear" w:color="auto" w:fill="CFF0FC"/>
          </w:tcPr>
          <w:p>
            <w:pPr>
              <w:spacing w:after="0"/>
              <w:rPr>
                <w:sz w:val="19"/>
                <w:szCs w:val="19"/>
                <w:color w:val="auto"/>
              </w:rPr>
            </w:pPr>
          </w:p>
        </w:tc>
      </w:tr>
      <w:tr>
        <w:trPr>
          <w:trHeight w:val="227"/>
        </w:trPr>
        <w:tc>
          <w:tcPr>
            <w:tcW w:w="64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19"/>
                <w:szCs w:val="19"/>
                <w:color w:val="auto"/>
              </w:rPr>
            </w:pPr>
          </w:p>
        </w:tc>
      </w:tr>
      <w:tr>
        <w:trPr>
          <w:trHeight w:val="227"/>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FF0FC"/>
          </w:tcPr>
          <w:p>
            <w:pPr>
              <w:spacing w:after="0"/>
              <w:rPr>
                <w:sz w:val="19"/>
                <w:szCs w:val="19"/>
                <w:color w:val="auto"/>
              </w:rPr>
            </w:pPr>
          </w:p>
        </w:tc>
      </w:tr>
      <w:tr>
        <w:trPr>
          <w:trHeight w:val="227"/>
        </w:trPr>
        <w:tc>
          <w:tcPr>
            <w:tcW w:w="640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(3,362)</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(6,127)</w:t>
            </w:r>
          </w:p>
        </w:tc>
      </w:tr>
      <w:tr>
        <w:trPr>
          <w:trHeight w:val="227"/>
        </w:trPr>
        <w:tc>
          <w:tcPr>
            <w:tcW w:w="640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20" w:type="dxa"/>
            <w:vAlign w:val="bottom"/>
          </w:tcPr>
          <w:p>
            <w:pPr>
              <w:spacing w:after="0"/>
              <w:rPr>
                <w:sz w:val="19"/>
                <w:szCs w:val="19"/>
                <w:color w:val="auto"/>
              </w:rPr>
            </w:pPr>
          </w:p>
        </w:tc>
      </w:tr>
      <w:tr>
        <w:trPr>
          <w:trHeight w:val="227"/>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(3,011)</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(2,595)</w:t>
            </w:r>
          </w:p>
        </w:tc>
      </w:tr>
      <w:tr>
        <w:trPr>
          <w:trHeight w:val="227"/>
        </w:trPr>
        <w:tc>
          <w:tcPr>
            <w:tcW w:w="640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936</w:t>
            </w:r>
          </w:p>
        </w:tc>
        <w:tc>
          <w:tcPr>
            <w:tcW w:w="120" w:type="dxa"/>
            <w:vAlign w:val="bottom"/>
          </w:tcPr>
          <w:p>
            <w:pPr>
              <w:spacing w:after="0"/>
              <w:rPr>
                <w:sz w:val="19"/>
                <w:szCs w:val="19"/>
                <w:color w:val="auto"/>
              </w:rPr>
            </w:pPr>
          </w:p>
        </w:tc>
      </w:tr>
      <w:tr>
        <w:trPr>
          <w:trHeight w:val="227"/>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(576)</w:t>
            </w:r>
          </w:p>
        </w:tc>
      </w:tr>
      <w:tr>
        <w:trPr>
          <w:trHeight w:val="221"/>
        </w:trPr>
        <w:tc>
          <w:tcPr>
            <w:tcW w:w="64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20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(2,377)</w:t>
            </w:r>
          </w:p>
        </w:tc>
        <w:tc>
          <w:tcPr>
            <w:tcW w:w="120" w:type="dxa"/>
            <w:vAlign w:val="bottom"/>
            <w:tcBorders>
              <w:bottom w:val="single" w:sz="8" w:color="CFF0FC"/>
            </w:tcBorders>
          </w:tcPr>
          <w:p>
            <w:pPr>
              <w:spacing w:after="0"/>
              <w:rPr>
                <w:sz w:val="19"/>
                <w:szCs w:val="19"/>
                <w:color w:val="auto"/>
              </w:rPr>
            </w:pPr>
          </w:p>
        </w:tc>
      </w:tr>
      <w:tr>
        <w:trPr>
          <w:trHeight w:val="221"/>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40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(568)</w:t>
            </w:r>
          </w:p>
        </w:tc>
      </w:tr>
      <w:tr>
        <w:trPr>
          <w:trHeight w:val="227"/>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400" w:type="dxa"/>
            <w:vAlign w:val="bottom"/>
          </w:tcPr>
          <w:p>
            <w:pPr>
              <w:ind w:left="500"/>
              <w:spacing w:after="0"/>
              <w:rPr>
                <w:sz w:val="20"/>
                <w:szCs w:val="20"/>
                <w:color w:val="auto"/>
              </w:rPr>
            </w:pPr>
            <w:r>
              <w:rPr>
                <w:rFonts w:ascii="Arial" w:cs="Arial" w:eastAsia="Arial" w:hAnsi="Arial"/>
                <w:sz w:val="18"/>
                <w:szCs w:val="18"/>
                <w:color w:val="auto"/>
              </w:rPr>
              <w:t>Collections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18,228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11,900</w:t>
            </w:r>
          </w:p>
        </w:tc>
        <w:tc>
          <w:tcPr>
            <w:tcW w:w="120" w:type="dxa"/>
            <w:vAlign w:val="bottom"/>
          </w:tcPr>
          <w:p>
            <w:pPr>
              <w:spacing w:after="0"/>
              <w:rPr>
                <w:sz w:val="19"/>
                <w:szCs w:val="19"/>
                <w:color w:val="auto"/>
              </w:rPr>
            </w:pPr>
          </w:p>
        </w:tc>
      </w:tr>
      <w:tr>
        <w:trPr>
          <w:trHeight w:val="227"/>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Advances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(15,628)</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(11,600)</w:t>
            </w:r>
          </w:p>
        </w:tc>
      </w:tr>
      <w:tr>
        <w:trPr>
          <w:trHeight w:val="221"/>
        </w:trPr>
        <w:tc>
          <w:tcPr>
            <w:tcW w:w="64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20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w:t>
            </w:r>
          </w:p>
        </w:tc>
        <w:tc>
          <w:tcPr>
            <w:tcW w:w="120" w:type="dxa"/>
            <w:vAlign w:val="bottom"/>
            <w:tcBorders>
              <w:bottom w:val="single" w:sz="8" w:color="CFF0FC"/>
            </w:tcBorders>
          </w:tcPr>
          <w:p>
            <w:pPr>
              <w:spacing w:after="0"/>
              <w:rPr>
                <w:sz w:val="19"/>
                <w:szCs w:val="19"/>
                <w:color w:val="auto"/>
              </w:rPr>
            </w:pPr>
          </w:p>
        </w:tc>
      </w:tr>
      <w:tr>
        <w:trPr>
          <w:trHeight w:val="221"/>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40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(1,244)</w:t>
            </w:r>
          </w:p>
        </w:tc>
        <w:tc>
          <w:tcPr>
            <w:tcW w:w="3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(2,490)</w:t>
            </w:r>
          </w:p>
        </w:tc>
      </w:tr>
      <w:tr>
        <w:trPr>
          <w:trHeight w:val="227"/>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acquired</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(755)</w:t>
            </w:r>
          </w:p>
        </w:tc>
      </w:tr>
      <w:tr>
        <w:trPr>
          <w:trHeight w:val="221"/>
        </w:trPr>
        <w:tc>
          <w:tcPr>
            <w:tcW w:w="64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financing activities</w:t>
            </w:r>
          </w:p>
        </w:tc>
        <w:tc>
          <w:tcPr>
            <w:tcW w:w="20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(3,245)</w:t>
            </w:r>
          </w:p>
        </w:tc>
        <w:tc>
          <w:tcPr>
            <w:tcW w:w="120" w:type="dxa"/>
            <w:vAlign w:val="bottom"/>
            <w:tcBorders>
              <w:bottom w:val="single" w:sz="8" w:color="CFF0FC"/>
            </w:tcBorders>
          </w:tcPr>
          <w:p>
            <w:pPr>
              <w:spacing w:after="0"/>
              <w:rPr>
                <w:sz w:val="19"/>
                <w:szCs w:val="19"/>
                <w:color w:val="auto"/>
              </w:rPr>
            </w:pPr>
          </w:p>
        </w:tc>
      </w:tr>
      <w:tr>
        <w:trPr>
          <w:trHeight w:val="221"/>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 net change from:</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400" w:type="dxa"/>
            <w:vAlign w:val="bottom"/>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(5,890)</w:t>
            </w:r>
          </w:p>
        </w:tc>
      </w:tr>
      <w:tr>
        <w:trPr>
          <w:trHeight w:val="227"/>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63,255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70,637</w:t>
            </w:r>
          </w:p>
        </w:tc>
        <w:tc>
          <w:tcPr>
            <w:tcW w:w="120" w:type="dxa"/>
            <w:vAlign w:val="bottom"/>
            <w:shd w:val="clear" w:color="auto" w:fill="CFF0FC"/>
          </w:tcPr>
          <w:p>
            <w:pPr>
              <w:spacing w:after="0"/>
              <w:rPr>
                <w:sz w:val="19"/>
                <w:szCs w:val="19"/>
                <w:color w:val="auto"/>
              </w:rPr>
            </w:pPr>
          </w:p>
        </w:tc>
      </w:tr>
      <w:tr>
        <w:trPr>
          <w:trHeight w:val="261"/>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20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64,046</w:t>
            </w:r>
          </w:p>
        </w:tc>
        <w:tc>
          <w:tcPr>
            <w:tcW w:w="2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64,747</w:t>
            </w:r>
          </w:p>
        </w:tc>
        <w:tc>
          <w:tcPr>
            <w:tcW w:w="120" w:type="dxa"/>
            <w:vAlign w:val="bottom"/>
            <w:tcBorders>
              <w:bottom w:val="single" w:sz="8" w:color="CFF0FC"/>
            </w:tcBorders>
          </w:tcPr>
          <w:p>
            <w:pPr>
              <w:spacing w:after="0"/>
              <w:rPr>
                <w:sz w:val="22"/>
                <w:szCs w:val="22"/>
                <w:color w:val="auto"/>
              </w:rPr>
            </w:pPr>
          </w:p>
        </w:tc>
      </w:tr>
      <w:tr>
        <w:trPr>
          <w:trHeight w:val="207"/>
        </w:trPr>
        <w:tc>
          <w:tcPr>
            <w:tcW w:w="640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Supplemental disclosures -</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1"/>
        </w:trPr>
        <w:tc>
          <w:tcPr>
            <w:tcW w:w="640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18" w:lineRule="exact"/>
        <w:rPr>
          <w:sz w:val="20"/>
          <w:szCs w:val="20"/>
          <w:color w:val="auto"/>
        </w:rPr>
      </w:pPr>
    </w:p>
    <w:p>
      <w:pPr>
        <w:jc w:val="both"/>
        <w:ind w:firstLine="510"/>
        <w:spacing w:after="0" w:line="266" w:lineRule="auto"/>
        <w:rPr>
          <w:sz w:val="20"/>
          <w:szCs w:val="20"/>
          <w:color w:val="auto"/>
        </w:rPr>
      </w:pPr>
      <w:r>
        <w:rPr>
          <w:rFonts w:ascii="Arial" w:cs="Arial" w:eastAsia="Arial" w:hAnsi="Arial"/>
          <w:sz w:val="17"/>
          <w:szCs w:val="17"/>
          <w:i w:val="1"/>
          <w:iCs w:val="1"/>
          <w:color w:val="auto"/>
        </w:rPr>
        <w:t>Organization</w:t>
      </w:r>
      <w:r>
        <w:rPr>
          <w:rFonts w:ascii="Arial" w:cs="Arial" w:eastAsia="Arial" w:hAnsi="Arial"/>
          <w:sz w:val="17"/>
          <w:szCs w:val="17"/>
          <w:color w:val="auto"/>
        </w:rPr>
        <w:t>. We (NYSE American: CIX) were approximately 87% owned by NL Industries, Inc. (NYSE: NL) at March 31, 2021. We manufacture</w:t>
      </w:r>
      <w:r>
        <w:rPr>
          <w:rFonts w:ascii="Arial" w:cs="Arial" w:eastAsia="Arial" w:hAnsi="Arial"/>
          <w:sz w:val="17"/>
          <w:szCs w:val="17"/>
          <w:i w:val="1"/>
          <w:iCs w:val="1"/>
          <w:color w:val="auto"/>
        </w:rPr>
        <w:t xml:space="preserve"> </w:t>
      </w:r>
      <w:r>
        <w:rPr>
          <w:rFonts w:ascii="Arial" w:cs="Arial" w:eastAsia="Arial" w:hAnsi="Arial"/>
          <w:sz w:val="17"/>
          <w:szCs w:val="17"/>
          <w:color w:val="auto"/>
        </w:rPr>
        <w:t>and sell component products (security products and recreational marine components). At March 31, 2021, Valhi, Inc. (NYSE: VHI) owned approximately 83% of NL’s outstanding common stock and a wholly-owned subsidiary of Contran Corporation owned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March 31, 2021 Ms. Simmons and the Family Trust may be deemed to control Contran, and therefore may be deemed to indirectly control the wholly-owned subsidiary of Contran, Valhi, NL and us.</w:t>
      </w:r>
    </w:p>
    <w:p>
      <w:pPr>
        <w:spacing w:after="0" w:line="292"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Consolidated in this Quarterly Report are the results of CompX International Inc. and its subsidiaries. The unaudited</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Financial Statements contained in this Quarterly Report have been prepared on the same basis as the audited Consolidated Financial Statements included in our Annual Report on Form 10-K for the year ended December 31, 2020 that we filed with the Securities and Exchange Commission (“SEC”) on March 3, 2021 (the “2020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2020 contained in this Quarterly Report as compared to our audited Consolidated Financial Statements at that date, and we have omitted certain information and footnote disclosures (including those related to the Consolidated Balance Sheet at December 31, 2020) normally included in financial statements prepared in accordance with accounting principles generally accepted in the United States of America (“GAAP”). Our results of operations for the interim period ended March 31, 2021 may not be indicative of our operating results for the full year. The Condensed Consolidated Financial Statements contained in this Quarterly Report should be read in conjunction with our 2020 Consolidated Financial Statements contained in our 2020 Annual Report.</w:t>
      </w:r>
    </w:p>
    <w:p>
      <w:pPr>
        <w:spacing w:after="0" w:line="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operations are reported on a 52 or 53-week year. For presentation purposes, annual and quarterly information in the Condensed Consolidated Financial Statements and accompanying notes are presented as ended March 31, 2020, December 31, 2020 and March 31, 2021. The actual dates of our annual and quarterly periods are March 29, 2020, January 3, 2021 and April 4, 2021, respectively. Unless otherwise indicated, references in this report to “we”, “us” or “our” refer to CompX International Inc. and its subsidiaries, taken as a whole.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center"/>
              <w:ind w:left="716"/>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4"/>
          </w:tcPr>
          <w:p>
            <w:pPr>
              <w:jc w:val="center"/>
              <w:ind w:left="716"/>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25,469</w:t>
            </w:r>
          </w:p>
        </w:tc>
        <w:tc>
          <w:tcPr>
            <w:tcW w:w="2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4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6,842</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2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net sales</w:t>
            </w:r>
          </w:p>
        </w:tc>
        <w:tc>
          <w:tcPr>
            <w:tcW w:w="40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32,311</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35,924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26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4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5,713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1,082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4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(1,775)</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(1,616)</w:t>
            </w:r>
          </w:p>
        </w:tc>
        <w:tc>
          <w:tcPr>
            <w:tcW w:w="0" w:type="dxa"/>
            <w:vAlign w:val="bottom"/>
          </w:tcPr>
          <w:p>
            <w:pPr>
              <w:spacing w:after="0"/>
              <w:rPr>
                <w:sz w:val="1"/>
                <w:szCs w:val="1"/>
                <w:color w:val="auto"/>
              </w:rPr>
            </w:pPr>
          </w:p>
        </w:tc>
      </w:tr>
      <w:tr>
        <w:trPr>
          <w:trHeight w:val="221"/>
        </w:trPr>
        <w:tc>
          <w:tcPr>
            <w:tcW w:w="426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5,020</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4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607</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5,627</w:t>
            </w:r>
          </w:p>
        </w:tc>
        <w:tc>
          <w:tcPr>
            <w:tcW w:w="260" w:type="dxa"/>
            <w:vAlign w:val="bottom"/>
          </w:tcPr>
          <w:p>
            <w:pPr>
              <w:spacing w:after="0"/>
              <w:rPr>
                <w:sz w:val="24"/>
                <w:szCs w:val="24"/>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520"/>
              <w:spacing w:after="0"/>
              <w:rPr>
                <w:sz w:val="20"/>
                <w:szCs w:val="20"/>
                <w:color w:val="auto"/>
              </w:rPr>
            </w:pPr>
            <w:r>
              <w:rPr>
                <w:rFonts w:ascii="Arial" w:cs="Arial" w:eastAsia="Arial" w:hAnsi="Arial"/>
                <w:sz w:val="18"/>
                <w:szCs w:val="18"/>
                <w:color w:val="auto"/>
              </w:rPr>
              <w:t>Intersegment sales are not material.</w:t>
            </w: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260" w:type="dxa"/>
            <w:vAlign w:val="bottom"/>
            <w:vMerge w:val="continue"/>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26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24"/>
                <w:szCs w:val="2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4"/>
          </w:tcPr>
          <w:p>
            <w:pPr>
              <w:jc w:val="center"/>
              <w:ind w:left="696"/>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4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422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4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4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4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260" w:type="dxa"/>
            <w:vAlign w:val="bottom"/>
            <w:vMerge w:val="continue"/>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24"/>
                <w:szCs w:val="2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jc w:val="center"/>
              <w:ind w:left="696"/>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4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422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40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40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4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9,214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40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40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4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40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40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40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18,337</w:t>
            </w: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60" w:type="dxa"/>
            <w:vAlign w:val="bottom"/>
            <w:vMerge w:val="restart"/>
          </w:tcPr>
          <w:p>
            <w:pPr>
              <w:jc w:val="right"/>
              <w:ind w:right="2451"/>
              <w:spacing w:after="0"/>
              <w:rPr>
                <w:sz w:val="20"/>
                <w:szCs w:val="20"/>
                <w:color w:val="auto"/>
              </w:rPr>
            </w:pPr>
            <w:r>
              <w:rPr>
                <w:rFonts w:ascii="Arial" w:cs="Arial" w:eastAsia="Arial" w:hAnsi="Arial"/>
                <w:sz w:val="18"/>
                <w:szCs w:val="18"/>
                <w:color w:val="auto"/>
              </w:rPr>
              <w:t>- 8 -</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26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 Accounts payable and accrued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0"/>
        </w:trPr>
        <w:tc>
          <w:tcPr>
            <w:tcW w:w="7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80" w:type="dxa"/>
            <w:vAlign w:val="bottom"/>
            <w:gridSpan w:val="5"/>
          </w:tcPr>
          <w:p>
            <w:pPr>
              <w:jc w:val="right"/>
              <w:ind w:right="874"/>
              <w:spacing w:after="0" w:line="154"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1,859</w:t>
            </w:r>
          </w:p>
        </w:tc>
        <w:tc>
          <w:tcPr>
            <w:tcW w:w="28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8,431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500"/>
              <w:spacing w:after="0"/>
              <w:rPr>
                <w:sz w:val="20"/>
                <w:szCs w:val="20"/>
                <w:color w:val="auto"/>
              </w:rPr>
            </w:pPr>
            <w:r>
              <w:rPr>
                <w:rFonts w:ascii="Arial" w:cs="Arial" w:eastAsia="Arial" w:hAnsi="Arial"/>
                <w:sz w:val="18"/>
                <w:szCs w:val="18"/>
                <w:color w:val="auto"/>
              </w:rPr>
              <w:t>Taxes other than on income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Customer tooling</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500"/>
              <w:spacing w:after="0"/>
              <w:rPr>
                <w:sz w:val="20"/>
                <w:szCs w:val="20"/>
                <w:color w:val="auto"/>
              </w:rPr>
            </w:pPr>
            <w:r>
              <w:rPr>
                <w:rFonts w:ascii="Arial" w:cs="Arial" w:eastAsia="Arial" w:hAnsi="Arial"/>
                <w:sz w:val="18"/>
                <w:szCs w:val="18"/>
                <w:color w:val="auto"/>
              </w:rPr>
              <w:t>Professional services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00" w:type="dxa"/>
            <w:vAlign w:val="bottom"/>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8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12,198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b w:val="1"/>
                <w:bCs w:val="1"/>
                <w:color w:val="auto"/>
              </w:rPr>
              <w:t>Note 6 – Provision for income taxes:</w:t>
            </w: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5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500" w:type="dxa"/>
            <w:vAlign w:val="bottom"/>
          </w:tcPr>
          <w:p>
            <w:pPr>
              <w:spacing w:after="0"/>
              <w:rPr>
                <w:sz w:val="13"/>
                <w:szCs w:val="13"/>
                <w:color w:val="auto"/>
              </w:rPr>
            </w:pPr>
          </w:p>
        </w:tc>
        <w:tc>
          <w:tcPr>
            <w:tcW w:w="100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4"/>
              <w:spacing w:after="0" w:line="154"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4"/>
          </w:tcPr>
          <w:p>
            <w:pPr>
              <w:jc w:val="center"/>
              <w:ind w:left="179"/>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7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1,293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rate of 21%</w:t>
            </w:r>
          </w:p>
        </w:tc>
        <w:tc>
          <w:tcPr>
            <w:tcW w:w="820" w:type="dxa"/>
            <w:vAlign w:val="bottom"/>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44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8"/>
                <w:szCs w:val="18"/>
                <w:color w:val="auto"/>
              </w:rPr>
              <w:t>State income taxes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FDII benefit</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93"/>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1"/>
        </w:trPr>
        <w:tc>
          <w:tcPr>
            <w:tcW w:w="7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income tax expense</w:t>
            </w:r>
          </w:p>
        </w:tc>
        <w:tc>
          <w:tcPr>
            <w:tcW w:w="820" w:type="dxa"/>
            <w:vAlign w:val="bottom"/>
            <w:tcBorders>
              <w:top w:val="single" w:sz="8" w:color="auto"/>
              <w:bottom w:val="single" w:sz="8" w:color="auto"/>
            </w:tcBorders>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11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Our board of directors has previously authorized the repurchase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use cash on hand to acquire the shares. Repurchased shares will be added to our treasury and cancelled.</w:t>
      </w:r>
    </w:p>
    <w:p>
      <w:pPr>
        <w:spacing w:after="0" w:line="193"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During the first quarter of 2021, we purchased 50,000 shares of our Class A common stock in a market transaction for approximately $755,000. We cancelled these treasury shares and allocated their cost to common stock at par value and additional paid-in capital. At March 31, 2021 627,547 shares were available for purchase under prior repurchase authorizations.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instruments: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left="580"/>
              <w:spacing w:after="0"/>
              <w:rPr>
                <w:sz w:val="20"/>
                <w:szCs w:val="20"/>
                <w:color w:val="auto"/>
              </w:rPr>
            </w:pPr>
            <w:r>
              <w:rPr>
                <w:rFonts w:ascii="Arial" w:cs="Arial" w:eastAsia="Arial" w:hAnsi="Arial"/>
                <w:sz w:val="14"/>
                <w:szCs w:val="14"/>
                <w:b w:val="1"/>
                <w:bCs w:val="1"/>
                <w:color w:val="auto"/>
                <w:w w:val="90"/>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left="520"/>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83"/>
              </w:rPr>
              <w:t>2020</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83"/>
              </w:rPr>
              <w:t>2021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5"/>
        </w:trPr>
        <w:tc>
          <w:tcPr>
            <w:tcW w:w="3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40"/>
              <w:spacing w:after="0" w:line="145"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spacing w:after="0"/>
              <w:rPr>
                <w:sz w:val="12"/>
                <w:szCs w:val="12"/>
                <w:color w:val="auto"/>
              </w:rPr>
            </w:pPr>
          </w:p>
        </w:tc>
        <w:tc>
          <w:tcPr>
            <w:tcW w:w="880" w:type="dxa"/>
            <w:vAlign w:val="bottom"/>
          </w:tcPr>
          <w:p>
            <w:pPr>
              <w:jc w:val="right"/>
              <w:ind w:right="420"/>
              <w:spacing w:after="0" w:line="145"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ind w:right="260"/>
              <w:spacing w:after="0" w:line="145"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920" w:type="dxa"/>
            <w:vAlign w:val="bottom"/>
          </w:tcPr>
          <w:p>
            <w:pPr>
              <w:jc w:val="center"/>
              <w:ind w:right="258"/>
              <w:spacing w:after="0" w:line="14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0"/>
        </w:trPr>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4"/>
                <w:szCs w:val="14"/>
                <w:color w:val="auto"/>
              </w:rPr>
            </w:pPr>
          </w:p>
        </w:tc>
        <w:tc>
          <w:tcPr>
            <w:tcW w:w="880" w:type="dxa"/>
            <w:vAlign w:val="bottom"/>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value</w:t>
            </w:r>
          </w:p>
        </w:tc>
      </w:tr>
      <w:tr>
        <w:trPr>
          <w:trHeight w:val="154"/>
        </w:trPr>
        <w:tc>
          <w:tcPr>
            <w:tcW w:w="3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ind w:right="20"/>
              <w:spacing w:after="0" w:line="154" w:lineRule="exact"/>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1"/>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64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70,637</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64,747</w:t>
            </w:r>
          </w:p>
        </w:tc>
        <w:tc>
          <w:tcPr>
            <w:tcW w:w="600" w:type="dxa"/>
            <w:vAlign w:val="bottom"/>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64,747</w:t>
            </w:r>
          </w:p>
        </w:tc>
        <w:tc>
          <w:tcPr>
            <w:tcW w:w="120" w:type="dxa"/>
            <w:vAlign w:val="bottom"/>
            <w:shd w:val="clear" w:color="auto" w:fill="CFF0FC"/>
          </w:tcPr>
          <w:p>
            <w:pPr>
              <w:spacing w:after="0"/>
              <w:rPr>
                <w:sz w:val="20"/>
                <w:szCs w:val="20"/>
                <w:color w:val="auto"/>
              </w:rPr>
            </w:pPr>
          </w:p>
        </w:tc>
      </w:tr>
      <w:tr>
        <w:trPr>
          <w:trHeight w:val="240"/>
        </w:trPr>
        <w:tc>
          <w:tcPr>
            <w:tcW w:w="3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10,731</w:t>
            </w: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10,731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16,858</w:t>
            </w: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16,858</w:t>
            </w:r>
          </w:p>
        </w:tc>
        <w:tc>
          <w:tcPr>
            <w:tcW w:w="120" w:type="dxa"/>
            <w:vAlign w:val="bottom"/>
          </w:tcPr>
          <w:p>
            <w:pPr>
              <w:spacing w:after="0"/>
              <w:rPr>
                <w:sz w:val="20"/>
                <w:szCs w:val="20"/>
                <w:color w:val="auto"/>
              </w:rPr>
            </w:pPr>
          </w:p>
        </w:tc>
      </w:tr>
      <w:tr>
        <w:trPr>
          <w:trHeight w:val="241"/>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6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3,057</w:t>
            </w: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3,057</w:t>
            </w:r>
          </w:p>
        </w:tc>
        <w:tc>
          <w:tcPr>
            <w:tcW w:w="120" w:type="dxa"/>
            <w:vAlign w:val="bottom"/>
            <w:shd w:val="clear" w:color="auto" w:fill="CFF0FC"/>
          </w:tcPr>
          <w:p>
            <w:pPr>
              <w:spacing w:after="0"/>
              <w:rPr>
                <w:sz w:val="20"/>
                <w:szCs w:val="20"/>
                <w:color w:val="auto"/>
              </w:rPr>
            </w:pPr>
          </w:p>
        </w:tc>
      </w:tr>
    </w:tbl>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18"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 loan to Valhi, as amended, bears interest at prime plus 1.00%, payable quarterly, with all principal due on demand, but in any event no earlier than December 31, 2022. Loans made to Valhi at any time under the agreement are at our discretion. At March 31, 2021, the outstanding principal balance receivable from Valhi under the promissory note was $29.2 million. Interest income (including unused commitment fees) on our loan to Valhi was $0.4 million and $0.3 million for the three months ended March 31, 2020 and 2021,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trim tabs and related hardware and accessories for the recreational marine and other industries through our Marine Components segment.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9" w:lineRule="exact"/>
        <w:rPr>
          <w:sz w:val="20"/>
          <w:szCs w:val="20"/>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3" w:lineRule="exact"/>
        <w:rPr>
          <w:rFonts w:ascii="Arial" w:cs="Arial" w:eastAsia="Arial" w:hAnsi="Arial"/>
          <w:sz w:val="18"/>
          <w:szCs w:val="18"/>
          <w:color w:val="auto"/>
        </w:rPr>
      </w:pPr>
    </w:p>
    <w:p>
      <w:pPr>
        <w:ind w:left="1020" w:hanging="505"/>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7"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3" w:lineRule="exact"/>
        <w:rPr>
          <w:rFonts w:ascii="Arial" w:cs="Arial" w:eastAsia="Arial" w:hAnsi="Arial"/>
          <w:sz w:val="18"/>
          <w:szCs w:val="18"/>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3" w:lineRule="exact"/>
        <w:rPr>
          <w:rFonts w:ascii="Arial" w:cs="Arial" w:eastAsia="Arial" w:hAnsi="Arial"/>
          <w:sz w:val="18"/>
          <w:szCs w:val="18"/>
          <w:color w:val="auto"/>
        </w:rPr>
      </w:pPr>
    </w:p>
    <w:p>
      <w:pPr>
        <w:jc w:val="both"/>
        <w:ind w:left="1020" w:hanging="505"/>
        <w:spacing w:after="0" w:line="307"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42" w:lineRule="exact"/>
        <w:rPr>
          <w:rFonts w:ascii="Arial" w:cs="Arial" w:eastAsia="Arial" w:hAnsi="Arial"/>
          <w:sz w:val="16"/>
          <w:szCs w:val="16"/>
          <w:color w:val="auto"/>
        </w:rPr>
      </w:pPr>
    </w:p>
    <w:p>
      <w:pPr>
        <w:ind w:left="1020" w:hanging="505"/>
        <w:spacing w:after="0" w:line="30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44" w:lineRule="exact"/>
        <w:rPr>
          <w:rFonts w:ascii="Arial" w:cs="Arial" w:eastAsia="Arial" w:hAnsi="Arial"/>
          <w:sz w:val="17"/>
          <w:szCs w:val="17"/>
          <w:color w:val="auto"/>
        </w:rPr>
      </w:pPr>
    </w:p>
    <w:p>
      <w:pPr>
        <w:ind w:left="1020" w:hanging="50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Operating Income Overview</w:t>
      </w:r>
    </w:p>
    <w:p>
      <w:pPr>
        <w:spacing w:after="0" w:line="225"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the first quarter of 2021 operating income increased to $5.8 million compared to $5.0 million in the first quarter of 2020, before our sales volumes and operations had been significantly affected by the COVID-19 pandemic. The increase in operating income in the first quarter of 2021 compared to 2020 primarily resulted from higher Marine Components sales to the towboat market. We sustained the greatest negative operating impact from COVID-19 in the second quarter of 2020 to both of our business segments. Beginning in the third quarter of 2020 and continuing through the first quarter of 2021, Marine Components experienced a significant recovery in sales, while Security Products sales generally improved sequentially, though not to pre-pandemic levels.</w:t>
      </w:r>
    </w:p>
    <w:p>
      <w:pPr>
        <w:spacing w:after="0" w:line="161" w:lineRule="exact"/>
        <w:rPr>
          <w:sz w:val="20"/>
          <w:szCs w:val="20"/>
          <w:color w:val="auto"/>
        </w:rPr>
      </w:pPr>
    </w:p>
    <w:p>
      <w:pPr>
        <w:jc w:val="both"/>
        <w:ind w:firstLine="510"/>
        <w:spacing w:after="0" w:line="307" w:lineRule="auto"/>
        <w:rPr>
          <w:sz w:val="20"/>
          <w:szCs w:val="20"/>
          <w:color w:val="auto"/>
        </w:rPr>
      </w:pPr>
      <w:r>
        <w:rPr>
          <w:rFonts w:ascii="Arial" w:cs="Arial" w:eastAsia="Arial" w:hAnsi="Arial"/>
          <w:sz w:val="16"/>
          <w:szCs w:val="16"/>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0"/>
        </w:trPr>
        <w:tc>
          <w:tcPr>
            <w:tcW w:w="6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4"/>
        </w:trPr>
        <w:tc>
          <w:tcPr>
            <w:tcW w:w="6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9"/>
              <w:spacing w:after="0" w:line="154"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4"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line="154"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4"/>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680"/>
              <w:spacing w:after="0" w:line="154" w:lineRule="exact"/>
              <w:rPr>
                <w:sz w:val="20"/>
                <w:szCs w:val="20"/>
                <w:color w:val="auto"/>
              </w:rPr>
            </w:pPr>
            <w:r>
              <w:rPr>
                <w:rFonts w:ascii="Arial" w:cs="Arial" w:eastAsia="Arial" w:hAnsi="Arial"/>
                <w:sz w:val="14"/>
                <w:szCs w:val="14"/>
                <w:b w:val="1"/>
                <w:bCs w:val="1"/>
                <w:color w:val="auto"/>
                <w:w w:val="90"/>
              </w:rPr>
              <w:t>(Dollars 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1"/>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32,311</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35,924</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21,880</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u w:val="single" w:color="auto"/>
                <w:color w:val="auto"/>
              </w:rPr>
              <w:t>7</w:t>
            </w:r>
          </w:p>
        </w:tc>
        <w:tc>
          <w:tcPr>
            <w:tcW w:w="3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24,889</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200" w:type="dxa"/>
            <w:vAlign w:val="bottom"/>
            <w:tcBorders>
              <w:bottom w:val="single" w:sz="8" w:color="CFF0FC"/>
            </w:tcBorders>
          </w:tcPr>
          <w:p>
            <w:pPr>
              <w:spacing w:after="0"/>
              <w:rPr>
                <w:sz w:val="20"/>
                <w:szCs w:val="20"/>
                <w:color w:val="auto"/>
              </w:rPr>
            </w:pPr>
          </w:p>
        </w:tc>
      </w:tr>
      <w:tr>
        <w:trPr>
          <w:trHeight w:val="23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11,035</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30.7</w:t>
            </w:r>
          </w:p>
        </w:tc>
        <w:tc>
          <w:tcPr>
            <w:tcW w:w="200" w:type="dxa"/>
            <w:vAlign w:val="bottom"/>
            <w:shd w:val="clear" w:color="auto" w:fill="CFF0FC"/>
          </w:tcPr>
          <w:p>
            <w:pPr>
              <w:spacing w:after="0"/>
              <w:rPr>
                <w:sz w:val="20"/>
                <w:szCs w:val="20"/>
                <w:color w:val="auto"/>
              </w:rPr>
            </w:pPr>
          </w:p>
        </w:tc>
      </w:tr>
      <w:tr>
        <w:trPr>
          <w:trHeight w:val="24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3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5,218</w:t>
            </w:r>
          </w:p>
        </w:tc>
        <w:tc>
          <w:tcPr>
            <w:tcW w:w="28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200" w:type="dxa"/>
            <w:vAlign w:val="bottom"/>
            <w:tcBorders>
              <w:bottom w:val="single" w:sz="8" w:color="CFF0FC"/>
            </w:tcBorders>
          </w:tcPr>
          <w:p>
            <w:pPr>
              <w:spacing w:after="0"/>
              <w:rPr>
                <w:sz w:val="20"/>
                <w:szCs w:val="20"/>
                <w:color w:val="auto"/>
              </w:rPr>
            </w:pPr>
          </w:p>
        </w:tc>
      </w:tr>
      <w:tr>
        <w:trPr>
          <w:trHeight w:val="234"/>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5,817</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16.2%</w:t>
            </w: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$3.6 million in the first quarter of 2021 compared to the same period in 2020 primarily due to higher Marine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sales and to a lesser extent higher Security Products sales. Relative changes in selling prices did not have a material impact on net sales comparisons.</w:t>
      </w:r>
    </w:p>
    <w:p>
      <w:pPr>
        <w:spacing w:after="0" w:line="18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 xml:space="preserve">Cost of sales and gross margin. </w:t>
      </w:r>
      <w:r>
        <w:rPr>
          <w:rFonts w:ascii="Arial" w:cs="Arial" w:eastAsia="Arial" w:hAnsi="Arial"/>
          <w:sz w:val="18"/>
          <w:szCs w:val="18"/>
          <w:color w:val="auto"/>
        </w:rPr>
        <w:t>Cost of sales as a percentage of sales increased 1.6% in the first quarter of 2021 compared to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gross margin as a percentage of sales decreased over the same period. Gross margin percentage decreased in the first quarter of 2021 compared to the same period in 2020 due to the decline in the Security Products gross margin percentage partially offset by a slight increase in the Marine Components gross margin percentage. See segment discussion below.</w:t>
      </w:r>
    </w:p>
    <w:p>
      <w:pPr>
        <w:spacing w:after="0" w:line="19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 personnel costs,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directly related to product sales and administrative costs relating to business unit and corporate management activities, as well as gains and losses on property and equipment. Operating costs and expenses for the first quarter of 2021 were lower than the same period in 2020 primarily due to lower employer paid medical costs as well as lower travel related expenses. Operating costs and expenses as a percentage of net sales decreased in 2021 due to lower costs and higher sales.</w:t>
      </w:r>
    </w:p>
    <w:p>
      <w:pPr>
        <w:spacing w:after="0" w:line="193" w:lineRule="exact"/>
        <w:rPr>
          <w:sz w:val="20"/>
          <w:szCs w:val="20"/>
          <w:color w:val="auto"/>
        </w:rPr>
      </w:pPr>
    </w:p>
    <w:p>
      <w:pPr>
        <w:jc w:val="both"/>
        <w:ind w:right="20" w:firstLine="510"/>
        <w:spacing w:after="0" w:line="301"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As a percentage of net sales, operating income for the first quarter of 2021 increased compared to the same period of 2020 and</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impacted by the factors impacting cost of goods sold, gross margin and operating costs. See segment discussion below.</w:t>
      </w:r>
    </w:p>
    <w:p>
      <w:pPr>
        <w:spacing w:after="0" w:line="15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6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Financial Statements. Our operations are wholly within the U.S. and therefore our effective income tax rate is primarily reflective of the U.S. federal statutory rate and applicable state taxes.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Segment Results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0"/>
              </w:rPr>
              <w:t>Three months ended</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vMerge w:val="restart"/>
          </w:tcPr>
          <w:p>
            <w:pPr>
              <w:jc w:val="right"/>
              <w:ind w:right="37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5340" w:type="dxa"/>
            <w:vAlign w:val="bottom"/>
          </w:tcPr>
          <w:p>
            <w:pPr>
              <w:spacing w:after="0"/>
              <w:rPr>
                <w:sz w:val="10"/>
                <w:szCs w:val="10"/>
                <w:color w:val="auto"/>
              </w:rPr>
            </w:pPr>
          </w:p>
        </w:tc>
        <w:tc>
          <w:tcPr>
            <w:tcW w:w="12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53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49"/>
        </w:trPr>
        <w:tc>
          <w:tcPr>
            <w:tcW w:w="53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4"/>
          </w:tcPr>
          <w:p>
            <w:pPr>
              <w:jc w:val="center"/>
              <w:ind w:right="62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4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1280" w:type="dxa"/>
            <w:vAlign w:val="bottom"/>
          </w:tcPr>
          <w:p>
            <w:pPr>
              <w:jc w:val="right"/>
              <w:ind w:right="1097"/>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25,469</w:t>
            </w:r>
          </w:p>
        </w:tc>
        <w:tc>
          <w:tcPr>
            <w:tcW w:w="260" w:type="dxa"/>
            <w:vAlign w:val="bottom"/>
          </w:tcPr>
          <w:p>
            <w:pPr>
              <w:spacing w:after="0"/>
              <w:rPr>
                <w:sz w:val="20"/>
                <w:szCs w:val="20"/>
                <w:color w:val="auto"/>
              </w:rPr>
            </w:pPr>
          </w:p>
        </w:tc>
        <w:tc>
          <w:tcPr>
            <w:tcW w:w="138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25,885</w:t>
            </w:r>
          </w:p>
        </w:tc>
        <w:tc>
          <w:tcPr>
            <w:tcW w:w="4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1"/>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12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17,652</w:t>
            </w:r>
          </w:p>
        </w:tc>
        <w:tc>
          <w:tcPr>
            <w:tcW w:w="4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8,558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8,233</w:t>
            </w:r>
          </w:p>
        </w:tc>
        <w:tc>
          <w:tcPr>
            <w:tcW w:w="4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1"/>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costs and expenses</w:t>
            </w:r>
          </w:p>
        </w:tc>
        <w:tc>
          <w:tcPr>
            <w:tcW w:w="12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2,743</w:t>
            </w:r>
          </w:p>
        </w:tc>
        <w:tc>
          <w:tcPr>
            <w:tcW w:w="4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4"/>
        </w:trPr>
        <w:tc>
          <w:tcPr>
            <w:tcW w:w="534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1280" w:type="dxa"/>
            <w:vAlign w:val="bottom"/>
          </w:tcPr>
          <w:p>
            <w:pPr>
              <w:jc w:val="right"/>
              <w:ind w:right="1097"/>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5,713</w:t>
            </w:r>
          </w:p>
        </w:tc>
        <w:tc>
          <w:tcPr>
            <w:tcW w:w="260" w:type="dxa"/>
            <w:vAlign w:val="bottom"/>
          </w:tcPr>
          <w:p>
            <w:pPr>
              <w:spacing w:after="0"/>
              <w:rPr>
                <w:sz w:val="23"/>
                <w:szCs w:val="23"/>
                <w:color w:val="auto"/>
              </w:rPr>
            </w:pPr>
          </w:p>
        </w:tc>
        <w:tc>
          <w:tcPr>
            <w:tcW w:w="138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5,490</w:t>
            </w:r>
          </w:p>
        </w:tc>
        <w:tc>
          <w:tcPr>
            <w:tcW w:w="40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2"/>
        </w:trPr>
        <w:tc>
          <w:tcPr>
            <w:tcW w:w="53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31.8%</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i w:val="1"/>
          <w:iCs w:val="1"/>
          <w:color w:val="auto"/>
        </w:rPr>
        <w:t>Security Products</w:t>
      </w:r>
      <w:r>
        <w:rPr>
          <w:rFonts w:ascii="Arial" w:cs="Arial" w:eastAsia="Arial" w:hAnsi="Arial"/>
          <w:sz w:val="16"/>
          <w:szCs w:val="16"/>
          <w:color w:val="auto"/>
        </w:rPr>
        <w:t>. Security Products net sales increased 2% in the first quarter of 2021 compared to the same period last year. This increase in sales is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$0.7 million of higher sales to the transportation market and $0.5 million of higher sales to the government security market, partially offset by lower sales to markets that continue to be slower to recover from the effects of the COVID-19 pandemic, including $0.4 million of lower sales to distribution customers and $0.3 million of lower sales to the office furniture market. Gross margin and operating income margin for the first quarter of 2021 declined as compared to 2020 primarily due to higher cost inventory produced during the fourth quarter of 2020 and sold in the first quarter of 2021. Security Products inventory produced during the fourth quarter of 2020 had a higher carrying value compared to the same period in 2019 due to higher cost per unit of production as a result of lower production volumes during the fourth quarter of 2020. This negatively impacted our gross margin and operating income margin as this higher cost inventory was sold during the first quarter of 2021. Additionally, gross margin and operating income margin were favorably impacted by lower employer paid medical costs of $0.7 million during the first quarter of 2021 compared to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80" w:type="dxa"/>
            <w:vAlign w:val="bottom"/>
            <w:gridSpan w:val="3"/>
          </w:tcPr>
          <w:p>
            <w:pPr>
              <w:jc w:val="center"/>
              <w:ind w:right="537"/>
              <w:spacing w:after="0"/>
              <w:rPr>
                <w:sz w:val="20"/>
                <w:szCs w:val="20"/>
                <w:color w:val="auto"/>
              </w:rPr>
            </w:pPr>
            <w:r>
              <w:rPr>
                <w:rFonts w:ascii="Arial" w:cs="Arial" w:eastAsia="Arial" w:hAnsi="Arial"/>
                <w:sz w:val="14"/>
                <w:szCs w:val="14"/>
                <w:b w:val="1"/>
                <w:bCs w:val="1"/>
                <w:color w:val="auto"/>
                <w:w w:val="91"/>
              </w:rPr>
              <w:t>Three months ended</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center"/>
              <w:ind w:right="537"/>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vMerge w:val="restart"/>
          </w:tcPr>
          <w:p>
            <w:pPr>
              <w:jc w:val="right"/>
              <w:ind w:right="49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25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90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49"/>
        </w:trPr>
        <w:tc>
          <w:tcPr>
            <w:tcW w:w="3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3"/>
          </w:tcPr>
          <w:p>
            <w:pPr>
              <w:jc w:val="center"/>
              <w:ind w:right="537"/>
              <w:spacing w:after="0"/>
              <w:rPr>
                <w:sz w:val="20"/>
                <w:szCs w:val="20"/>
                <w:color w:val="auto"/>
              </w:rPr>
            </w:pPr>
            <w:r>
              <w:rPr>
                <w:rFonts w:ascii="Arial" w:cs="Arial" w:eastAsia="Arial" w:hAnsi="Arial"/>
                <w:sz w:val="14"/>
                <w:szCs w:val="14"/>
                <w:b w:val="1"/>
                <w:bCs w:val="1"/>
                <w:color w:val="auto"/>
                <w:w w:val="90"/>
              </w:rPr>
              <w:t>(Dollars in thousands)</w:t>
            </w:r>
          </w:p>
        </w:tc>
        <w:tc>
          <w:tcPr>
            <w:tcW w:w="6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Marine Components:</w:t>
            </w:r>
          </w:p>
        </w:tc>
        <w:tc>
          <w:tcPr>
            <w:tcW w:w="1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0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25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6,842</w:t>
            </w:r>
          </w:p>
        </w:tc>
        <w:tc>
          <w:tcPr>
            <w:tcW w:w="380" w:type="dxa"/>
            <w:vAlign w:val="bottom"/>
          </w:tcPr>
          <w:p>
            <w:pPr>
              <w:spacing w:after="0"/>
              <w:rPr>
                <w:sz w:val="20"/>
                <w:szCs w:val="20"/>
                <w:color w:val="auto"/>
              </w:rPr>
            </w:pPr>
          </w:p>
        </w:tc>
        <w:tc>
          <w:tcPr>
            <w:tcW w:w="1260" w:type="dxa"/>
            <w:vAlign w:val="bottom"/>
          </w:tcPr>
          <w:p>
            <w:pPr>
              <w:jc w:val="right"/>
              <w:ind w:right="1077"/>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10,039</w:t>
            </w:r>
          </w:p>
        </w:tc>
        <w:tc>
          <w:tcPr>
            <w:tcW w:w="4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41"/>
        </w:trPr>
        <w:tc>
          <w:tcPr>
            <w:tcW w:w="3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sales</w:t>
            </w:r>
          </w:p>
        </w:tc>
        <w:tc>
          <w:tcPr>
            <w:tcW w:w="1280" w:type="dxa"/>
            <w:vAlign w:val="bottom"/>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4,969</w:t>
            </w:r>
          </w:p>
        </w:tc>
        <w:tc>
          <w:tcPr>
            <w:tcW w:w="380" w:type="dxa"/>
            <w:vAlign w:val="bottom"/>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7,237</w:t>
            </w:r>
          </w:p>
        </w:tc>
        <w:tc>
          <w:tcPr>
            <w:tcW w:w="4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1,873</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2,802</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costs and expenses</w:t>
            </w:r>
          </w:p>
        </w:tc>
        <w:tc>
          <w:tcPr>
            <w:tcW w:w="1280" w:type="dxa"/>
            <w:vAlign w:val="bottom"/>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380" w:type="dxa"/>
            <w:vAlign w:val="bottom"/>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859</w:t>
            </w:r>
          </w:p>
        </w:tc>
        <w:tc>
          <w:tcPr>
            <w:tcW w:w="4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90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25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1,082</w:t>
            </w:r>
          </w:p>
        </w:tc>
        <w:tc>
          <w:tcPr>
            <w:tcW w:w="380" w:type="dxa"/>
            <w:vAlign w:val="bottom"/>
          </w:tcPr>
          <w:p>
            <w:pPr>
              <w:spacing w:after="0"/>
              <w:rPr>
                <w:sz w:val="23"/>
                <w:szCs w:val="23"/>
                <w:color w:val="auto"/>
              </w:rPr>
            </w:pPr>
          </w:p>
        </w:tc>
        <w:tc>
          <w:tcPr>
            <w:tcW w:w="1260" w:type="dxa"/>
            <w:vAlign w:val="bottom"/>
          </w:tcPr>
          <w:p>
            <w:pPr>
              <w:jc w:val="right"/>
              <w:ind w:right="1077"/>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1,943</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9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27.4%</w:t>
            </w:r>
          </w:p>
        </w:tc>
        <w:tc>
          <w:tcPr>
            <w:tcW w:w="1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27.9%</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i w:val="1"/>
          <w:iCs w:val="1"/>
          <w:color w:val="auto"/>
        </w:rPr>
        <w:t>Marine Components</w:t>
      </w:r>
      <w:r>
        <w:rPr>
          <w:rFonts w:ascii="Arial" w:cs="Arial" w:eastAsia="Arial" w:hAnsi="Arial"/>
          <w:sz w:val="16"/>
          <w:szCs w:val="16"/>
          <w:color w:val="auto"/>
        </w:rPr>
        <w:t>. Marine Components net sales increased 47% in the first quarter of 2021 compared to the same period last year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sales of $2.7 million to the towboat market, primarily wake enhancements systems and surf pipes to original equipment boat manufacturers. Marine Components continues to benefit from an overall increase in demand in the recreational marine market which began in late spring 2020. Gross margin and operating income as a percentage of sales increased in the first quarter of 2021 compared to the same period last year due to a favorable customer and product mix and increased coverage of fixed costs on higher sales as well as decreased employer paid medical costs.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13" w:name="page14"/>
    <w:bookmarkEnd w:id="13"/>
    <w:p>
      <w:pPr>
        <w:jc w:val="both"/>
        <w:ind w:firstLine="1018"/>
        <w:spacing w:after="0" w:line="265" w:lineRule="auto"/>
        <w:rPr>
          <w:sz w:val="20"/>
          <w:szCs w:val="20"/>
          <w:color w:val="auto"/>
        </w:rPr>
      </w:pPr>
      <w:r>
        <w:rPr>
          <w:rFonts w:ascii="Arial" w:cs="Arial" w:eastAsia="Arial" w:hAnsi="Arial"/>
          <w:sz w:val="17"/>
          <w:szCs w:val="17"/>
          <w:i w:val="1"/>
          <w:iCs w:val="1"/>
          <w:color w:val="auto"/>
        </w:rPr>
        <w:t xml:space="preserve">Outlook. </w:t>
      </w:r>
      <w:r>
        <w:rPr>
          <w:rFonts w:ascii="Arial" w:cs="Arial" w:eastAsia="Arial" w:hAnsi="Arial"/>
          <w:sz w:val="17"/>
          <w:szCs w:val="17"/>
          <w:color w:val="auto"/>
        </w:rPr>
        <w:t>We first began to feel the effects of the COVID-19 pandemic in late March 2020 when we began receiving requests from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customers of both our Security Products and Marine Components segments to postpone shipments, in some cases because our customers’ production facilities were temporarily closed. </w:t>
      </w:r>
      <w:r>
        <w:rPr>
          <w:rFonts w:ascii="Arial" w:cs="Arial" w:eastAsia="Arial" w:hAnsi="Arial"/>
          <w:sz w:val="20"/>
          <w:szCs w:val="20"/>
          <w:color w:val="auto"/>
        </w:rPr>
        <w:t>T</w:t>
      </w:r>
      <w:r>
        <w:rPr>
          <w:rFonts w:ascii="Arial" w:cs="Arial" w:eastAsia="Arial" w:hAnsi="Arial"/>
          <w:sz w:val="17"/>
          <w:szCs w:val="17"/>
          <w:color w:val="auto"/>
        </w:rPr>
        <w:t>he second quarter of 2020 sustained the greatest impact from COVID-19, but its effects continued to be felt through most of the remainder of the year. In the second half of 2020, our sales began to recover from the historically low levels we experienced during the second quarter of 2020, with sales steadily improving for the remainder of the year and through the first quarter of 2021. In the first quarter of 2021, our manufacturing operations maintained normal production rates in-line with improved demand, although our Security Products segment still has some markets which continue to be slower to recover, particularly distributors and office furniture. Our supply chains remain intact although we have been moderately impacted by recent global and domestic supply chain disruptions. Thus far our operations team has been able to manage through these disruptions with minimal impact on our operations. Most of the markets we serve continue to recover, and we communicate closely with all our customers to monitor order levels. Marine Component segment sales outpaced prior year as demand for recreational boats increased as people sought socially distanced, outdoor activities. We expect this trend to continue during the remainder of 2021.</w:t>
      </w:r>
    </w:p>
    <w:p>
      <w:pPr>
        <w:spacing w:after="0" w:line="182" w:lineRule="exact"/>
        <w:rPr>
          <w:sz w:val="20"/>
          <w:szCs w:val="20"/>
          <w:color w:val="auto"/>
        </w:rPr>
      </w:pPr>
    </w:p>
    <w:p>
      <w:pPr>
        <w:jc w:val="both"/>
        <w:ind w:firstLine="1018"/>
        <w:spacing w:after="0" w:line="251" w:lineRule="auto"/>
        <w:rPr>
          <w:sz w:val="20"/>
          <w:szCs w:val="20"/>
          <w:color w:val="auto"/>
        </w:rPr>
      </w:pPr>
      <w:r>
        <w:rPr>
          <w:rFonts w:ascii="Arial" w:cs="Arial" w:eastAsia="Arial" w:hAnsi="Arial"/>
          <w:sz w:val="18"/>
          <w:szCs w:val="18"/>
          <w:color w:val="auto"/>
        </w:rPr>
        <w:t>Considerable effort continues at all our locations to manage COVID-19 conditions including enhanced health and safety protocols and cleaning and disinfecting efforts. Throughout the course of the COVID-19 pandemic, we have focused our efforts on maintaining efficient operations while closely managing our expenses. The advance of the COVID-19 pandemic and the global efforts to mitigate its spread are expected to continue to challenge workers, businesses and governments during 2021. The success and timing of mitigating actions depends in part on continued deployment of effective tools to fight COVID-19, including effective treatments and vaccine distribution, before economies are likely to return to normal. In this regard, as part of our health and safety procedures, we are encouraging our employees to receive a COVID-19 vaccine and have offered paid time off to hourly employees to facilitate participation.</w:t>
      </w:r>
    </w:p>
    <w:p>
      <w:pPr>
        <w:spacing w:after="0" w:line="197" w:lineRule="exact"/>
        <w:rPr>
          <w:sz w:val="20"/>
          <w:szCs w:val="20"/>
          <w:color w:val="auto"/>
        </w:rPr>
      </w:pPr>
    </w:p>
    <w:p>
      <w:pPr>
        <w:jc w:val="both"/>
        <w:ind w:firstLine="1018"/>
        <w:spacing w:after="0" w:line="267" w:lineRule="auto"/>
        <w:rPr>
          <w:sz w:val="20"/>
          <w:szCs w:val="20"/>
          <w:color w:val="auto"/>
        </w:rPr>
      </w:pPr>
      <w:r>
        <w:rPr>
          <w:rFonts w:ascii="Arial" w:cs="Arial" w:eastAsia="Arial" w:hAnsi="Arial"/>
          <w:sz w:val="17"/>
          <w:szCs w:val="17"/>
          <w:color w:val="auto"/>
        </w:rPr>
        <w:t>Based on current conditions, we expect to report increased revenue and operating income in 2021 compared to 2020, despite some markets of the Security Products Segment that have not fully recovered to pre-pandemic levels. As a result, we expect to continue to experience higher fixed costs per unit of production during 2021 which will continue to challenge gross margins in the segment. The impact of COVID-19 on 2021 will depend on customer demand for our products, including the timing and extent to which our customers’ operations may be impacted, on our customers’ perception as to consumer demand for their products and on any future disruptions in our operations or our suppliers’ operations, all of which are difficult to predict. As noted above, there are global supply chain disruptions and certain of our customers have experienced temporary pauses in their operations as a result of these disruptions. Thus far these pauses have not had a material negative effect on our sales. Our operations teams meet frequently to ensure we are taking appropriate actions to maintain a safe working environment for all our employees, minimize material or supply related operational disruptions, manage inventory levels and improve operating margins. We are constantly evaluating our staffing levels and we believe our current staffing levels are aligned with our sales and production forecasts.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5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generally report a net use of cash from operating activities in the first three months of each year due to seasonal changes in the level of our working capital. Our net cash used by operating activities for the first three months of 2021 increased by $2.2 million as compared to the first three months of 2020. The increase in net cash used is primarily due to the net effects of:</w:t>
      </w:r>
    </w:p>
    <w:p>
      <w:pPr>
        <w:spacing w:after="0" w:line="159" w:lineRule="exact"/>
        <w:rPr>
          <w:sz w:val="20"/>
          <w:szCs w:val="20"/>
          <w:color w:val="auto"/>
        </w:rPr>
      </w:pPr>
    </w:p>
    <w:p>
      <w:pPr>
        <w:ind w:left="720" w:hanging="35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$0.8 million increase in operating income in 2021,</w:t>
      </w:r>
    </w:p>
    <w:p>
      <w:pPr>
        <w:spacing w:after="0" w:line="301" w:lineRule="exact"/>
        <w:rPr>
          <w:rFonts w:ascii="Arial" w:cs="Arial" w:eastAsia="Arial" w:hAnsi="Arial"/>
          <w:sz w:val="18"/>
          <w:szCs w:val="18"/>
          <w:color w:val="auto"/>
        </w:rPr>
      </w:pPr>
    </w:p>
    <w:p>
      <w:pPr>
        <w:ind w:left="720" w:hanging="352"/>
        <w:spacing w:after="0" w:line="271"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$0.3 million decrease in interest received in 2021 due to lower average interest rates and to a lesser extent a lower average affiliate receivable balance,</w:t>
      </w:r>
    </w:p>
    <w:p>
      <w:pPr>
        <w:spacing w:after="0" w:line="227" w:lineRule="exact"/>
        <w:rPr>
          <w:rFonts w:ascii="Arial" w:cs="Arial" w:eastAsia="Arial" w:hAnsi="Arial"/>
          <w:sz w:val="18"/>
          <w:szCs w:val="18"/>
          <w:color w:val="auto"/>
        </w:rPr>
      </w:pPr>
    </w:p>
    <w:p>
      <w:pPr>
        <w:ind w:left="720" w:hanging="35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$0.4 million increase in cash paid for taxes in 2021 due to the relative timing of payments; and</w:t>
      </w:r>
    </w:p>
    <w:p>
      <w:pPr>
        <w:spacing w:after="0" w:line="301" w:lineRule="exact"/>
        <w:rPr>
          <w:rFonts w:ascii="Arial" w:cs="Arial" w:eastAsia="Arial" w:hAnsi="Arial"/>
          <w:sz w:val="18"/>
          <w:szCs w:val="18"/>
          <w:color w:val="auto"/>
        </w:rPr>
      </w:pPr>
    </w:p>
    <w:p>
      <w:pPr>
        <w:ind w:left="720" w:right="20" w:hanging="352"/>
        <w:spacing w:after="0" w:line="271"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higher amount of net cash used by relative changes in our inventories, receivables, prepaids, payables and non-tax related accruals of approximately $2.2 million in 2021.</w:t>
      </w:r>
    </w:p>
    <w:p>
      <w:pPr>
        <w:spacing w:after="0" w:line="228"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7"/>
          <w:szCs w:val="17"/>
          <w:color w:val="auto"/>
        </w:rPr>
        <w:t>Relative changes in working capital can have a significant effect on cash flows from operating activities. As shown below, the change in our average days sales outstanding from December 31, 2020 to March 31, 2021 varied by segment, primarily as a result of relative changes in the timing of collections but is consistent with prior year. For comparative purposes, we have provided December 31, 2019 and March 31, 2020 numbers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Days Sales Outstanding:</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2020</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2020</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2021</w:t>
            </w:r>
          </w:p>
        </w:tc>
      </w:tr>
      <w:tr>
        <w:trPr>
          <w:trHeight w:val="207"/>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38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46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35 Days</w:t>
            </w:r>
          </w:p>
        </w:tc>
        <w:tc>
          <w:tcPr>
            <w:tcW w:w="12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46 Days</w:t>
            </w:r>
          </w:p>
        </w:tc>
      </w:tr>
      <w:tr>
        <w:trPr>
          <w:trHeight w:val="214"/>
        </w:trPr>
        <w:tc>
          <w:tcPr>
            <w:tcW w:w="42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27 Days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33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24 Days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33 Days</w:t>
            </w:r>
          </w:p>
        </w:tc>
      </w:tr>
      <w:tr>
        <w:trPr>
          <w:trHeight w:val="214"/>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36 Days</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43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33 Days</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43 Days</w:t>
            </w:r>
          </w:p>
        </w:tc>
      </w:tr>
    </w:tbl>
    <w:p>
      <w:pPr>
        <w:spacing w:after="0" w:line="373"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total average number of days in inventory decreased from December 31, 2020 to March 31, 2021, particularly for Marine Components. The average number of days in inventory for Marine Components decreased primarily as a result of rapid sales growth in the first quarter of 2021. For comparative purposes, we have provided December 31, 2019 and March 31, 2020 numbers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2"/>
          </w:tcPr>
          <w:p>
            <w:pPr>
              <w:ind w:left="1460"/>
              <w:spacing w:after="0"/>
              <w:rPr>
                <w:sz w:val="20"/>
                <w:szCs w:val="20"/>
                <w:color w:val="auto"/>
              </w:rPr>
            </w:pPr>
            <w:r>
              <w:rPr>
                <w:rFonts w:ascii="Arial" w:cs="Arial" w:eastAsia="Arial" w:hAnsi="Arial"/>
                <w:sz w:val="14"/>
                <w:szCs w:val="14"/>
                <w:b w:val="1"/>
                <w:bCs w:val="1"/>
                <w:color w:val="auto"/>
              </w:rPr>
              <w:t>Days in Inventory:</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2020</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2020</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2021</w:t>
            </w:r>
          </w:p>
        </w:tc>
      </w:tr>
      <w:tr>
        <w:trPr>
          <w:trHeight w:val="207"/>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76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78 Days</w:t>
            </w: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75 Days</w:t>
            </w:r>
          </w:p>
        </w:tc>
        <w:tc>
          <w:tcPr>
            <w:tcW w:w="12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72 Days</w:t>
            </w:r>
          </w:p>
        </w:tc>
      </w:tr>
      <w:tr>
        <w:trPr>
          <w:trHeight w:val="214"/>
        </w:trPr>
        <w:tc>
          <w:tcPr>
            <w:tcW w:w="420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 Days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82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75 Days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54 Days</w:t>
            </w:r>
          </w:p>
        </w:tc>
      </w:tr>
      <w:tr>
        <w:trPr>
          <w:trHeight w:val="214"/>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81 Days</w:t>
            </w:r>
          </w:p>
        </w:tc>
        <w:tc>
          <w:tcPr>
            <w:tcW w:w="17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79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75 Days</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66 Days</w:t>
            </w:r>
          </w:p>
        </w:tc>
      </w:tr>
    </w:tbl>
    <w:p>
      <w:pPr>
        <w:spacing w:after="0" w:line="24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$0.6 million and $0.4 million in the first three months of 2021 and 2020, respectively.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three months of 2021, Valhi repaid a net $0.3 million under the promissory note ($11.6 million of gross borrowings and $11.9 million of gross repayments). During the first three months of 2020, Valhi repaid a net $2.6 million under the promissory note ($15.6 million of gross borrowings and $18.2 million of gross repayments). See Note 9 to the Condensed Consolidated Financial Statements.</w:t>
      </w:r>
    </w:p>
    <w:p>
      <w:pPr>
        <w:spacing w:after="0" w:line="19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In March 2021, our board of directors increased our regular quarterly dividend from $.10 per share to $.20 per share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2021.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In addition, during the first three months of 2021, we acquired 50,000 shares of our Class A common stock in a market transaction for $0.8 million.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9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$64.7 million aggregate cash and cash equivalents at March 31, 2021 were held in the U.S.</w:t>
      </w:r>
    </w:p>
    <w:p>
      <w:pPr>
        <w:spacing w:after="0" w:line="2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March 31, 2021 totaled $0.5 million. Our 2021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primarily expenditures to meet our expected customer demand, improve efficiency and properly maintain our facilities and technology infrastructure.</w:t>
      </w:r>
    </w:p>
    <w:p>
      <w:pPr>
        <w:spacing w:after="0" w:line="18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Stock repurchase program. </w:t>
      </w:r>
      <w:r>
        <w:rPr>
          <w:rFonts w:ascii="Arial" w:cs="Arial" w:eastAsia="Arial" w:hAnsi="Arial"/>
          <w:sz w:val="18"/>
          <w:szCs w:val="18"/>
          <w:color w:val="auto"/>
        </w:rPr>
        <w:t>During the first quarter of 2021, we purchased 50,000 shares of our Class A common stock in a market transaction. At</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we have 627,547 shares available for repurchase under a stock repurchase program authorized by our board of directors. See Note 7 to our Condensed Consolidated Financial Statements.</w:t>
      </w:r>
    </w:p>
    <w:p>
      <w:pPr>
        <w:spacing w:after="0" w:line="18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2020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color w:val="auto"/>
        </w:rPr>
        <w:t>There have been no changes in the first three months of 2021 with respect to our critical accounting policies presented in Management’s Discussion and Analysis of Financial Condition and Results of Operations in our 2020 Annual Report.</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2020 Annual Report, and we refer you to Part I, Item 7A – “Quantitative and Qualitative Disclosure About Market Risk” in our 2020 Annual Report. See also Note 8 to the Condensed Consolidated Financial Statements.</w:t>
      </w:r>
    </w:p>
    <w:p>
      <w:pPr>
        <w:spacing w:after="0" w:line="3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4" w:lineRule="exact"/>
        <w:rPr>
          <w:sz w:val="20"/>
          <w:szCs w:val="20"/>
          <w:color w:val="auto"/>
        </w:rPr>
      </w:pPr>
    </w:p>
    <w:p>
      <w:pPr>
        <w:jc w:val="both"/>
        <w:ind w:firstLine="510"/>
        <w:spacing w:after="0" w:line="261"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16" w:name="page17"/>
    <w:bookmarkEnd w:id="16"/>
    <w:p>
      <w:pPr>
        <w:jc w:val="both"/>
        <w:spacing w:after="0" w:line="288" w:lineRule="auto"/>
        <w:rPr>
          <w:sz w:val="20"/>
          <w:szCs w:val="20"/>
          <w:color w:val="auto"/>
        </w:rPr>
      </w:pPr>
      <w:r>
        <w:rPr>
          <w:rFonts w:ascii="Arial" w:cs="Arial" w:eastAsia="Arial" w:hAnsi="Arial"/>
          <w:sz w:val="16"/>
          <w:szCs w:val="16"/>
          <w:color w:val="auto"/>
        </w:rPr>
        <w:t>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Allbach Samford, our Vice President and Chief Financial Officer, has evaluated the design and operating effectiveness of our disclosure controls and procedures as of March 31, 2021. Based upon their evaluation, these executive officers have concluded that our disclosure controls and procedures are effective as of the date of such evaluation.</w:t>
      </w:r>
    </w:p>
    <w:p>
      <w:pPr>
        <w:spacing w:after="0" w:line="5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b w:val="1"/>
          <w:bCs w:val="1"/>
          <w:color w:val="auto"/>
        </w:rPr>
        <w:t>Internal Control Over Financial Reporting</w:t>
      </w:r>
      <w:r>
        <w:rPr>
          <w:rFonts w:ascii="Arial" w:cs="Arial" w:eastAsia="Arial" w:hAnsi="Arial"/>
          <w:sz w:val="17"/>
          <w:szCs w:val="17"/>
          <w:color w:val="auto"/>
        </w:rPr>
        <w:t>. Our management is responsible for establishing and maintaining adequate internal control over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9" w:lineRule="exact"/>
        <w:rPr>
          <w:sz w:val="20"/>
          <w:szCs w:val="20"/>
          <w:color w:val="auto"/>
        </w:rPr>
      </w:pPr>
    </w:p>
    <w:p>
      <w:pPr>
        <w:ind w:left="1020" w:hanging="505"/>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36" w:lineRule="exact"/>
        <w:rPr>
          <w:rFonts w:ascii="Arial" w:cs="Arial" w:eastAsia="Arial" w:hAnsi="Arial"/>
          <w:sz w:val="16"/>
          <w:szCs w:val="16"/>
          <w:color w:val="auto"/>
        </w:rPr>
      </w:pPr>
    </w:p>
    <w:p>
      <w:pPr>
        <w:ind w:left="1020" w:right="20" w:hanging="505"/>
        <w:spacing w:after="0" w:line="33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21" w:lineRule="exact"/>
        <w:rPr>
          <w:rFonts w:ascii="Arial" w:cs="Arial" w:eastAsia="Arial" w:hAnsi="Arial"/>
          <w:sz w:val="16"/>
          <w:szCs w:val="16"/>
          <w:color w:val="auto"/>
        </w:rPr>
      </w:pPr>
    </w:p>
    <w:p>
      <w:pPr>
        <w:ind w:left="1020" w:hanging="50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71" w:lineRule="exact"/>
        <w:rPr>
          <w:sz w:val="20"/>
          <w:szCs w:val="20"/>
          <w:color w:val="auto"/>
        </w:rPr>
      </w:pPr>
    </w:p>
    <w:p>
      <w:pPr>
        <w:ind w:firstLine="510"/>
        <w:spacing w:after="0" w:line="340" w:lineRule="auto"/>
        <w:rPr>
          <w:sz w:val="20"/>
          <w:szCs w:val="20"/>
          <w:color w:val="auto"/>
        </w:rPr>
      </w:pPr>
      <w:r>
        <w:rPr>
          <w:rFonts w:ascii="Arial" w:cs="Arial" w:eastAsia="Arial" w:hAnsi="Arial"/>
          <w:sz w:val="16"/>
          <w:szCs w:val="16"/>
          <w:b w:val="1"/>
          <w:bCs w:val="1"/>
          <w:color w:val="auto"/>
        </w:rPr>
        <w:t>Changes in Internal Control Over Financial Reporting</w:t>
      </w:r>
      <w:r>
        <w:rPr>
          <w:rFonts w:ascii="Arial" w:cs="Arial" w:eastAsia="Arial" w:hAnsi="Arial"/>
          <w:sz w:val="16"/>
          <w:szCs w:val="16"/>
          <w:color w:val="auto"/>
        </w:rPr>
        <w:t>. There have been no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ended March 31, 2021 that have materially affected, or are reasonably likely to materially affect, our internal control over financial reporting.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7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 OTHER INFORMATION</w:t>
      </w:r>
    </w:p>
    <w:p>
      <w:pPr>
        <w:spacing w:after="0" w:line="1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color w:val="auto"/>
        </w:rPr>
        <w:t>Reference is made to the 2020 Annual Report for a discussion of risk factors related to our businesses. There have been no material changes to such risk factors during the three months ended March 31, 2021.</w:t>
      </w:r>
    </w:p>
    <w:p>
      <w:pPr>
        <w:spacing w:after="0" w:line="1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12"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 following table discloses certain information regarding the shares of our common stock we purchased during the first quarter of 2021 (we made no purchases in January and February 2021). All of these purchases were made under the repurchase program in open market transactions. See Note 7 to our Condensed Consolidated Financial Statements.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01"/>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3"/>
              </w:rPr>
              <w:t>Maximum number</w:t>
            </w:r>
          </w:p>
        </w:tc>
      </w:tr>
      <w:tr>
        <w:trPr>
          <w:trHeight w:val="201"/>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 that may</w:t>
            </w:r>
          </w:p>
        </w:tc>
      </w:tr>
      <w:tr>
        <w:trPr>
          <w:trHeight w:val="201"/>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yet be purchased</w:t>
            </w:r>
          </w:p>
        </w:tc>
      </w:tr>
      <w:tr>
        <w:trPr>
          <w:trHeight w:val="201"/>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8"/>
              </w:rPr>
              <w:t>Average price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of the publicity</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under the publicly</w:t>
            </w:r>
          </w:p>
        </w:tc>
      </w:tr>
      <w:tr>
        <w:trPr>
          <w:trHeight w:val="209"/>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Period</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purchased (1)</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paid per share</w:t>
            </w:r>
          </w:p>
        </w:tc>
        <w:tc>
          <w:tcPr>
            <w:tcW w:w="16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announced plan</w:t>
            </w:r>
          </w:p>
        </w:tc>
        <w:tc>
          <w:tcPr>
            <w:tcW w:w="18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announced plan</w:t>
            </w:r>
          </w:p>
        </w:tc>
      </w:tr>
      <w:tr>
        <w:trPr>
          <w:trHeight w:val="213"/>
        </w:trPr>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shd w:val="clear" w:color="auto" w:fill="CFF0FC"/>
              </w:rPr>
              <w:t>March 2021</w:t>
            </w:r>
          </w:p>
        </w:tc>
        <w:tc>
          <w:tcPr>
            <w:tcW w:w="180" w:type="dxa"/>
            <w:vAlign w:val="bottom"/>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50,000</w:t>
            </w:r>
          </w:p>
        </w:tc>
        <w:tc>
          <w:tcPr>
            <w:tcW w:w="160" w:type="dxa"/>
            <w:vAlign w:val="bottom"/>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$15.06</w:t>
            </w:r>
          </w:p>
        </w:tc>
        <w:tc>
          <w:tcPr>
            <w:tcW w:w="160" w:type="dxa"/>
            <w:vAlign w:val="bottom"/>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50,000</w:t>
            </w:r>
          </w:p>
        </w:tc>
        <w:tc>
          <w:tcPr>
            <w:tcW w:w="180" w:type="dxa"/>
            <w:vAlign w:val="bottom"/>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627,547</w:t>
            </w:r>
          </w:p>
        </w:tc>
      </w:tr>
    </w:tbl>
    <w:p>
      <w:pPr>
        <w:spacing w:after="0" w:line="387" w:lineRule="exact"/>
        <w:rPr>
          <w:sz w:val="20"/>
          <w:szCs w:val="20"/>
          <w:color w:val="auto"/>
        </w:rPr>
      </w:pPr>
    </w:p>
    <w:p>
      <w:pPr>
        <w:ind w:left="720" w:hanging="352"/>
        <w:spacing w:after="0" w:line="27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previously authorized repurchases of shares of our Class A common stock in open market transactions, including block purchases, or in privately-negotiated transactions at unspecified prices and over an unspecified period of time.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00" w:type="dxa"/>
            <w:vAlign w:val="bottom"/>
          </w:tcPr>
          <w:p>
            <w:pPr>
              <w:spacing w:after="0"/>
              <w:rPr>
                <w:sz w:val="24"/>
                <w:szCs w:val="24"/>
                <w:color w:val="auto"/>
              </w:rPr>
            </w:pPr>
          </w:p>
        </w:tc>
        <w:tc>
          <w:tcPr>
            <w:tcW w:w="9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Index</w:t>
            </w:r>
          </w:p>
        </w:tc>
      </w:tr>
      <w:tr>
        <w:trPr>
          <w:trHeight w:val="294"/>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00" w:type="dxa"/>
            <w:vAlign w:val="bottom"/>
            <w:tcBorders>
              <w:bottom w:val="single" w:sz="8" w:color="0000EE"/>
            </w:tcBorders>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Certification</w:t>
              </w:r>
            </w:hyperlink>
          </w:p>
        </w:tc>
        <w:tc>
          <w:tcPr>
            <w:tcW w:w="90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0"/>
                <w:szCs w:val="20"/>
                <w:color w:val="auto"/>
              </w:rPr>
            </w:pPr>
          </w:p>
        </w:tc>
        <w:tc>
          <w:tcPr>
            <w:tcW w:w="900" w:type="dxa"/>
            <w:vAlign w:val="bottom"/>
            <w:tcBorders>
              <w:bottom w:val="single" w:sz="8" w:color="0000EE"/>
            </w:tcBorders>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Certification</w:t>
              </w:r>
            </w:hyperlink>
          </w:p>
        </w:tc>
        <w:tc>
          <w:tcPr>
            <w:tcW w:w="9060" w:type="dxa"/>
            <w:vAlign w:val="bottom"/>
          </w:tcPr>
          <w:p>
            <w:pPr>
              <w:spacing w:after="0"/>
              <w:rPr>
                <w:sz w:val="20"/>
                <w:szCs w:val="20"/>
                <w:color w:val="auto"/>
              </w:rPr>
            </w:pPr>
          </w:p>
        </w:tc>
      </w:tr>
      <w:tr>
        <w:trPr>
          <w:trHeight w:val="234"/>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0"/>
                <w:szCs w:val="20"/>
                <w:color w:val="auto"/>
              </w:rPr>
            </w:pPr>
          </w:p>
        </w:tc>
        <w:tc>
          <w:tcPr>
            <w:tcW w:w="900" w:type="dxa"/>
            <w:vAlign w:val="bottom"/>
            <w:tcBorders>
              <w:bottom w:val="single" w:sz="8" w:color="0000EE"/>
            </w:tcBorders>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Certification</w:t>
              </w:r>
            </w:hyperlink>
          </w:p>
        </w:tc>
        <w:tc>
          <w:tcPr>
            <w:tcW w:w="9060" w:type="dxa"/>
            <w:vAlign w:val="bottom"/>
          </w:tcPr>
          <w:p>
            <w:pPr>
              <w:spacing w:after="0"/>
              <w:rPr>
                <w:sz w:val="20"/>
                <w:szCs w:val="20"/>
                <w:color w:val="auto"/>
              </w:rPr>
            </w:pPr>
          </w:p>
        </w:tc>
      </w:tr>
      <w:tr>
        <w:trPr>
          <w:trHeight w:val="260"/>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 are embedded</w:t>
            </w:r>
          </w:p>
        </w:tc>
      </w:tr>
      <w:tr>
        <w:trPr>
          <w:trHeight w:val="227"/>
        </w:trPr>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within the Inline XBRL document.</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5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2"/>
                <w:szCs w:val="22"/>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260" w:hanging="1253"/>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5540" w:hanging="109"/>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SIGNATURES</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COMPX INTERNATIONAL INC.</w:t>
            </w:r>
          </w:p>
        </w:tc>
        <w:tc>
          <w:tcPr>
            <w:tcW w:w="2360" w:type="dxa"/>
            <w:vAlign w:val="bottom"/>
          </w:tcPr>
          <w:p>
            <w:pPr>
              <w:spacing w:after="0"/>
              <w:rPr>
                <w:sz w:val="17"/>
                <w:szCs w:val="17"/>
                <w:color w:val="auto"/>
              </w:rPr>
            </w:pPr>
          </w:p>
        </w:tc>
      </w:tr>
      <w:tr>
        <w:trPr>
          <w:trHeight w:val="233"/>
        </w:trPr>
        <w:tc>
          <w:tcPr>
            <w:tcW w:w="38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20" w:type="dxa"/>
            <w:vAlign w:val="bottom"/>
            <w:gridSpan w:val="2"/>
          </w:tcPr>
          <w:p>
            <w:pPr>
              <w:ind w:left="460"/>
              <w:spacing w:after="0"/>
              <w:rPr>
                <w:sz w:val="20"/>
                <w:szCs w:val="20"/>
                <w:color w:val="auto"/>
              </w:rPr>
            </w:pPr>
            <w:r>
              <w:rPr>
                <w:rFonts w:ascii="Arial" w:cs="Arial" w:eastAsia="Arial" w:hAnsi="Arial"/>
                <w:sz w:val="18"/>
                <w:szCs w:val="18"/>
                <w:b w:val="1"/>
                <w:bCs w:val="1"/>
                <w:color w:val="auto"/>
              </w:rPr>
              <w:t>(Registrant)</w:t>
            </w:r>
          </w:p>
        </w:tc>
      </w:tr>
      <w:tr>
        <w:trPr>
          <w:trHeight w:val="455"/>
        </w:trPr>
        <w:tc>
          <w:tcPr>
            <w:tcW w:w="3800" w:type="dxa"/>
            <w:vAlign w:val="bottom"/>
          </w:tcPr>
          <w:p>
            <w:pPr>
              <w:spacing w:after="0"/>
              <w:rPr>
                <w:sz w:val="20"/>
                <w:szCs w:val="20"/>
                <w:color w:val="auto"/>
              </w:rPr>
            </w:pPr>
            <w:r>
              <w:rPr>
                <w:rFonts w:ascii="Arial" w:cs="Arial" w:eastAsia="Arial" w:hAnsi="Arial"/>
                <w:sz w:val="18"/>
                <w:szCs w:val="18"/>
                <w:color w:val="auto"/>
              </w:rPr>
              <w:t>Date: May 4, 2021</w:t>
            </w:r>
          </w:p>
        </w:tc>
        <w:tc>
          <w:tcPr>
            <w:tcW w:w="7440" w:type="dxa"/>
            <w:vAlign w:val="bottom"/>
            <w:gridSpan w:val="4"/>
          </w:tcPr>
          <w:p>
            <w:pPr>
              <w:ind w:left="2420"/>
              <w:spacing w:after="0"/>
              <w:rPr>
                <w:sz w:val="20"/>
                <w:szCs w:val="20"/>
                <w:color w:val="auto"/>
              </w:rPr>
            </w:pPr>
            <w:r>
              <w:rPr>
                <w:rFonts w:ascii="Arial" w:cs="Arial" w:eastAsia="Arial" w:hAnsi="Arial"/>
                <w:sz w:val="18"/>
                <w:szCs w:val="18"/>
                <w:color w:val="auto"/>
              </w:rPr>
              <w:t>By:  /s/ Amy Allbach Samford</w:t>
            </w:r>
          </w:p>
        </w:tc>
      </w:tr>
      <w:tr>
        <w:trPr>
          <w:trHeight w:val="194"/>
        </w:trPr>
        <w:tc>
          <w:tcPr>
            <w:tcW w:w="38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Amy Allbach Samford</w:t>
            </w:r>
          </w:p>
        </w:tc>
      </w:tr>
      <w:tr>
        <w:trPr>
          <w:trHeight w:val="227"/>
        </w:trPr>
        <w:tc>
          <w:tcPr>
            <w:tcW w:w="3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643"/>
        </w:trPr>
        <w:tc>
          <w:tcPr>
            <w:tcW w:w="3800" w:type="dxa"/>
            <w:vAlign w:val="bottom"/>
          </w:tcPr>
          <w:p>
            <w:pPr>
              <w:spacing w:after="0"/>
              <w:rPr>
                <w:sz w:val="24"/>
                <w:szCs w:val="24"/>
                <w:color w:val="auto"/>
              </w:rPr>
            </w:pPr>
          </w:p>
        </w:tc>
        <w:tc>
          <w:tcPr>
            <w:tcW w:w="7440" w:type="dxa"/>
            <w:vAlign w:val="bottom"/>
            <w:gridSpan w:val="4"/>
          </w:tcPr>
          <w:p>
            <w:pPr>
              <w:ind w:left="2420"/>
              <w:spacing w:after="0"/>
              <w:rPr>
                <w:sz w:val="20"/>
                <w:szCs w:val="20"/>
                <w:color w:val="auto"/>
              </w:rPr>
            </w:pPr>
            <w:r>
              <w:rPr>
                <w:rFonts w:ascii="Arial" w:cs="Arial" w:eastAsia="Arial" w:hAnsi="Arial"/>
                <w:sz w:val="18"/>
                <w:szCs w:val="18"/>
                <w:color w:val="auto"/>
              </w:rPr>
              <w:t>By:  /s/ Amy E. Ruf</w:t>
            </w:r>
          </w:p>
        </w:tc>
      </w:tr>
      <w:tr>
        <w:trPr>
          <w:trHeight w:val="194"/>
        </w:trPr>
        <w:tc>
          <w:tcPr>
            <w:tcW w:w="38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Amy E. Ruf</w:t>
            </w:r>
          </w:p>
        </w:tc>
      </w:tr>
      <w:tr>
        <w:trPr>
          <w:trHeight w:val="227"/>
        </w:trPr>
        <w:tc>
          <w:tcPr>
            <w:tcW w:w="3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240"/>
          </w:cols>
          <w:pgMar w:left="320" w:top="576"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4" w:lineRule="exact"/>
        <w:rPr>
          <w:sz w:val="20"/>
          <w:szCs w:val="20"/>
          <w:color w:val="auto"/>
        </w:rPr>
      </w:pPr>
    </w:p>
    <w:p>
      <w:pPr>
        <w:ind w:left="520" w:hanging="513"/>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Scott C. James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-130175</wp:posOffset>
            </wp:positionV>
            <wp:extent cx="25901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Amy Allbach Samford, certify that:</w:t>
      </w:r>
    </w:p>
    <w:p>
      <w:pPr>
        <w:spacing w:after="0" w:line="114" w:lineRule="exact"/>
        <w:rPr>
          <w:sz w:val="20"/>
          <w:szCs w:val="20"/>
          <w:color w:val="auto"/>
        </w:rPr>
      </w:pPr>
    </w:p>
    <w:p>
      <w:pPr>
        <w:ind w:left="520" w:hanging="513"/>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3"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hanging="513"/>
        <w:spacing w:after="0" w:line="259"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020" w:hanging="505"/>
        <w:spacing w:after="0" w:line="259"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1020" w:hanging="505"/>
        <w:spacing w:after="0" w:line="335"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jc w:val="both"/>
        <w:ind w:left="1020" w:hanging="505"/>
        <w:spacing w:after="0" w:line="259"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20" w:hanging="513"/>
        <w:spacing w:after="0" w:line="301"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4" w:lineRule="exact"/>
        <w:rPr>
          <w:rFonts w:ascii="Arial" w:cs="Arial" w:eastAsia="Arial" w:hAnsi="Arial"/>
          <w:sz w:val="17"/>
          <w:szCs w:val="17"/>
          <w:color w:val="auto"/>
        </w:rPr>
      </w:pPr>
    </w:p>
    <w:p>
      <w:pPr>
        <w:ind w:left="1020" w:hanging="505"/>
        <w:spacing w:after="0" w:line="301" w:lineRule="auto"/>
        <w:tabs>
          <w:tab w:leader="none" w:pos="102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1020" w:right="20" w:hanging="505"/>
        <w:spacing w:after="0" w:line="271"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Amy Allbach Samford</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Amy Allbach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-130175</wp:posOffset>
            </wp:positionV>
            <wp:extent cx="26244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2445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Vice President and Chief Financial Officer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March 31, 2021, as filed with the Securities and Exchange Commission on the date hereof (the Report), I, Scott C. James, President and Chief Executive Officer of the Company and I, Amy Allbach Samford, Vice President and Chief Financial Officer of the Company, certify, pursuant to 18 U.S.C. §1350, as adopted pursuant to §906 of the Sarbanes-Oxley Act of 2002, that:</w:t>
      </w:r>
    </w:p>
    <w:p>
      <w:pPr>
        <w:spacing w:after="0" w:line="83" w:lineRule="exact"/>
        <w:rPr>
          <w:sz w:val="20"/>
          <w:szCs w:val="20"/>
          <w:color w:val="auto"/>
        </w:rPr>
      </w:pPr>
    </w:p>
    <w:p>
      <w:pPr>
        <w:ind w:left="1020" w:hanging="50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0" w:lineRule="exact"/>
        <w:rPr>
          <w:rFonts w:ascii="Arial" w:cs="Arial" w:eastAsia="Arial" w:hAnsi="Arial"/>
          <w:sz w:val="18"/>
          <w:szCs w:val="18"/>
          <w:color w:val="auto"/>
        </w:rPr>
      </w:pPr>
    </w:p>
    <w:p>
      <w:pPr>
        <w:ind w:left="1020" w:hanging="505"/>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-130175</wp:posOffset>
            </wp:positionV>
            <wp:extent cx="25393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Amy Allbach Samford</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Amy Allbach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-130175</wp:posOffset>
            </wp:positionV>
            <wp:extent cx="25393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Vice President and Chief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04"/>
    </w:lvl>
    <w:lvl w:ilvl="1">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2021-05-04T15:26:06Z</dcterms:created>
  <dcterms:modified xsi:type="dcterms:W3CDTF">2021-05-04T15:26:06Z</dcterms:modified>
</cp:coreProperties>
</file>