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51105x8k.htm"/>
      <w:bookmarkStart w:id="1" w:name="kscix20251105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45452d3_a017_4abf_8736_180119e7d87a"/>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November 5, 2025</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xm4jcl_hZUuYDMBPmbO83A_5_2"/>
      <w:bookmarkStart w:id="4" w:name="Tc_upKLlSyiP0q-5tBLsMOnGA_5_0"/>
      <w:bookmarkStart w:id="5" w:name="Tc__VPQy0KPgkufOP-KcCrYdg_4_0"/>
      <w:bookmarkStart w:id="6" w:name="Tc_joodrn3bDUODMZBnYzeeyA_1_2"/>
      <w:bookmarkStart w:id="7" w:name="Tc_HJfMOOWlg0Wo2xUndsLFAw_1_1"/>
      <w:bookmarkStart w:id="8" w:name="Tc_oBnmY6ntOUSaQweRrOG34A_1_0"/>
      <w:bookmarkStart w:id="9" w:name="_b4f68095_e54f_4e44_947a_47c1ed4f140d"/>
      <w:bookmarkStart w:id="10" w:name="Tc_xm4jcl_hZUuYDMBPmbO83A_5_2"/>
      <w:bookmarkStart w:id="11" w:name="Tc_upKLlSyiP0q-5tBLsMOnGA_5_0"/>
      <w:bookmarkStart w:id="12" w:name="Tc__VPQy0KPgkufOP-KcCrYdg_4_0"/>
      <w:bookmarkStart w:id="13" w:name="Tc_joodrn3bDUODMZBnYzeeyA_1_2"/>
      <w:bookmarkStart w:id="14" w:name="Tc_HJfMOOWlg0Wo2xUndsLFAw_1_1"/>
      <w:bookmarkStart w:id="15" w:name="Tc_oBnmY6ntOUSaQweRrOG34A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uypxf3N80U2Z475sXwNVOA_6_1"/>
      <w:bookmarkStart w:id="18" w:name="Tc_JEGoicCZvESdPolqboynMQ_4_1"/>
      <w:bookmarkStart w:id="19" w:name="Tc_ttBWo5tDx0eCLo3fUbfm4Q_2_1"/>
      <w:bookmarkStart w:id="20" w:name="Tc_sERRvttFIkimcvrr9kSkWA_0_1"/>
      <w:bookmarkStart w:id="21" w:name="_03f466d9_c487_4fb9_bacb_2fc3efc44005"/>
      <w:bookmarkStart w:id="22" w:name="Tc_uypxf3N80U2Z475sXwNVOA_6_1"/>
      <w:bookmarkStart w:id="23" w:name="Tc_JEGoicCZvESdPolqboynMQ_4_1"/>
      <w:bookmarkStart w:id="24" w:name="Tc_ttBWo5tDx0eCLo3fUbfm4Q_2_1"/>
      <w:bookmarkStart w:id="25" w:name="Tc_sERRvttFIkimcvrr9kSkW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27" w:name="_3090df65_8070_4a61_8d10_5cb1cc0852d0"/>
      <w:bookmarkStart w:id="28" w:name="_3090df65_8070_4a61_8d10_5cb1cc0852d0"/>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Third Quarter 2025 Results” that the registrant issued on November 5, 2025,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29" w:name="_06c19a20_1d61_488e_8006_9d28acdaec47"/>
      <w:bookmarkStart w:id="30" w:name="_06c19a20_1d61_488e_8006_9d28acdaec47"/>
      <w:bookmarkEnd w:id="3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November 5, 2025,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0"/>
        <w:ind w:left="0" w:right="0" w:firstLine="720"/>
        <w:jc w:val="both"/>
        <w:rPr>
          <w:spacing w:val="-3"/>
        </w:rPr>
      </w:pPr>
      <w:r>
        <w:rPr>
          <w:spacing w:val="-3"/>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1" w:name="_211225b1_15c3_4785_960a_dba95c9d90e8"/>
      <w:bookmarkStart w:id="32" w:name="_211225b1_15c3_4785_960a_dba95c9d90e8"/>
      <w:bookmarkEnd w:id="3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5"/>
        <w:gridCol w:w="806"/>
        <w:gridCol w:w="109"/>
        <w:gridCol w:w="895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5" w:type="dxa"/>
            <w:tcBorders/>
            <w:vAlign w:val="center"/>
          </w:tcPr>
          <w:p>
            <w:pPr>
              <w:pStyle w:val="TableContents"/>
              <w:bidi w:val="0"/>
              <w:spacing w:before="0" w:after="0"/>
              <w:ind w:left="0" w:right="0" w:hanging="0"/>
              <w:jc w:val="left"/>
              <w:rPr/>
            </w:pPr>
            <w:r>
              <w:rPr/>
              <w:t>​</w:t>
            </w:r>
          </w:p>
        </w:tc>
      </w:tr>
      <w:tr>
        <w:trPr/>
        <w:tc>
          <w:tcPr>
            <w:tcW w:w="335"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spacing w:val="-3"/>
              </w:rPr>
            </w:pPr>
            <w:r>
              <w:rPr>
                <w:spacing w:val="-3"/>
              </w:rPr>
              <w:t>​</w:t>
            </w:r>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spacing w:val="-3"/>
              </w:rPr>
            </w:pPr>
            <w:r>
              <w:rPr>
                <w:spacing w:val="-3"/>
              </w:rPr>
              <w:t>​</w:t>
            </w:r>
          </w:p>
        </w:tc>
      </w:tr>
      <w:tr>
        <w:trPr/>
        <w:tc>
          <w:tcPr>
            <w:tcW w:w="335" w:type="dxa"/>
            <w:tcBorders/>
            <w:vAlign w:val="center"/>
          </w:tcPr>
          <w:p>
            <w:pPr>
              <w:pStyle w:val="TableContents"/>
              <w:bidi w:val="0"/>
              <w:spacing w:before="0" w:after="0"/>
              <w:ind w:left="0" w:right="0" w:hanging="0"/>
              <w:jc w:val="center"/>
              <w:rPr>
                <w:spacing w:val="-3"/>
              </w:rPr>
            </w:pPr>
            <w:r>
              <w:rPr>
                <w:spacing w:val="-3"/>
              </w:rPr>
              <w:t>​</w:t>
            </w:r>
          </w:p>
        </w:tc>
        <w:tc>
          <w:tcPr>
            <w:tcW w:w="80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spacing w:val="-3"/>
              </w:rPr>
            </w:pPr>
            <w:r>
              <w:rPr>
                <w:spacing w:val="-3"/>
              </w:rPr>
              <w:t>​</w:t>
            </w:r>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both"/>
              <w:rPr/>
            </w:pPr>
            <w:hyperlink w:anchor="cix-20251105xex99d1.htm">
              <w:r>
                <w:rPr>
                  <w:rStyle w:val="InternetLink"/>
                  <w:rFonts w:ascii="Times New Roman;Times;serif" w:hAnsi="Times New Roman;Times;serif"/>
                  <w:b w:val="false"/>
                  <w:i w:val="false"/>
                  <w:caps w:val="false"/>
                  <w:smallCaps w:val="false"/>
                  <w:sz w:val="20"/>
                </w:rPr>
                <w:t xml:space="preserve">Press release dated November 5, 2025 </w:t>
              </w:r>
            </w:hyperlink>
            <w:hyperlink w:anchor="cix-20251105xex99d1.htm">
              <w:r>
                <w:rPr>
                  <w:rStyle w:val="InternetLink"/>
                  <w:rFonts w:ascii="Times New Roman;Times;serif" w:hAnsi="Times New Roman;Times;serif"/>
                  <w:b w:val="false"/>
                  <w:i w:val="false"/>
                  <w:caps w:val="false"/>
                  <w:smallCaps w:val="false"/>
                  <w:spacing w:val="-3"/>
                  <w:sz w:val="20"/>
                </w:rPr>
                <w:t xml:space="preserve">entitled “CompX Reports Third Quarter 2025 Results” and </w:t>
              </w:r>
            </w:hyperlink>
            <w:hyperlink w:anchor="cix-20251105xex99d1.htm">
              <w:r>
                <w:rPr>
                  <w:rStyle w:val="InternetLink"/>
                  <w:rFonts w:ascii="Times New Roman;Times;serif" w:hAnsi="Times New Roman;Times;serif"/>
                  <w:b w:val="false"/>
                  <w:i w:val="false"/>
                  <w:caps w:val="false"/>
                  <w:smallCaps w:val="false"/>
                  <w:sz w:val="20"/>
                </w:rPr>
                <w:t>issued by the registrant.</w:t>
              </w:r>
            </w:hyperlink>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spacing w:val="-3"/>
              </w:rPr>
            </w:pPr>
            <w:r>
              <w:rPr>
                <w:spacing w:val="-3"/>
              </w:rPr>
              <w:t>​</w:t>
            </w:r>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pPr>
            <w:hyperlink w:anchor="cix-20251105xex99d2.htm">
              <w:r>
                <w:rPr>
                  <w:rStyle w:val="InternetLink"/>
                  <w:rFonts w:ascii="Times New Roman;Times;serif" w:hAnsi="Times New Roman;Times;serif"/>
                  <w:b w:val="false"/>
                  <w:i w:val="false"/>
                  <w:caps w:val="false"/>
                  <w:smallCaps w:val="false"/>
                  <w:sz w:val="20"/>
                </w:rPr>
                <w:t xml:space="preserve">Press release dated November 5, 2025 </w:t>
              </w:r>
            </w:hyperlink>
            <w:hyperlink w:anchor="cix-20251105xex99d2.htm">
              <w:r>
                <w:rPr>
                  <w:rStyle w:val="InternetLink"/>
                  <w:rFonts w:ascii="Times New Roman;Times;serif" w:hAnsi="Times New Roman;Times;serif"/>
                  <w:b w:val="false"/>
                  <w:i w:val="false"/>
                  <w:caps w:val="false"/>
                  <w:smallCaps w:val="false"/>
                  <w:spacing w:val="-3"/>
                  <w:sz w:val="20"/>
                </w:rPr>
                <w:t>entitled “</w:t>
              </w:r>
            </w:hyperlink>
            <w:hyperlink w:anchor="cix-20251105xex99d2.htm">
              <w:r>
                <w:rPr>
                  <w:rStyle w:val="InternetLink"/>
                  <w:rFonts w:ascii="Times New Roman;Times;serif" w:hAnsi="Times New Roman;Times;serif"/>
                  <w:b w:val="false"/>
                  <w:i w:val="false"/>
                  <w:caps w:val="false"/>
                  <w:smallCaps w:val="false"/>
                  <w:sz w:val="20"/>
                </w:rPr>
                <w:t>CompX Declares Regular Quarterly Dividend</w:t>
              </w:r>
            </w:hyperlink>
            <w:hyperlink w:anchor="cix-20251105xex99d2.htm">
              <w:r>
                <w:rPr>
                  <w:rStyle w:val="InternetLink"/>
                  <w:rFonts w:ascii="Times New Roman;Times;serif" w:hAnsi="Times New Roman;Times;serif"/>
                  <w:caps w:val="false"/>
                  <w:smallCaps w:val="false"/>
                  <w:spacing w:val="-3"/>
                  <w:sz w:val="20"/>
                </w:rPr>
                <w:t xml:space="preserve">” </w:t>
              </w:r>
            </w:hyperlink>
            <w:hyperlink w:anchor="cix-20251105xex99d2.htm">
              <w:r>
                <w:rPr>
                  <w:rStyle w:val="InternetLink"/>
                  <w:rFonts w:ascii="Times New Roman;Times;serif" w:hAnsi="Times New Roman;Times;serif"/>
                  <w:b w:val="false"/>
                  <w:i w:val="false"/>
                  <w:caps w:val="false"/>
                  <w:smallCaps w:val="false"/>
                  <w:spacing w:val="-3"/>
                  <w:sz w:val="20"/>
                </w:rPr>
                <w:t xml:space="preserve">and </w:t>
              </w:r>
            </w:hyperlink>
            <w:hyperlink w:anchor="cix-20251105xex99d2.htm">
              <w:r>
                <w:rPr>
                  <w:rStyle w:val="InternetLink"/>
                  <w:rFonts w:ascii="Times New Roman;Times;serif" w:hAnsi="Times New Roman;Times;serif"/>
                  <w:b w:val="false"/>
                  <w:i w:val="false"/>
                  <w:caps w:val="false"/>
                  <w:smallCaps w:val="false"/>
                  <w:sz w:val="20"/>
                </w:rPr>
                <w:t>issued by the registrant.</w:t>
              </w:r>
            </w:hyperlink>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spacing w:val="-3"/>
              </w:rPr>
            </w:pPr>
            <w:r>
              <w:rPr>
                <w:spacing w:val="-3"/>
              </w:rPr>
              <w:t>​</w:t>
            </w:r>
          </w:p>
        </w:tc>
      </w:tr>
      <w:tr>
        <w:trPr/>
        <w:tc>
          <w:tcPr>
            <w:tcW w:w="335"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3" w:name="_1c3a94c7_f3d2_4b3a_bdef_bce220d9eb64"/>
      <w:bookmarkEnd w:id="3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508" w:type="dxa"/>
        <w:jc w:val="left"/>
        <w:tblInd w:w="0" w:type="dxa"/>
        <w:tblLayout w:type="fixed"/>
        <w:tblCellMar>
          <w:top w:w="0" w:type="dxa"/>
          <w:left w:w="0" w:type="dxa"/>
          <w:bottom w:w="0" w:type="dxa"/>
          <w:right w:w="0" w:type="dxa"/>
        </w:tblCellMar>
      </w:tblPr>
      <w:tblGrid>
        <w:gridCol w:w="2101"/>
        <w:gridCol w:w="406"/>
        <w:gridCol w:w="300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 w:name="cix-20251105xex99d1.htm"/>
      <w:bookmarkStart w:id="35" w:name="kscix20251105xex99d1"/>
      <w:bookmarkStart w:id="36" w:name="cix-20251105xex99d1.htm"/>
      <w:bookmarkStart w:id="37" w:name="kscix20251105xex99d1"/>
      <w:bookmarkEnd w:id="36"/>
      <w:bookmarkEnd w:id="3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THIRD QUARTER 2025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November 5, 2025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$40.0 million for the third quarter of 2025 compared to $33.6 million in the same period of 2024. Operating income was $4.8 million in the third quarter of 2025 compared to $3.3 million in the same period of 2024. Net income was $4.2 million, or $.34 per basic and diluted common share, for the third quarter of 2025 compared to $3.5 million, or $.28 per basic and diluted common share, in the same period of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nine months ended September 30, 2025, net sales were $120.6 million compared to $107.5 million in the previous year. Operating income was $17.0 million for the first nine months of 2025 compared to $12.1 million for the same period in 2024. Net income for the nine months ended September 30, 2025, was $14.8 million, or $1.20 per basic and diluted common share, compared to $12.1 million, or $.98 per basic and diluted common share, for the same period in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Third quarter and year-to-date 2025 net sales increased over the comparable 2024 periods due to higher Security Products sales primarily to the government security market and higher Marine Components sales to various markets including the towboat, government and industrial markets. Operating income increased in the third quarter and for the first nine months of 2025 compared to the same periods in 2024 due to higher sales and gross margin at each of the Security Products and Marine Components segments.</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558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Potential difficulties in integrating future acquisitions;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12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9866" w:type="dxa"/>
        <w:jc w:val="left"/>
        <w:tblInd w:w="0" w:type="dxa"/>
        <w:tblLayout w:type="fixed"/>
        <w:tblCellMar>
          <w:top w:w="0" w:type="dxa"/>
          <w:left w:w="0" w:type="dxa"/>
          <w:bottom w:w="0" w:type="dxa"/>
          <w:right w:w="0" w:type="dxa"/>
        </w:tblCellMar>
      </w:tblPr>
      <w:tblGrid>
        <w:gridCol w:w="5221"/>
        <w:gridCol w:w="272"/>
        <w:gridCol w:w="634"/>
        <w:gridCol w:w="392"/>
        <w:gridCol w:w="272"/>
        <w:gridCol w:w="634"/>
        <w:gridCol w:w="326"/>
        <w:gridCol w:w="226"/>
        <w:gridCol w:w="646"/>
        <w:gridCol w:w="326"/>
        <w:gridCol w:w="226"/>
        <w:gridCol w:w="691"/>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720" cy="175260"/>
                      <wp:effectExtent l="0" t="0" r="0" b="0"/>
                      <wp:wrapNone/>
                      <wp:docPr id="3" name="Frame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2590" cy="175260"/>
                      <wp:effectExtent l="0" t="0" r="0" b="0"/>
                      <wp:wrapNone/>
                      <wp:docPr id="4" name="Frame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8920" cy="175260"/>
                      <wp:effectExtent l="0" t="0" r="0" b="0"/>
                      <wp:wrapNone/>
                      <wp:docPr id="5" name="Frame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2720" cy="175260"/>
                      <wp:effectExtent l="0" t="0" r="0" b="0"/>
                      <wp:wrapNone/>
                      <wp:docPr id="6"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2590" cy="175260"/>
                      <wp:effectExtent l="0" t="0" r="0" b="0"/>
                      <wp:wrapNone/>
                      <wp:docPr id="7" name="Frame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0210" cy="175260"/>
                      <wp:effectExtent l="0" t="0" r="0" b="0"/>
                      <wp:wrapNone/>
                      <wp:docPr id="10" name="Frame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2"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38785" cy="175260"/>
                      <wp:effectExtent l="0" t="0" r="0" b="0"/>
                      <wp:wrapNone/>
                      <wp:docPr id="13" name="Frame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Nine months ended</w: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r>
      <w:tr>
        <w:trPr/>
        <w:tc>
          <w:tcPr>
            <w:tcW w:w="5221" w:type="dxa"/>
            <w:tcBorders/>
            <w:vAlign w:val="center"/>
          </w:tcPr>
          <w:p>
            <w:pPr>
              <w:pStyle w:val="TableContents"/>
              <w:bidi w:val="0"/>
              <w:spacing w:before="0" w:after="0"/>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92" w:type="dxa"/>
            <w:tcBorders/>
            <w:vAlign w:val="center"/>
          </w:tcPr>
          <w:p>
            <w:pPr>
              <w:pStyle w:val="TableContents"/>
              <w:bidi w:val="0"/>
              <w:spacing w:before="0" w:after="0"/>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r>
      <w:tr>
        <w:trPr/>
        <w:tc>
          <w:tcPr>
            <w:tcW w:w="986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4645" w:type="dxa"/>
            <w:gridSpan w:val="11"/>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33.6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120.6</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24.1</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29.0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84.5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9.5</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30.3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36.1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6.2</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19.1</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3.3</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17.0</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19.5</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4.7</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3.5</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14.8</w:t>
            </w:r>
          </w:p>
        </w:tc>
      </w:tr>
      <w:tr>
        <w:trPr/>
        <w:tc>
          <w:tcPr>
            <w:tcW w:w="522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.28</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1.20</w:t>
            </w:r>
          </w:p>
        </w:tc>
      </w:tr>
      <w:tr>
        <w:trPr/>
        <w:tc>
          <w:tcPr>
            <w:tcW w:w="5221"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6750" w:right="0" w:hanging="0"/>
        <w:jc w:val="right"/>
        <w:rPr/>
      </w:pPr>
      <w:bookmarkStart w:id="38" w:name="cix-20251105xex99d2.htm"/>
      <w:bookmarkStart w:id="39" w:name="kscix20251105xex99d2"/>
      <w:bookmarkEnd w:id="38"/>
      <w:bookmarkEnd w:id="3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November 5, 2025 . . . CompX International Inc. (NYSE American:  CIX) announced today that its board of directors has declared CompX’s regular quarterly dividend of thirty cents ($0.30) per share on its class A common stock, payable on December 9, 2025 to stockholders of record at the close of business on November 21,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1760</Words>
  <Characters>9624</Characters>
  <CharactersWithSpaces>11553</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