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ix-20230930x10q.htm"/>
        <w:bookmarkStart w:id="1" w:name="kscix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cb747e48_5251_4c47_a7dd_37b31cf2a155"/>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Washington, D.C. 20549</w:t>
      </w:r>
    </w:p>
    <w:p>
      <w:pPr>
        <w:pStyle w:val="TextBody"/>
        <w:bidi w:val="0"/>
        <w:spacing w:before="0" w:after="0"/>
        <w:ind w:left="0" w:right="0" w:hanging="0"/>
        <w:jc w:val="center"/>
        <w:rPr>
          <w:rFonts w:ascii="Times New Roman;Times;serif" w:hAnsi="Times New Roman;Times;serif"/>
          <w:b/>
          <w:sz w:val="32"/>
        </w:rPr>
      </w:pPr>
      <w:bookmarkStart w:id="3" w:name="_Hlk98314769"/>
      <w:bookmarkEnd w:id="3"/>
      <w:r>
        <w:rPr>
          <w:rFonts w:ascii="Times New Roman;Times;serif" w:hAnsi="Times New Roman;Times;serif"/>
          <w:b/>
          <w:sz w:val="32"/>
        </w:rPr>
        <w:t>FORM 10-Q</w:t>
      </w:r>
    </w:p>
    <w:p>
      <w:pPr>
        <w:pStyle w:val="TextBody"/>
        <w:bidi w:val="0"/>
        <w:spacing w:before="0" w:after="0"/>
        <w:ind w:left="0" w:right="0" w:hanging="0"/>
        <w:jc w:val="left"/>
        <w:rPr/>
      </w:pPr>
      <w:bookmarkStart w:id="4" w:name="Narr_QiRlybVf-kSB14m9K8zOBg"/>
      <w:bookmarkEnd w:id="4"/>
      <w:r>
        <w:rPr>
          <w:caps w:val="false"/>
          <w:smallCaps w:val="false"/>
        </w:rPr>
        <w:t>☒</w:t>
      </w:r>
      <w:r>
        <w:rPr>
          <w:rFonts w:ascii="Times New Roman;Times;serif" w:hAnsi="Times New Roman;Times;serif"/>
          <w:b/>
          <w:sz w:val="24"/>
        </w:rPr>
        <w:t>QUARTERLY REPORT PURSUANT TO SECTION 13 OR 15(d) OF</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For the quarter ended September 30, 2023</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caps w:val="false"/>
          <w:smallCaps w:val="false"/>
        </w:rPr>
        <w:t>☐</w:t>
      </w:r>
      <w:r>
        <w:rPr>
          <w:rFonts w:ascii="Times New Roman;Times;serif" w:hAnsi="Times New Roman;Times;serif"/>
          <w:b/>
          <w:sz w:val="24"/>
        </w:rPr>
        <w:t xml:space="preserve">TRANSITION REPORT PURSUANT TO SECTION 13 OR 15(d) OF </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THE SECURITIES EXCHANGE ACT OF 1934</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_________ to _________</w:t>
      </w:r>
    </w:p>
    <w:p>
      <w:pPr>
        <w:pStyle w:val="TextBody"/>
        <w:bidi w:val="0"/>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1-13905</w:t>
      </w:r>
    </w:p>
    <w:p>
      <w:pPr>
        <w:pStyle w:val="TextBody"/>
        <w:bidi w:val="0"/>
        <w:spacing w:before="0" w:after="80"/>
        <w:ind w:left="0" w:right="0" w:hanging="0"/>
        <w:jc w:val="center"/>
        <w:rPr>
          <w:rFonts w:ascii="Times New Roman;Times;serif" w:hAnsi="Times New Roman;Times;serif"/>
          <w:sz w:val="40"/>
        </w:rPr>
      </w:pPr>
      <w:bookmarkStart w:id="5" w:name="_Hlk98314836"/>
      <w:bookmarkEnd w:id="5"/>
      <w:r>
        <w:rPr>
          <w:rFonts w:ascii="Times New Roman;Times;serif" w:hAnsi="Times New Roman;Times;serif"/>
          <w:b/>
          <w:sz w:val="40"/>
        </w:rPr>
        <w:t>COMPX INTERNATIONAL INC.</w:t>
      </w:r>
      <w:r>
        <w:rPr>
          <w:rFonts w:ascii="Times New Roman;Times;serif" w:hAnsi="Times New Roman;Times;serif"/>
          <w:sz w:val="40"/>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 w:name="Tc_pW_BqiZWVUWOqaNTOvC5ww_2_2"/>
      <w:bookmarkStart w:id="7" w:name="Tc_l9fbjzcGmkOQJspMhsdSVw_2_0"/>
      <w:bookmarkStart w:id="8" w:name="_a40d4d57_0eb2_4f36_a2f1_bba16ad752a1"/>
      <w:bookmarkStart w:id="9" w:name="Tc_pW_BqiZWVUWOqaNTOvC5ww_2_2"/>
      <w:bookmarkStart w:id="10" w:name="Tc_l9fbjzcGmkOQJspMhsdSVw_2_0"/>
      <w:bookmarkStart w:id="11" w:name="_a40d4d57_0eb2_4f36_a2f1_bba16ad752a1"/>
      <w:bookmarkEnd w:id="9"/>
      <w:bookmarkEnd w:id="10"/>
      <w:bookmarkEnd w:id="11"/>
    </w:p>
    <w:tbl>
      <w:tblPr>
        <w:tblW w:w="4753" w:type="dxa"/>
        <w:jc w:val="left"/>
        <w:tblInd w:w="0" w:type="dxa"/>
        <w:tblLayout w:type="fixed"/>
        <w:tblCellMar>
          <w:top w:w="0" w:type="dxa"/>
          <w:left w:w="0" w:type="dxa"/>
          <w:bottom w:w="0" w:type="dxa"/>
          <w:right w:w="0" w:type="dxa"/>
        </w:tblCellMar>
      </w:tblPr>
      <w:tblGrid>
        <w:gridCol w:w="2746"/>
        <w:gridCol w:w="326"/>
        <w:gridCol w:w="1681"/>
      </w:tblGrid>
      <w:tr>
        <w:trPr/>
        <w:tc>
          <w:tcPr>
            <w:tcW w:w="27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326" w:type="dxa"/>
            <w:tcBorders/>
            <w:vAlign w:val="center"/>
          </w:tcPr>
          <w:p>
            <w:pPr>
              <w:pStyle w:val="TableContents"/>
              <w:bidi w:val="0"/>
              <w:spacing w:before="0" w:after="0"/>
              <w:ind w:left="0" w:right="0" w:hanging="0"/>
              <w:jc w:val="left"/>
              <w:rPr/>
            </w:pPr>
            <w:r>
              <w:rPr/>
              <w:t>    </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57-0981653</w:t>
            </w:r>
          </w:p>
        </w:tc>
      </w:tr>
      <w:tr>
        <w:trPr/>
        <w:tc>
          <w:tcPr>
            <w:tcW w:w="27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br/>
              <w:t>incorporation or organization)</w:t>
            </w:r>
          </w:p>
        </w:tc>
        <w:tc>
          <w:tcPr>
            <w:tcW w:w="326" w:type="dxa"/>
            <w:tcBorders/>
            <w:vAlign w:val="center"/>
          </w:tcPr>
          <w:p>
            <w:pPr>
              <w:pStyle w:val="TableContents"/>
              <w:bidi w:val="0"/>
              <w:spacing w:before="0" w:after="240"/>
              <w:ind w:left="0" w:right="0" w:hanging="0"/>
              <w:jc w:val="left"/>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100" w:after="0"/>
        <w:ind w:left="0" w:right="0" w:hanging="0"/>
        <w:jc w:val="center"/>
        <w:rPr>
          <w:rFonts w:ascii="Times New Roman;Times;serif" w:hAnsi="Times New Roman;Times;serif"/>
          <w:b/>
          <w:sz w:val="20"/>
        </w:rPr>
      </w:pPr>
      <w:r>
        <w:rPr>
          <w:rFonts w:ascii="Times New Roman;Times;serif" w:hAnsi="Times New Roman;Times;serif"/>
          <w:b/>
          <w:sz w:val="20"/>
        </w:rPr>
        <w:t>5430 LBJ Freeway, Suite 1700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Dallas, Texas</w:t>
      </w:r>
      <w:r>
        <w:rPr>
          <w:rFonts w:ascii="Times New Roman;Times;serif" w:hAnsi="Times New Roman;Times;serif"/>
          <w:sz w:val="20"/>
        </w:rPr>
        <w:t xml:space="preserve"> </w:t>
      </w:r>
      <w:r>
        <w:rPr>
          <w:rFonts w:ascii="Times New Roman;Times;serif" w:hAnsi="Times New Roman;Times;serif"/>
          <w:b/>
          <w:sz w:val="20"/>
        </w:rPr>
        <w:t>75240-2620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(972) 448-1400</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 w:name="Tc_-gIdcWQU2Em_Xy5O_pLZsw_1_4"/>
      <w:bookmarkStart w:id="13" w:name="Tc_Na3Q3JErVk6vI_PRXcVgeg_1_2"/>
      <w:bookmarkStart w:id="14" w:name="Tc_EF0eXd2aJUW3dJyOPVtplw_1_0"/>
      <w:bookmarkStart w:id="15" w:name="_ddacf02a_c048_46db_91e7_8b7b902951e5"/>
      <w:bookmarkStart w:id="16" w:name="Tc_-gIdcWQU2Em_Xy5O_pLZsw_1_4"/>
      <w:bookmarkStart w:id="17" w:name="Tc_Na3Q3JErVk6vI_PRXcVgeg_1_2"/>
      <w:bookmarkStart w:id="18" w:name="Tc_EF0eXd2aJUW3dJyOPVtplw_1_0"/>
      <w:bookmarkStart w:id="19" w:name="_ddacf02a_c048_46db_91e7_8b7b902951e5"/>
      <w:bookmarkEnd w:id="16"/>
      <w:bookmarkEnd w:id="17"/>
      <w:bookmarkEnd w:id="18"/>
      <w:bookmarkEnd w:id="19"/>
    </w:p>
    <w:tbl>
      <w:tblPr>
        <w:tblW w:w="7465" w:type="dxa"/>
        <w:jc w:val="left"/>
        <w:tblInd w:w="0" w:type="dxa"/>
        <w:tblLayout w:type="fixed"/>
        <w:tblCellMar>
          <w:top w:w="0" w:type="dxa"/>
          <w:left w:w="0" w:type="dxa"/>
          <w:bottom w:w="0" w:type="dxa"/>
          <w:right w:w="0" w:type="dxa"/>
        </w:tblCellMar>
      </w:tblPr>
      <w:tblGrid>
        <w:gridCol w:w="1771"/>
        <w:gridCol w:w="326"/>
        <w:gridCol w:w="1561"/>
        <w:gridCol w:w="326"/>
        <w:gridCol w:w="348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17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w:t>
            </w:r>
          </w:p>
        </w:tc>
        <w:tc>
          <w:tcPr>
            <w:tcW w:w="326" w:type="dxa"/>
            <w:tcBorders/>
            <w:vAlign w:val="center"/>
          </w:tcPr>
          <w:p>
            <w:pPr>
              <w:pStyle w:val="TableContents"/>
              <w:bidi w:val="0"/>
              <w:spacing w:before="0" w:after="240"/>
              <w:ind w:left="0" w:right="0" w:hanging="0"/>
              <w:jc w:val="left"/>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CIX</w:t>
            </w:r>
          </w:p>
        </w:tc>
        <w:tc>
          <w:tcPr>
            <w:tcW w:w="326" w:type="dxa"/>
            <w:tcBorders/>
            <w:vAlign w:val="center"/>
          </w:tcPr>
          <w:p>
            <w:pPr>
              <w:pStyle w:val="TableContents"/>
              <w:bidi w:val="0"/>
              <w:spacing w:before="0" w:after="240"/>
              <w:ind w:left="0" w:right="0" w:hanging="0"/>
              <w:jc w:val="left"/>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NYSE American</w:t>
            </w:r>
          </w:p>
        </w:tc>
      </w:tr>
    </w:tbl>
    <w:p>
      <w:pPr>
        <w:pStyle w:val="TextBody"/>
        <w:bidi w:val="0"/>
        <w:spacing w:before="0" w:after="0"/>
        <w:ind w:left="0" w:right="0" w:hanging="0"/>
        <w:jc w:val="left"/>
        <w:rPr/>
      </w:pPr>
      <w:r>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(1) has filed all reports required to be filed by Section 13 or 15(d) of the Securities Exchange Act of 1934 during the preceding 12 months and (2) has been subject to such filing requirements for the past 90 days.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b/>
          <w:sz w:val="20"/>
        </w:rPr>
        <w:t>No  </w:t>
      </w:r>
      <w:r>
        <w:rPr>
          <w:rFonts w:ascii="Times New Roman;Times;serif" w:hAnsi="Times New Roman;Times;serif"/>
          <w:sz w:val="20"/>
        </w:rPr>
        <w:t>☐</w:t>
      </w:r>
    </w:p>
    <w:p>
      <w:pPr>
        <w:pStyle w:val="TextBody"/>
        <w:bidi w:val="0"/>
        <w:spacing w:before="0" w:after="80"/>
        <w:ind w:left="0" w:right="0" w:hanging="0"/>
        <w:jc w:val="both"/>
        <w:rPr>
          <w:rFonts w:ascii="Times New Roman;Times;serif" w:hAnsi="Times New Roman;Times;serif"/>
          <w:b/>
          <w:sz w:val="20"/>
        </w:rPr>
      </w:pPr>
      <w:r>
        <w:rPr>
          <w:rFonts w:ascii="Times New Roman;Times;serif" w:hAnsi="Times New Roman;Times;serif"/>
          <w:b/>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0" w:name="Tc_s0z2vwgLekajWNSVTZZINQ_3_0"/>
      <w:bookmarkStart w:id="21" w:name="Tc_M1mgbQHP-k61X7MB6121Bg_2_2"/>
      <w:bookmarkStart w:id="22" w:name="Tc_IqWRjU0Zwk6VuShSP2r5Dg_2_1"/>
      <w:bookmarkStart w:id="23" w:name="Tc_9UfjrCXKlEiXSi8bKGp1lA_2_0"/>
      <w:bookmarkStart w:id="24" w:name="Tc_dUoi1abvCUSE0LEW8fOs5g_1_3"/>
      <w:bookmarkStart w:id="25" w:name="Tc_vqpR4cumCkGXuy_vIvPgnA_1_2"/>
      <w:bookmarkStart w:id="26" w:name="Tc_e6GXT7JZOUG20mcvJosDhQ_1_1"/>
      <w:bookmarkStart w:id="27" w:name="Tc_zEyxIMl0RUqhOJEdQyOdjg_1_0"/>
      <w:bookmarkStart w:id="28" w:name="_7b004ce5_21ad_4ec9_aae1_43d24f130c2c"/>
      <w:bookmarkStart w:id="29" w:name="Tc_s0z2vwgLekajWNSVTZZINQ_3_0"/>
      <w:bookmarkStart w:id="30" w:name="Tc_M1mgbQHP-k61X7MB6121Bg_2_2"/>
      <w:bookmarkStart w:id="31" w:name="Tc_IqWRjU0Zwk6VuShSP2r5Dg_2_1"/>
      <w:bookmarkStart w:id="32" w:name="Tc_9UfjrCXKlEiXSi8bKGp1lA_2_0"/>
      <w:bookmarkStart w:id="33" w:name="Tc_dUoi1abvCUSE0LEW8fOs5g_1_3"/>
      <w:bookmarkStart w:id="34" w:name="Tc_vqpR4cumCkGXuy_vIvPgnA_1_2"/>
      <w:bookmarkStart w:id="35" w:name="Tc_e6GXT7JZOUG20mcvJosDhQ_1_1"/>
      <w:bookmarkStart w:id="36" w:name="Tc_zEyxIMl0RUqhOJEdQyOdjg_1_0"/>
      <w:bookmarkStart w:id="37" w:name="_7b004ce5_21ad_4ec9_aae1_43d24f130c2c"/>
      <w:bookmarkEnd w:id="29"/>
      <w:bookmarkEnd w:id="30"/>
      <w:bookmarkEnd w:id="31"/>
      <w:bookmarkEnd w:id="32"/>
      <w:bookmarkEnd w:id="33"/>
      <w:bookmarkEnd w:id="34"/>
      <w:bookmarkEnd w:id="35"/>
      <w:bookmarkEnd w:id="36"/>
      <w:bookmarkEnd w:id="37"/>
    </w:p>
    <w:tbl>
      <w:tblPr>
        <w:tblW w:w="5839" w:type="dxa"/>
        <w:jc w:val="left"/>
        <w:tblInd w:w="0" w:type="dxa"/>
        <w:tblLayout w:type="fixed"/>
        <w:tblCellMar>
          <w:top w:w="0" w:type="dxa"/>
          <w:left w:w="0" w:type="dxa"/>
          <w:bottom w:w="0" w:type="dxa"/>
          <w:right w:w="0" w:type="dxa"/>
        </w:tblCellMar>
      </w:tblPr>
      <w:tblGrid>
        <w:gridCol w:w="2536"/>
        <w:gridCol w:w="316"/>
        <w:gridCol w:w="2626"/>
        <w:gridCol w:w="361"/>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10360" cy="175260"/>
                      <wp:effectExtent l="0" t="0" r="0" b="0"/>
                      <wp:wrapNone/>
                      <wp:docPr id="1" name="Frame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0660" cy="175260"/>
                      <wp:effectExtent l="0" t="0" r="0" b="0"/>
                      <wp:wrapNone/>
                      <wp:docPr id="2" name="Frame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67510" cy="175260"/>
                      <wp:effectExtent l="0" t="0" r="0" b="0"/>
                      <wp:wrapNone/>
                      <wp:docPr id="3" name="Frame3"/>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175260"/>
                      <wp:effectExtent l="0" t="0" r="0" b="0"/>
                      <wp:wrapNone/>
                      <wp:docPr id="4" name="Frame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Large accelerated filer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Accelerated filer</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Non-accelerated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0"/>
              <w:ind w:left="0" w:right="0" w:hanging="0"/>
              <w:jc w:val="right"/>
              <w:rPr/>
            </w:pPr>
            <w:r>
              <w:rPr/>
              <w:t>  </w:t>
            </w:r>
            <w:r>
              <w:rPr>
                <w:rFonts w:ascii="Times New Roman;Times;serif" w:hAnsi="Times New Roman;Times;serif"/>
                <w:b/>
                <w:sz w:val="20"/>
              </w:rPr>
              <w:t xml:space="preserve">Smaller reporting company </w:t>
            </w:r>
          </w:p>
        </w:tc>
        <w:tc>
          <w:tcPr>
            <w:tcW w:w="361" w:type="dxa"/>
            <w:tcBorders/>
            <w:vAlign w:val="center"/>
          </w:tcPr>
          <w:p>
            <w:pPr>
              <w:pStyle w:val="TableContents"/>
              <w:bidi w:val="0"/>
              <w:spacing w:before="0" w:after="0"/>
              <w:ind w:left="0" w:right="0" w:hanging="0"/>
              <w:jc w:val="right"/>
              <w:rPr/>
            </w:pPr>
            <w:r>
              <w:rPr/>
              <w:t>☐</w:t>
            </w:r>
          </w:p>
        </w:tc>
      </w:tr>
      <w:tr>
        <w:trPr/>
        <w:tc>
          <w:tcPr>
            <w:tcW w:w="25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Emerging growth company  </w:t>
            </w:r>
          </w:p>
        </w:tc>
        <w:tc>
          <w:tcPr>
            <w:tcW w:w="316" w:type="dxa"/>
            <w:tcBorders/>
            <w:vAlign w:val="center"/>
          </w:tcPr>
          <w:p>
            <w:pPr>
              <w:pStyle w:val="TableContents"/>
              <w:bidi w:val="0"/>
              <w:spacing w:before="0" w:after="0"/>
              <w:ind w:left="0" w:right="0" w:hanging="0"/>
              <w:jc w:val="both"/>
              <w:rPr/>
            </w:pPr>
            <w:r>
              <w:rPr/>
              <w:t>☐</w:t>
            </w:r>
          </w:p>
        </w:tc>
        <w:tc>
          <w:tcPr>
            <w:tcW w:w="2626" w:type="dxa"/>
            <w:tcBorders/>
            <w:vAlign w:val="center"/>
          </w:tcPr>
          <w:p>
            <w:pPr>
              <w:pStyle w:val="TableContents"/>
              <w:bidi w:val="0"/>
              <w:spacing w:before="0" w:after="240"/>
              <w:ind w:left="0" w:right="0" w:hanging="0"/>
              <w:jc w:val="right"/>
              <w:rPr/>
            </w:pPr>
            <w:r>
              <w:rPr/>
              <w:t>​</w:t>
            </w:r>
          </w:p>
        </w:tc>
        <w:tc>
          <w:tcPr>
            <w:tcW w:w="361" w:type="dxa"/>
            <w:tcBorders/>
            <w:vAlign w:val="center"/>
          </w:tcPr>
          <w:p>
            <w:pPr>
              <w:pStyle w:val="TableContents"/>
              <w:bidi w:val="0"/>
              <w:spacing w:before="0" w:after="240"/>
              <w:ind w:left="0" w:right="0" w:hanging="0"/>
              <w:jc w:val="right"/>
              <w:rPr/>
            </w:pPr>
            <w:r>
              <w:rPr/>
              <w:t>​</w:t>
            </w:r>
          </w:p>
        </w:tc>
      </w:tr>
    </w:tbl>
    <w:p>
      <w:pPr>
        <w:pStyle w:val="TextBody"/>
        <w:bidi w:val="0"/>
        <w:spacing w:before="0" w:after="240"/>
        <w:ind w:left="0" w:right="0" w:hanging="0"/>
        <w:jc w:val="both"/>
        <w:rPr/>
      </w:pPr>
      <w:r>
        <w:rPr/>
        <w:t>​</w:t>
      </w:r>
    </w:p>
    <w:p>
      <w:pPr>
        <w:pStyle w:val="TextBody"/>
        <w:bidi w:val="0"/>
        <w:spacing w:before="0" w:after="140"/>
        <w:ind w:left="0" w:right="0" w:hanging="0"/>
        <w:jc w:val="both"/>
        <w:rPr>
          <w:rFonts w:ascii="Times New Roman;Times;serif" w:hAnsi="Times New Roman;Times;serif"/>
          <w:sz w:val="18"/>
        </w:rPr>
      </w:pPr>
      <w:r>
        <w:rPr>
          <w:rFonts w:ascii="Times New Roman;Times;serif" w:hAnsi="Times New Roman;Times;serif"/>
          <w:b/>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8"/>
        </w:rPr>
        <w:t>☐</w:t>
      </w:r>
    </w:p>
    <w:p>
      <w:pPr>
        <w:pStyle w:val="TextBody"/>
        <w:bidi w:val="0"/>
        <w:spacing w:before="0" w:after="140"/>
        <w:ind w:left="0" w:right="0" w:hanging="0"/>
        <w:jc w:val="both"/>
        <w:rPr>
          <w:rFonts w:ascii="Times New Roman;Times;serif" w:hAnsi="Times New Roman;Times;serif"/>
          <w:sz w:val="20"/>
        </w:rPr>
      </w:pPr>
      <w:r>
        <w:rPr>
          <w:rFonts w:ascii="Times New Roman;Times;serif" w:hAnsi="Times New Roman;Times;serif"/>
          <w:b/>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b/>
          <w:sz w:val="18"/>
        </w:rPr>
        <w:t>No  </w:t>
      </w:r>
      <w:r>
        <w:rPr>
          <w:rFonts w:ascii="Times New Roman;Times;serif" w:hAnsi="Times New Roman;Times;serif"/>
          <w:sz w:val="20"/>
        </w:rPr>
        <w:t>☒</w:t>
      </w:r>
      <w:r>
        <w:rPr>
          <w:rFonts w:ascii="Times New Roman;Times;serif" w:hAnsi="Times New Roman;Times;serif"/>
          <w:b/>
          <w:sz w:val="18"/>
        </w:rPr>
        <w:t>.</w:t>
      </w:r>
    </w:p>
    <w:p>
      <w:pPr>
        <w:pStyle w:val="TextBody"/>
        <w:bidi w:val="0"/>
        <w:spacing w:before="0" w:after="80"/>
        <w:ind w:left="0" w:right="0" w:hanging="0"/>
        <w:jc w:val="both"/>
        <w:rPr>
          <w:rFonts w:ascii="Times New Roman;Times;serif" w:hAnsi="Times New Roman;Times;serif"/>
          <w:sz w:val="18"/>
        </w:rPr>
      </w:pPr>
      <w:r>
        <w:rPr>
          <w:rFonts w:ascii="Times New Roman;Times;serif" w:hAnsi="Times New Roman;Times;serif"/>
          <w:b/>
          <w:sz w:val="18"/>
        </w:rPr>
        <w:t>As of October 26, 2023, the registrant had 12,313,757</w:t>
      </w:r>
      <w:r>
        <w:rPr>
          <w:rFonts w:ascii="Times New Roman;Times;serif" w:hAnsi="Times New Roman;Times;serif"/>
          <w:sz w:val="18"/>
        </w:rPr>
        <w:t xml:space="preserve"> </w:t>
      </w:r>
      <w:r>
        <w:rPr>
          <w:rFonts w:ascii="Times New Roman;Times;serif" w:hAnsi="Times New Roman;Times;serif"/>
          <w:b/>
          <w:sz w:val="18"/>
        </w:rPr>
        <w:t>shares of Class A common stock, $.01 par value per share,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8" w:name="_db94c530_a834_4335_96b8_4930677b7c35"/>
      <w:bookmarkEnd w:id="38"/>
      <w:r>
        <w:rPr>
          <w:rFonts w:ascii="Times New Roman;Times;serif" w:hAnsi="Times New Roman;Times;serif"/>
          <w:b/>
          <w:sz w:val="20"/>
        </w:rPr>
        <w:t>COMPX INTERNATIONAL INC.</w:t>
      </w:r>
    </w:p>
    <w:p>
      <w:pPr>
        <w:pStyle w:val="TextBody"/>
        <w:bidi w:val="0"/>
        <w:spacing w:before="0" w:after="0"/>
        <w:ind w:left="0" w:right="0" w:hanging="0"/>
        <w:jc w:val="center"/>
        <w:rPr>
          <w:rFonts w:ascii="Times New Roman;Times;serif" w:hAnsi="Times New Roman;Times;serif"/>
          <w:b/>
          <w:sz w:val="20"/>
        </w:rPr>
      </w:pPr>
      <w:bookmarkStart w:id="39" w:name="TOC"/>
      <w:bookmarkEnd w:id="39"/>
      <w:r>
        <w:rPr>
          <w:rFonts w:ascii="Times New Roman;Times;serif" w:hAnsi="Times New Roman;Times;serif"/>
          <w:b/>
          <w:sz w:val="20"/>
        </w:rPr>
        <w:t>Index</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11"/>
        <w:gridCol w:w="326"/>
        <w:gridCol w:w="8519"/>
        <w:gridCol w:w="549"/>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14985" cy="175260"/>
                      <wp:effectExtent l="0" t="0" r="0" b="0"/>
                      <wp:wrapNone/>
                      <wp:docPr id="5" name="Frame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409565" cy="175260"/>
                      <wp:effectExtent l="0" t="0" r="0" b="0"/>
                      <wp:wrapNone/>
                      <wp:docPr id="7" name="Frame7"/>
                      <a:graphic xmlns:a="http://schemas.openxmlformats.org/drawingml/2006/main">
                        <a:graphicData uri="http://schemas.microsoft.com/office/word/2010/wordprocessingShape">
                          <wps:wsp>
                            <wps:cNvSpPr txBox="1"/>
                            <wps:spPr>
                              <a:xfrm>
                                <a:off x="0" y="0"/>
                                <a:ext cx="5409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48615" cy="175260"/>
                      <wp:effectExtent l="0" t="0" r="0" b="0"/>
                      <wp:wrapNone/>
                      <wp:docPr id="8" name="Frame8"/>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19" w:type="dxa"/>
            <w:tcBorders/>
            <w:vAlign w:val="center"/>
          </w:tcPr>
          <w:p>
            <w:pPr>
              <w:pStyle w:val="TableContents"/>
              <w:bidi w:val="0"/>
              <w:spacing w:before="0" w:after="0"/>
              <w:ind w:left="0" w:right="0" w:hanging="0"/>
              <w:jc w:val="left"/>
              <w:rPr/>
            </w:pPr>
            <w:r>
              <w:rPr/>
              <w:t>​</w:t>
            </w:r>
          </w:p>
        </w:tc>
        <w:tc>
          <w:tcPr>
            <w:tcW w:w="5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11"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54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CONDENSEDCONSOLIDATEDBALANCESHEETS_68281">
              <w:r>
                <w:rPr>
                  <w:rStyle w:val="InternetLink"/>
                  <w:rFonts w:ascii="Times New Roman;Times;serif" w:hAnsi="Times New Roman;Times;serif"/>
                  <w:b w:val="false"/>
                  <w:i w:val="false"/>
                  <w:caps w:val="false"/>
                  <w:smallCaps w:val="false"/>
                  <w:sz w:val="20"/>
                </w:rPr>
                <w:t>Condensed Consolidated Balance Sheets – December 31, 2022 and September 30, 2023 (unaudited)</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- 3 -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CONDENSEDCONSOLIDATEDSTATEMENTSOFINCOME_">
              <w:r>
                <w:rPr>
                  <w:rStyle w:val="InternetLink"/>
                  <w:rFonts w:ascii="Times New Roman;Times;serif" w:hAnsi="Times New Roman;Times;serif"/>
                  <w:b w:val="false"/>
                  <w:i w:val="false"/>
                  <w:caps w:val="false"/>
                  <w:smallCaps w:val="false"/>
                  <w:sz w:val="20"/>
                </w:rPr>
                <w:t xml:space="preserve">Condensed Consolidated Statements of Income and Comprehensive Income (unaudited) – Three and nine months ended September 30, 2022 and 2023 </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- 4 -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(unaudited) – Three and nine months ended September 30, 2022 and 2023</w:t>
              </w:r>
            </w:hyperlink>
            <w:r>
              <w:rPr>
                <w:rFonts w:ascii="Times New Roman;Times;serif" w:hAnsi="Times New Roman;Times;serif"/>
                <w:sz w:val="20"/>
              </w:rPr>
              <w:t xml:space="preserve"> </w:t>
            </w:r>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- 5 -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 xml:space="preserve">Condensed Consolidated Statements of Cash Flows (unaudited) – Nine months ended September 30, 2022 and 2023 </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- 6 -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2MANAGEMENTSDISCUSSIONANDANALYSIS_6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- 11 -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3QUANTITATIVEANDQUALITATIVE_461712">
              <w:r>
                <w:rPr>
                  <w:rStyle w:val="InternetLink"/>
                  <w:rFonts w:ascii="Times New Roman;Times;serif" w:hAnsi="Times New Roman;Times;serif"/>
                  <w:b w:val="false"/>
                  <w:i w:val="false"/>
                  <w:caps w:val="false"/>
                  <w:smallCaps w:val="false"/>
                  <w:sz w:val="20"/>
                </w:rPr>
                <w:t>Quantitative and Qualitative Disclosure About Market Risk</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4CONTROLSANDPROCEDURES_115866">
              <w:r>
                <w:rPr>
                  <w:rStyle w:val="InternetLink"/>
                  <w:rFonts w:ascii="Times New Roman;Times;serif" w:hAnsi="Times New Roman;Times;serif"/>
                  <w:b w:val="false"/>
                  <w:i w:val="false"/>
                  <w:caps w:val="false"/>
                  <w:smallCaps w:val="false"/>
                  <w:sz w:val="20"/>
                </w:rPr>
                <w:t>Controls and Procedures</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- 17 -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PartIIOTHERINFORMATION_828529">
              <w:r>
                <w:rPr>
                  <w:rStyle w:val="InternetLink"/>
                  <w:rFonts w:ascii="Times New Roman;Times;serif" w:hAnsi="Times New Roman;Times;serif"/>
                  <w:b/>
                  <w:i w:val="false"/>
                  <w:caps w:val="false"/>
                  <w:smallCaps w:val="false"/>
                  <w:sz w:val="20"/>
                </w:rPr>
                <w:t>OTHER INFORMATION</w:t>
              </w:r>
            </w:hyperlink>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1ARiskFactors_841388">
              <w:r>
                <w:rPr>
                  <w:rStyle w:val="InternetLink"/>
                  <w:rFonts w:ascii="Times New Roman;Times;serif" w:hAnsi="Times New Roman;Times;serif"/>
                  <w:b w:val="false"/>
                  <w:i w:val="false"/>
                  <w:caps w:val="false"/>
                  <w:smallCaps w:val="false"/>
                  <w:sz w:val="20"/>
                </w:rPr>
                <w:t>Risk Factors</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r>
        <w:trPr/>
        <w:tc>
          <w:tcPr>
            <w:tcW w:w="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8519" w:type="dxa"/>
            <w:tcBorders/>
            <w:vAlign w:val="center"/>
          </w:tcPr>
          <w:p>
            <w:pPr>
              <w:pStyle w:val="TableContents"/>
              <w:pBdr/>
              <w:bidi w:val="0"/>
              <w:spacing w:before="0" w:after="0"/>
              <w:ind w:left="0" w:right="0" w:hanging="0"/>
              <w:jc w:val="left"/>
              <w:rPr/>
            </w:pPr>
            <w:hyperlink w:anchor="ITEM6Exhibits_812943">
              <w:r>
                <w:rPr>
                  <w:rStyle w:val="InternetLink"/>
                  <w:rFonts w:ascii="Times New Roman;Times;serif" w:hAnsi="Times New Roman;Times;serif"/>
                  <w:b w:val="false"/>
                  <w:i w:val="false"/>
                  <w:caps w:val="false"/>
                  <w:smallCaps w:val="false"/>
                  <w:sz w:val="20"/>
                </w:rPr>
                <w:t>Exhibits</w:t>
              </w:r>
            </w:hyperlink>
          </w:p>
        </w:tc>
        <w:tc>
          <w:tcPr>
            <w:tcW w:w="5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- 18 -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Items 2, 3, 4 and 5 of Part II are omitted because there is no information to report.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40" w:name="_724a0fcf_a753_421c_a305_7cc590436762"/>
      <w:bookmarkEnd w:id="40"/>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41" w:name="CONDENSEDCONSOLIDATEDBALANCESHEETS_68281"/>
      <w:bookmarkEnd w:id="41"/>
      <w:r>
        <w:rPr>
          <w:rFonts w:ascii="Times New Roman;Times;serif" w:hAnsi="Times New Roman;Times;serif"/>
          <w:b/>
          <w:sz w:val="20"/>
        </w:rPr>
        <w:t>CONDENSED CONSOLIDATED BALANCE SHEETS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42" w:name="Tc_cyqr8QexoEqjOBTlyTfdHA_46_5"/>
      <w:bookmarkStart w:id="43" w:name="Tc_naqEktM5IUiJvqXsxg0YoA_46_2"/>
      <w:bookmarkStart w:id="44" w:name="Tc_eZJHEi3dUUCVrvoOL1IU5A_46_0"/>
      <w:bookmarkStart w:id="45" w:name="Tc_ivQGFjexSEOKpofC-ZC9gg_45_0"/>
      <w:bookmarkStart w:id="46" w:name="Tc_opKYLa75u0WbLgGDuffgQA_44_0"/>
      <w:bookmarkStart w:id="47" w:name="Tc_NFlNEyYHXUq3KGsuZv2sUA_43_0"/>
      <w:bookmarkStart w:id="48" w:name="Tc_a6FB2wHBt06099gjPgImmg_42_0"/>
      <w:bookmarkStart w:id="49" w:name="Tc_IKuuh05XUEmfnzBXuWjfTQ_41_0"/>
      <w:bookmarkStart w:id="50" w:name="Tc_7UTd9aRI6EKVDPqMJIDd-w_40_0"/>
      <w:bookmarkStart w:id="51" w:name="Tc_FOqH_MwjlUKeTmsq80hpRg_39_0"/>
      <w:bookmarkStart w:id="52" w:name="Tc_dWrnJ__tokCiRx8Uwhql9Q_37_0"/>
      <w:bookmarkStart w:id="53" w:name="Tc_-ZvtAWnDUEaafxS7hNOE7g_36_0"/>
      <w:bookmarkStart w:id="54" w:name="Tc__W2qVbBLMUqajRH3LIKX6w_35_0"/>
      <w:bookmarkStart w:id="55" w:name="Tc_bQKBg02eFkOIwHUimQRxSw_34_0"/>
      <w:bookmarkStart w:id="56" w:name="Tc_Cze8Os7kO0W8C1UT0jLdeQ_32_0"/>
      <w:bookmarkStart w:id="57" w:name="Tc_W119ivIgikqyOJMAwMehAw_31_0"/>
      <w:bookmarkStart w:id="58" w:name="Tc_r6mValyuLUqTfQyn94UubQ_30_5"/>
      <w:bookmarkStart w:id="59" w:name="Tc_R8Rk5ZOifUOceYuIsAOv7g_30_2"/>
      <w:bookmarkStart w:id="60" w:name="Tc_9qITB_a-6UGJ9EsHBwGfew_30_0"/>
      <w:bookmarkStart w:id="61" w:name="Tc_dsFPjvNYdkO9QgGGz8QR5Q_29_0"/>
      <w:bookmarkStart w:id="62" w:name="Tc_wYyY39KLgkuNUsZltH1uuw_28_0"/>
      <w:bookmarkStart w:id="63" w:name="Tc_63Atw0Id-EOq1kB5HrHddg_26_5"/>
      <w:bookmarkStart w:id="64" w:name="Tc_exdgg_RHI0SiHoTWwspQNg_26_2"/>
      <w:bookmarkStart w:id="65" w:name="Tc_FoZAHbjePEek3WDeP68rVw_26_0"/>
      <w:bookmarkStart w:id="66" w:name="Tc_F9zRalzn30COtP20EooCvA_25_0"/>
      <w:bookmarkStart w:id="67" w:name="Tc_RtT9fVduckal0r214I9pyg_24_0"/>
      <w:bookmarkStart w:id="68" w:name="Tc_UBYjBteyw0-nCedzTLQZnQ_22_0"/>
      <w:bookmarkStart w:id="69" w:name="Tc_SDDt6E8kBESuwdG18Q9GNg_21_0"/>
      <w:bookmarkStart w:id="70" w:name="Tc_skgGQBRpjEG-OjCaQI1XEw_20_0"/>
      <w:bookmarkStart w:id="71" w:name="Tc_h78hMyWsr0GcpnNvqCqvIw_19_0"/>
      <w:bookmarkStart w:id="72" w:name="Tc_x0ZNLtXwlkqeGOMbTGIhPw_18_0"/>
      <w:bookmarkStart w:id="73" w:name="Tc_6-0oPmSzHkKa1mJQ1Zquvg_16_0"/>
      <w:bookmarkStart w:id="74" w:name="Tc_ha9DiZn2rEO6-t_GR3jT0A_15_0"/>
      <w:bookmarkStart w:id="75" w:name="Tc_x87LxbzVvkS-2583yA-nsA_14_0"/>
      <w:bookmarkStart w:id="76" w:name="Tc_NcpTT0HPakONZHmdeczGQQ_13_0"/>
      <w:bookmarkStart w:id="77" w:name="Tc_MlX-gmDCPEG-G6zMwjgUcw_12_0"/>
      <w:bookmarkStart w:id="78" w:name="Tc_iyRRkjMz2EOBZibH4IioAw_10_0"/>
      <w:bookmarkStart w:id="79" w:name="Tc_UODA7PW7rkqtmybVtcJleQ_9_0"/>
      <w:bookmarkStart w:id="80" w:name="Tc_-8EPIFYH1EOS87PDBbOvkg_8_0"/>
      <w:bookmarkStart w:id="81" w:name="Tc_6HVuAOzR_Um4GTt63zYLqQ_7_0"/>
      <w:bookmarkStart w:id="82" w:name="Tc_I2_oTJyA-UO_86nLPyOEzQ_6_0"/>
      <w:bookmarkStart w:id="83" w:name="Tc_Al76O5FKbUKw8nSwOyjPpA_5_5"/>
      <w:bookmarkStart w:id="84" w:name="Tc_iEdLVRZADE2XPwzM1-BVBA_5_2"/>
      <w:bookmarkStart w:id="85" w:name="Tc_AtAIEXLb00yoJlc5FxfujA_5_0"/>
      <w:bookmarkStart w:id="86" w:name="Tc_BJanHxJl_ESUpe-0brYeuA_4_0"/>
      <w:bookmarkStart w:id="87" w:name="Tc_p48ZBA8nxkmmdnL7S40u_A_3_5"/>
      <w:bookmarkStart w:id="88" w:name="Tc_Kpk3Pl-EYUGos1_wUzbnDg_2_5"/>
      <w:bookmarkStart w:id="89" w:name="Tc_gaBIvHT8fEqX0KerLfH5IQ_2_2"/>
      <w:bookmarkStart w:id="90" w:name="Tc_Z-r13RQkaUi1GsSF-nn7YA_2_0"/>
      <w:bookmarkStart w:id="91" w:name="Tc_ScXHbm-jk0KSBhiphXypWg_1_5"/>
      <w:bookmarkStart w:id="92" w:name="Tc_ddQK1tQsQESSI_GY28j5_A_1_2"/>
      <w:bookmarkStart w:id="93" w:name="_2c34fea5_ee40_4591_9eee_afce93baf5f9"/>
      <w:bookmarkStart w:id="94" w:name="Tc_cyqr8QexoEqjOBTlyTfdHA_46_5"/>
      <w:bookmarkStart w:id="95" w:name="Tc_naqEktM5IUiJvqXsxg0YoA_46_2"/>
      <w:bookmarkStart w:id="96" w:name="Tc_eZJHEi3dUUCVrvoOL1IU5A_46_0"/>
      <w:bookmarkStart w:id="97" w:name="Tc_ivQGFjexSEOKpofC-ZC9gg_45_0"/>
      <w:bookmarkStart w:id="98" w:name="Tc_opKYLa75u0WbLgGDuffgQA_44_0"/>
      <w:bookmarkStart w:id="99" w:name="Tc_NFlNEyYHXUq3KGsuZv2sUA_43_0"/>
      <w:bookmarkStart w:id="100" w:name="Tc_a6FB2wHBt06099gjPgImmg_42_0"/>
      <w:bookmarkStart w:id="101" w:name="Tc_IKuuh05XUEmfnzBXuWjfTQ_41_0"/>
      <w:bookmarkStart w:id="102" w:name="Tc_7UTd9aRI6EKVDPqMJIDd-w_40_0"/>
      <w:bookmarkStart w:id="103" w:name="Tc_FOqH_MwjlUKeTmsq80hpRg_39_0"/>
      <w:bookmarkStart w:id="104" w:name="Tc_dWrnJ__tokCiRx8Uwhql9Q_37_0"/>
      <w:bookmarkStart w:id="105" w:name="Tc_-ZvtAWnDUEaafxS7hNOE7g_36_0"/>
      <w:bookmarkStart w:id="106" w:name="Tc__W2qVbBLMUqajRH3LIKX6w_35_0"/>
      <w:bookmarkStart w:id="107" w:name="Tc_bQKBg02eFkOIwHUimQRxSw_34_0"/>
      <w:bookmarkStart w:id="108" w:name="Tc_Cze8Os7kO0W8C1UT0jLdeQ_32_0"/>
      <w:bookmarkStart w:id="109" w:name="Tc_W119ivIgikqyOJMAwMehAw_31_0"/>
      <w:bookmarkStart w:id="110" w:name="Tc_r6mValyuLUqTfQyn94UubQ_30_5"/>
      <w:bookmarkStart w:id="111" w:name="Tc_R8Rk5ZOifUOceYuIsAOv7g_30_2"/>
      <w:bookmarkStart w:id="112" w:name="Tc_9qITB_a-6UGJ9EsHBwGfew_30_0"/>
      <w:bookmarkStart w:id="113" w:name="Tc_dsFPjvNYdkO9QgGGz8QR5Q_29_0"/>
      <w:bookmarkStart w:id="114" w:name="Tc_wYyY39KLgkuNUsZltH1uuw_28_0"/>
      <w:bookmarkStart w:id="115" w:name="Tc_63Atw0Id-EOq1kB5HrHddg_26_5"/>
      <w:bookmarkStart w:id="116" w:name="Tc_exdgg_RHI0SiHoTWwspQNg_26_2"/>
      <w:bookmarkStart w:id="117" w:name="Tc_FoZAHbjePEek3WDeP68rVw_26_0"/>
      <w:bookmarkStart w:id="118" w:name="Tc_F9zRalzn30COtP20EooCvA_25_0"/>
      <w:bookmarkStart w:id="119" w:name="Tc_RtT9fVduckal0r214I9pyg_24_0"/>
      <w:bookmarkStart w:id="120" w:name="Tc_UBYjBteyw0-nCedzTLQZnQ_22_0"/>
      <w:bookmarkStart w:id="121" w:name="Tc_SDDt6E8kBESuwdG18Q9GNg_21_0"/>
      <w:bookmarkStart w:id="122" w:name="Tc_skgGQBRpjEG-OjCaQI1XEw_20_0"/>
      <w:bookmarkStart w:id="123" w:name="Tc_h78hMyWsr0GcpnNvqCqvIw_19_0"/>
      <w:bookmarkStart w:id="124" w:name="Tc_x0ZNLtXwlkqeGOMbTGIhPw_18_0"/>
      <w:bookmarkStart w:id="125" w:name="Tc_6-0oPmSzHkKa1mJQ1Zquvg_16_0"/>
      <w:bookmarkStart w:id="126" w:name="Tc_ha9DiZn2rEO6-t_GR3jT0A_15_0"/>
      <w:bookmarkStart w:id="127" w:name="Tc_x87LxbzVvkS-2583yA-nsA_14_0"/>
      <w:bookmarkStart w:id="128" w:name="Tc_NcpTT0HPakONZHmdeczGQQ_13_0"/>
      <w:bookmarkStart w:id="129" w:name="Tc_MlX-gmDCPEG-G6zMwjgUcw_12_0"/>
      <w:bookmarkStart w:id="130" w:name="Tc_iyRRkjMz2EOBZibH4IioAw_10_0"/>
      <w:bookmarkStart w:id="131" w:name="Tc_UODA7PW7rkqtmybVtcJleQ_9_0"/>
      <w:bookmarkStart w:id="132" w:name="Tc_-8EPIFYH1EOS87PDBbOvkg_8_0"/>
      <w:bookmarkStart w:id="133" w:name="Tc_6HVuAOzR_Um4GTt63zYLqQ_7_0"/>
      <w:bookmarkStart w:id="134" w:name="Tc_I2_oTJyA-UO_86nLPyOEzQ_6_0"/>
      <w:bookmarkStart w:id="135" w:name="Tc_Al76O5FKbUKw8nSwOyjPpA_5_5"/>
      <w:bookmarkStart w:id="136" w:name="Tc_iEdLVRZADE2XPwzM1-BVBA_5_2"/>
      <w:bookmarkStart w:id="137" w:name="Tc_AtAIEXLb00yoJlc5FxfujA_5_0"/>
      <w:bookmarkStart w:id="138" w:name="Tc_BJanHxJl_ESUpe-0brYeuA_4_0"/>
      <w:bookmarkStart w:id="139" w:name="Tc_p48ZBA8nxkmmdnL7S40u_A_3_5"/>
      <w:bookmarkStart w:id="140" w:name="Tc_Kpk3Pl-EYUGos1_wUzbnDg_2_5"/>
      <w:bookmarkStart w:id="141" w:name="Tc_gaBIvHT8fEqX0KerLfH5IQ_2_2"/>
      <w:bookmarkStart w:id="142" w:name="Tc_Z-r13RQkaUi1GsSF-nn7YA_2_0"/>
      <w:bookmarkStart w:id="143" w:name="Tc_ScXHbm-jk0KSBhiphXypWg_1_5"/>
      <w:bookmarkStart w:id="144" w:name="Tc_ddQK1tQsQESSI_GY28j5_A_1_2"/>
      <w:bookmarkStart w:id="145" w:name="_2c34fea5_ee40_4591_9eee_afce93baf5f9"/>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7456" w:type="dxa"/>
        <w:jc w:val="left"/>
        <w:tblInd w:w="0" w:type="dxa"/>
        <w:tblLayout w:type="fixed"/>
        <w:tblCellMar>
          <w:top w:w="0" w:type="dxa"/>
          <w:left w:w="0" w:type="dxa"/>
          <w:bottom w:w="0" w:type="dxa"/>
          <w:right w:w="0" w:type="dxa"/>
        </w:tblCellMar>
      </w:tblPr>
      <w:tblGrid>
        <w:gridCol w:w="4321"/>
        <w:gridCol w:w="326"/>
        <w:gridCol w:w="277"/>
        <w:gridCol w:w="1028"/>
        <w:gridCol w:w="109"/>
        <w:gridCol w:w="268"/>
        <w:gridCol w:w="1127"/>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743835" cy="175260"/>
                      <wp:effectExtent l="0" t="0" r="0" b="0"/>
                      <wp:wrapNone/>
                      <wp:docPr id="9" name="Frame9"/>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5895" cy="175260"/>
                      <wp:effectExtent l="0" t="0" r="0" b="0"/>
                      <wp:wrapNone/>
                      <wp:docPr id="11" name="Frame1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2780" cy="175260"/>
                      <wp:effectExtent l="0" t="0" r="0" b="0"/>
                      <wp:wrapNone/>
                      <wp:docPr id="12" name="Frame12"/>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70180" cy="175260"/>
                      <wp:effectExtent l="0" t="0" r="0" b="0"/>
                      <wp:wrapNone/>
                      <wp:docPr id="14" name="Frame14"/>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15645" cy="175260"/>
                      <wp:effectExtent l="0" t="0" r="0" b="0"/>
                      <wp:wrapNone/>
                      <wp:docPr id="15" name="Frame15"/>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109"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432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1"/>
              <w:ind w:left="0" w:right="0" w:hanging="0"/>
              <w:jc w:val="center"/>
              <w:rPr/>
            </w:pPr>
            <w:r>
              <w:rPr/>
              <w:t>​</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09" w:type="dxa"/>
            <w:tcBorders/>
            <w:vAlign w:val="center"/>
          </w:tcPr>
          <w:p>
            <w:pPr>
              <w:pStyle w:val="TableContents"/>
              <w:bidi w:val="0"/>
              <w:spacing w:before="0" w:after="1"/>
              <w:ind w:left="0" w:right="0" w:hanging="0"/>
              <w:jc w:val="center"/>
              <w:rPr/>
            </w:pPr>
            <w:r>
              <w:rPr/>
              <w:t>​</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43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77" w:type="dxa"/>
            <w:tcBorders/>
            <w:vAlign w:val="center"/>
          </w:tcPr>
          <w:p>
            <w:pPr>
              <w:pStyle w:val="TableContents"/>
              <w:bidi w:val="0"/>
              <w:spacing w:before="0" w:after="1"/>
              <w:ind w:left="0" w:right="0" w:hanging="0"/>
              <w:jc w:val="center"/>
              <w:rPr/>
            </w:pPr>
            <w:r>
              <w:rPr/>
              <w:t>​</w:t>
            </w:r>
          </w:p>
        </w:tc>
        <w:tc>
          <w:tcPr>
            <w:tcW w:w="1028"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26,748</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17,595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33,147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46,774</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17,840</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19,735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31,290</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34,282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2,136</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2,152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111,161</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120,538</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13,200</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12,000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23,742</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23,742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37,532</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36,480</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pPr>
            <w:r>
              <w:rPr/>
              <w:t>  </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5,390</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5,390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23,181</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23,181</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74,113</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74,486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512</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103,406</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103,569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74,712</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77,347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property and equipment</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28,694</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26,222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177,387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183,240</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1"/>
              <w:ind w:left="0" w:right="0" w:hanging="0"/>
              <w:jc w:val="center"/>
              <w:rPr/>
            </w:pPr>
            <w:r>
              <w:rPr/>
              <w:t>    </w:t>
            </w:r>
          </w:p>
        </w:tc>
        <w:tc>
          <w:tcPr>
            <w:tcW w:w="1305" w:type="dxa"/>
            <w:gridSpan w:val="2"/>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1395" w:type="dxa"/>
            <w:gridSpan w:val="2"/>
            <w:tcBorders/>
            <w:shd w:fill="CCEEFF" w:val="clear"/>
            <w:vAlign w:val="center"/>
          </w:tcPr>
          <w:p>
            <w:pPr>
              <w:pStyle w:val="TableContents"/>
              <w:bidi w:val="0"/>
              <w:spacing w:before="0" w:after="1"/>
              <w:ind w:left="0" w:right="0" w:hanging="0"/>
              <w:jc w:val="center"/>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 </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15,618</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15,047</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taxes payable to affiliate</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1,351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16,653</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16,398</w:t>
            </w:r>
          </w:p>
        </w:tc>
      </w:tr>
      <w:tr>
        <w:trPr/>
        <w:tc>
          <w:tcPr>
            <w:tcW w:w="4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Noncurrent liabilities: </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2,230</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noncurrent liabilities</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2,298</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1,694</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w:t>
            </w:r>
          </w:p>
        </w:tc>
        <w:tc>
          <w:tcPr>
            <w:tcW w:w="1028"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w:t>
            </w:r>
          </w:p>
        </w:tc>
        <w:tc>
          <w:tcPr>
            <w:tcW w:w="1127"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pPr>
            <w:r>
              <w:rPr/>
              <w:t>  </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Class A common stock</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shd w:fill="CCEEFF" w:val="clear"/>
            <w:vAlign w:val="center"/>
          </w:tcPr>
          <w:p>
            <w:pPr>
              <w:pStyle w:val="TableContents"/>
              <w:bidi w:val="0"/>
              <w:spacing w:before="0" w:after="1"/>
              <w:ind w:left="0" w:right="0" w:hanging="0"/>
              <w:jc w:val="left"/>
              <w:rPr/>
            </w:pPr>
            <w:r>
              <w:rPr/>
              <w:t> </w:t>
            </w:r>
          </w:p>
        </w:tc>
        <w:tc>
          <w:tcPr>
            <w:tcW w:w="10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1127"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53,275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1"/>
              <w:ind w:left="0" w:right="0" w:hanging="0"/>
              <w:jc w:val="left"/>
              <w:rPr/>
            </w:pPr>
            <w:r>
              <w:rPr/>
              <w:t>​</w:t>
            </w:r>
          </w:p>
        </w:tc>
        <w:tc>
          <w:tcPr>
            <w:tcW w:w="277" w:type="dxa"/>
            <w:tcBorders/>
            <w:vAlign w:val="center"/>
          </w:tcPr>
          <w:p>
            <w:pPr>
              <w:pStyle w:val="TableContents"/>
              <w:bidi w:val="0"/>
              <w:spacing w:before="0" w:after="1"/>
              <w:ind w:left="0" w:right="0" w:hanging="0"/>
              <w:jc w:val="left"/>
              <w:rPr/>
            </w:pPr>
            <w:r>
              <w:rPr/>
              <w:t> </w:t>
            </w:r>
          </w:p>
        </w:tc>
        <w:tc>
          <w:tcPr>
            <w:tcW w:w="10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c>
          <w:tcPr>
            <w:tcW w:w="109"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112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111,839</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Accumulated other comprehensive loss - </w:t>
              <w:br/>
              <w:t>  unrealized loss on 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1"/>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158,436</w:t>
            </w:r>
          </w:p>
        </w:tc>
        <w:tc>
          <w:tcPr>
            <w:tcW w:w="109"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165,148</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177,387</w:t>
            </w:r>
          </w:p>
        </w:tc>
        <w:tc>
          <w:tcPr>
            <w:tcW w:w="109"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12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183,240</w:t>
            </w:r>
          </w:p>
        </w:tc>
      </w:tr>
    </w:tbl>
    <w:p>
      <w:pPr>
        <w:pStyle w:val="TextBody"/>
        <w:bidi w:val="0"/>
        <w:spacing w:before="40" w:after="120"/>
        <w:ind w:left="0" w:right="0" w:hanging="0"/>
        <w:jc w:val="both"/>
        <w:rPr>
          <w:rFonts w:ascii="Times New Roman;Times;serif" w:hAnsi="Times New Roman;Times;serif"/>
          <w:sz w:val="20"/>
        </w:rPr>
      </w:pPr>
      <w:bookmarkStart w:id="146" w:name="Narr__AXO1qE4bUK1XT8joHfDYA"/>
      <w:bookmarkStart w:id="147" w:name="Narr_o0OFMPJfokeog6yI-TENoQ"/>
      <w:bookmarkEnd w:id="146"/>
      <w:bookmarkEnd w:id="147"/>
      <w:r>
        <w:rPr>
          <w:rFonts w:ascii="Times New Roman;Times;serif" w:hAnsi="Times New Roman;Times;serif"/>
          <w:sz w:val="20"/>
        </w:rPr>
        <w:t>Commitments and contingencies (Note 1)</w:t>
      </w:r>
    </w:p>
    <w:p>
      <w:pPr>
        <w:pStyle w:val="TextBody"/>
        <w:bidi w:val="0"/>
        <w:spacing w:before="40" w:after="4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48" w:name="_ecccb125_1ad2_4bfb_b979_7a56c12dad84"/>
      <w:bookmarkEnd w:id="148"/>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149" w:name="CONDENSEDCONSOLIDATEDSTATEMENTSOFINCOME_"/>
      <w:bookmarkEnd w:id="149"/>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50" w:name="Tc_xqMt2LTjCkeD0UAqwN6xUQ_21_0"/>
      <w:bookmarkStart w:id="151" w:name="Tc_mv84AFZZs0Kj0_St822Oew_19_0"/>
      <w:bookmarkStart w:id="152" w:name="Tc_Q3Oq7XJ34kKD6--2w0d6gQ_17_11"/>
      <w:bookmarkStart w:id="153" w:name="Tc_rWsvbFycYE-q3EOyTESwEQ_17_8"/>
      <w:bookmarkStart w:id="154" w:name="Tc_28d0A29AGkShsWwqFo-7GA_17_5"/>
      <w:bookmarkStart w:id="155" w:name="Tc_T9SPZEejeE6sSH-ICNk1ZA_17_2"/>
      <w:bookmarkStart w:id="156" w:name="Tc_woc-vpITKEeXju_WMWPXLQ_17_0"/>
      <w:bookmarkStart w:id="157" w:name="Tc_zcVWfsBisE6oV3qphXM_Nw_16_0"/>
      <w:bookmarkStart w:id="158" w:name="Tc_a_g_UUCILUmP1iC2G3_zIA_15_0"/>
      <w:bookmarkStart w:id="159" w:name="Tc_Ux0P5qlYSkKX-y6WG9puDA_13_11"/>
      <w:bookmarkStart w:id="160" w:name="Tc_4XVgp87zaku_lp1QKV4cLA_13_8"/>
      <w:bookmarkStart w:id="161" w:name="Tc_e-wCJBi11kCVRiE100Dmwg_13_5"/>
      <w:bookmarkStart w:id="162" w:name="Tc_8P067cK3602fJeH4JPlJ_A_13_2"/>
      <w:bookmarkStart w:id="163" w:name="Tc_9qmDqAGj1kCrqP9N79mlqw_13_0"/>
      <w:bookmarkStart w:id="164" w:name="Tc_e49uvhUemkmJYfE26ovbfA_12_0"/>
      <w:bookmarkStart w:id="165" w:name="Tc_LFnzQjd2C0SVFmK65HYdgA_11_0"/>
      <w:bookmarkStart w:id="166" w:name="Tc_UewD9Di250iLD3er6hpCPg_10_0"/>
      <w:bookmarkStart w:id="167" w:name="Tc_FuCK6KRST0WvKO54fscJbg_9_0"/>
      <w:bookmarkStart w:id="168" w:name="Tc_uXCP3nRuzEyqjvHWyFhfZg_8_0"/>
      <w:bookmarkStart w:id="169" w:name="Tc_qWlpDBZ1OkmpCq7G6CJkQw_7_0"/>
      <w:bookmarkStart w:id="170" w:name="Tc_hymVh2sWkkmSitg2hfZQig_6_0"/>
      <w:bookmarkStart w:id="171" w:name="Tc_iDZYzDG6h06skTzJaqzuDA_5_11"/>
      <w:bookmarkStart w:id="172" w:name="Tc_xb2GdHsSyki_9mhEijKDTQ_5_8"/>
      <w:bookmarkStart w:id="173" w:name="Tc_OliDh-qZ5UOtmszuXhSgEg_5_5"/>
      <w:bookmarkStart w:id="174" w:name="Tc_HMyfPPhrhEW2a-J-0yjlHw_5_2"/>
      <w:bookmarkStart w:id="175" w:name="Tc_zP-2EmLrpkewBgdtz-K5Jw_5_0"/>
      <w:bookmarkStart w:id="176" w:name="Tc_8jXipKol-Ee2F0BcuCGJGw_4_2"/>
      <w:bookmarkStart w:id="177" w:name="Tc_LpADVfSkpUuo1VHORk3WYw_3_11"/>
      <w:bookmarkStart w:id="178" w:name="Tc_OILWsVeGu0mhgCND6SyArw_3_8"/>
      <w:bookmarkStart w:id="179" w:name="Tc_sqeXz-P0aUq8oBIemngzRg_3_5"/>
      <w:bookmarkStart w:id="180" w:name="Tc_ldbLQgKvvE-ZKUmvZUqaRg_3_2"/>
      <w:bookmarkStart w:id="181" w:name="Tc_8KDzy0oLPkydSHtDpze61g_2_8"/>
      <w:bookmarkStart w:id="182" w:name="Tc_CW0FuspAw02VIjSTb4vxOg_2_2"/>
      <w:bookmarkStart w:id="183" w:name="Tc_LUcMlGGXdkSutrndjX9kJA_1_8"/>
      <w:bookmarkStart w:id="184" w:name="Tc_hNzva7MfqkKz9u4J68_CLA_1_2"/>
      <w:bookmarkStart w:id="185" w:name="_1bb9a386_f534_4ef4_bdda_41776febe312"/>
      <w:bookmarkStart w:id="186" w:name="Tc_xqMt2LTjCkeD0UAqwN6xUQ_21_0"/>
      <w:bookmarkStart w:id="187" w:name="Tc_mv84AFZZs0Kj0_St822Oew_19_0"/>
      <w:bookmarkStart w:id="188" w:name="Tc_Q3Oq7XJ34kKD6--2w0d6gQ_17_11"/>
      <w:bookmarkStart w:id="189" w:name="Tc_rWsvbFycYE-q3EOyTESwEQ_17_8"/>
      <w:bookmarkStart w:id="190" w:name="Tc_28d0A29AGkShsWwqFo-7GA_17_5"/>
      <w:bookmarkStart w:id="191" w:name="Tc_T9SPZEejeE6sSH-ICNk1ZA_17_2"/>
      <w:bookmarkStart w:id="192" w:name="Tc_woc-vpITKEeXju_WMWPXLQ_17_0"/>
      <w:bookmarkStart w:id="193" w:name="Tc_zcVWfsBisE6oV3qphXM_Nw_16_0"/>
      <w:bookmarkStart w:id="194" w:name="Tc_a_g_UUCILUmP1iC2G3_zIA_15_0"/>
      <w:bookmarkStart w:id="195" w:name="Tc_Ux0P5qlYSkKX-y6WG9puDA_13_11"/>
      <w:bookmarkStart w:id="196" w:name="Tc_4XVgp87zaku_lp1QKV4cLA_13_8"/>
      <w:bookmarkStart w:id="197" w:name="Tc_e-wCJBi11kCVRiE100Dmwg_13_5"/>
      <w:bookmarkStart w:id="198" w:name="Tc_8P067cK3602fJeH4JPlJ_A_13_2"/>
      <w:bookmarkStart w:id="199" w:name="Tc_9qmDqAGj1kCrqP9N79mlqw_13_0"/>
      <w:bookmarkStart w:id="200" w:name="Tc_e49uvhUemkmJYfE26ovbfA_12_0"/>
      <w:bookmarkStart w:id="201" w:name="Tc_LFnzQjd2C0SVFmK65HYdgA_11_0"/>
      <w:bookmarkStart w:id="202" w:name="Tc_UewD9Di250iLD3er6hpCPg_10_0"/>
      <w:bookmarkStart w:id="203" w:name="Tc_FuCK6KRST0WvKO54fscJbg_9_0"/>
      <w:bookmarkStart w:id="204" w:name="Tc_uXCP3nRuzEyqjvHWyFhfZg_8_0"/>
      <w:bookmarkStart w:id="205" w:name="Tc_qWlpDBZ1OkmpCq7G6CJkQw_7_0"/>
      <w:bookmarkStart w:id="206" w:name="Tc_hymVh2sWkkmSitg2hfZQig_6_0"/>
      <w:bookmarkStart w:id="207" w:name="Tc_iDZYzDG6h06skTzJaqzuDA_5_11"/>
      <w:bookmarkStart w:id="208" w:name="Tc_xb2GdHsSyki_9mhEijKDTQ_5_8"/>
      <w:bookmarkStart w:id="209" w:name="Tc_OliDh-qZ5UOtmszuXhSgEg_5_5"/>
      <w:bookmarkStart w:id="210" w:name="Tc_HMyfPPhrhEW2a-J-0yjlHw_5_2"/>
      <w:bookmarkStart w:id="211" w:name="Tc_zP-2EmLrpkewBgdtz-K5Jw_5_0"/>
      <w:bookmarkStart w:id="212" w:name="Tc_8jXipKol-Ee2F0BcuCGJGw_4_2"/>
      <w:bookmarkStart w:id="213" w:name="Tc_LpADVfSkpUuo1VHORk3WYw_3_11"/>
      <w:bookmarkStart w:id="214" w:name="Tc_OILWsVeGu0mhgCND6SyArw_3_8"/>
      <w:bookmarkStart w:id="215" w:name="Tc_sqeXz-P0aUq8oBIemngzRg_3_5"/>
      <w:bookmarkStart w:id="216" w:name="Tc_ldbLQgKvvE-ZKUmvZUqaRg_3_2"/>
      <w:bookmarkStart w:id="217" w:name="Tc_8KDzy0oLPkydSHtDpze61g_2_8"/>
      <w:bookmarkStart w:id="218" w:name="Tc_CW0FuspAw02VIjSTb4vxOg_2_2"/>
      <w:bookmarkStart w:id="219" w:name="Tc_LUcMlGGXdkSutrndjX9kJA_1_8"/>
      <w:bookmarkStart w:id="220" w:name="Tc_hNzva7MfqkKz9u4J68_CLA_1_2"/>
      <w:bookmarkStart w:id="221" w:name="_1bb9a386_f534_4ef4_bdda_41776febe312"/>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tbl>
      <w:tblPr>
        <w:tblW w:w="10205" w:type="dxa"/>
        <w:jc w:val="left"/>
        <w:tblInd w:w="0" w:type="dxa"/>
        <w:tblLayout w:type="fixed"/>
        <w:tblCellMar>
          <w:top w:w="0" w:type="dxa"/>
          <w:left w:w="0" w:type="dxa"/>
          <w:bottom w:w="0" w:type="dxa"/>
          <w:right w:w="0" w:type="dxa"/>
        </w:tblCellMar>
      </w:tblPr>
      <w:tblGrid>
        <w:gridCol w:w="5098"/>
        <w:gridCol w:w="326"/>
        <w:gridCol w:w="211"/>
        <w:gridCol w:w="676"/>
        <w:gridCol w:w="326"/>
        <w:gridCol w:w="211"/>
        <w:gridCol w:w="676"/>
        <w:gridCol w:w="326"/>
        <w:gridCol w:w="211"/>
        <w:gridCol w:w="781"/>
        <w:gridCol w:w="326"/>
        <w:gridCol w:w="211"/>
        <w:gridCol w:w="826"/>
      </w:tblGrid>
      <w:tr>
        <w:trPr/>
        <w:tc>
          <w:tcPr>
            <w:tcW w:w="5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237230" cy="175260"/>
                      <wp:effectExtent l="0" t="0" r="0" b="0"/>
                      <wp:wrapNone/>
                      <wp:docPr id="16" name="Frame16"/>
                      <a:graphic xmlns:a="http://schemas.openxmlformats.org/drawingml/2006/main">
                        <a:graphicData uri="http://schemas.microsoft.com/office/word/2010/wordprocessingShape">
                          <wps:wsp>
                            <wps:cNvSpPr txBox="1"/>
                            <wps:spPr>
                              <a:xfrm>
                                <a:off x="0" y="0"/>
                                <a:ext cx="3237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29260" cy="175260"/>
                      <wp:effectExtent l="0" t="0" r="0" b="0"/>
                      <wp:wrapNone/>
                      <wp:docPr id="19" name="Frame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95935" cy="175260"/>
                      <wp:effectExtent l="0" t="0" r="0" b="0"/>
                      <wp:wrapNone/>
                      <wp:docPr id="25" name="Frame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4510" cy="175260"/>
                      <wp:effectExtent l="0" t="0" r="0" b="0"/>
                      <wp:wrapNone/>
                      <wp:docPr id="28" name="Frame2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center"/>
              <w:rPr/>
            </w:pPr>
            <w:r>
              <w:rPr/>
              <w:t>​</w:t>
            </w:r>
          </w:p>
        </w:tc>
        <w:tc>
          <w:tcPr>
            <w:tcW w:w="2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781"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40,355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118,122</w:t>
            </w:r>
          </w:p>
        </w:tc>
      </w:tr>
      <w:tr>
        <w:trPr/>
        <w:tc>
          <w:tcPr>
            <w:tcW w:w="50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27,736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82,526</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35,596</w:t>
            </w:r>
          </w:p>
        </w:tc>
      </w:tr>
      <w:tr>
        <w:trPr/>
        <w:tc>
          <w:tcPr>
            <w:tcW w:w="50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6,074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17,644</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17,952</w:t>
            </w:r>
          </w:p>
        </w:tc>
      </w:tr>
      <w:tr>
        <w:trPr/>
        <w:tc>
          <w:tcPr>
            <w:tcW w:w="50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3,003</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20,955</w:t>
            </w:r>
          </w:p>
        </w:tc>
      </w:tr>
      <w:tr>
        <w:trPr/>
        <w:tc>
          <w:tcPr>
            <w:tcW w:w="50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4,970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5,058</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15,897</w: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gain (loss), marketable securities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50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(loss) arising during year,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15,825</w: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net income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1.29</w:t>
            </w:r>
          </w:p>
        </w:tc>
      </w:tr>
      <w:tr>
        <w:trPr/>
        <w:tc>
          <w:tcPr>
            <w:tcW w:w="50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r>
      <w:tr>
        <w:trPr/>
        <w:tc>
          <w:tcPr>
            <w:tcW w:w="50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weighted average shares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12,352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12,310</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22" w:name="_f5a32728_4692_45f4_a97b_ae16fdc10ca2"/>
      <w:bookmarkEnd w:id="222"/>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223" w:name="CONDENSEDCONSOLIDATEDSTATEMENTSOFSTOCKHO"/>
      <w:bookmarkEnd w:id="223"/>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4" w:name="Tc_G5c0uQrCIk6V8yJRWOdu5A_15_18"/>
      <w:bookmarkStart w:id="225" w:name="Tc_Rt9BWeOPeEm-THntA9ekHA_15_15"/>
      <w:bookmarkStart w:id="226" w:name="Tc_anK_nfQB10qWAZswSVpZFg_15_14"/>
      <w:bookmarkStart w:id="227" w:name="Tc_-eL_6AM4HUGimvyZpyjOEQ_15_11"/>
      <w:bookmarkStart w:id="228" w:name="Tc_sVtE_TrBCU2Gcci88IXrEA_15_8"/>
      <w:bookmarkStart w:id="229" w:name="Tc_6mTLNHteoEilM3iWr8zMNA_15_5"/>
      <w:bookmarkStart w:id="230" w:name="Tc_W3GK-n8CvUSrqgKBS8XALQ_15_2"/>
      <w:bookmarkStart w:id="231" w:name="Tc_kjJxs6cc-U61p-0vCjd4IQ_15_0"/>
      <w:bookmarkStart w:id="232" w:name="Tc_0ybmNS7gnkiuNCtagiIndw_14_15"/>
      <w:bookmarkStart w:id="233" w:name="Tc_G7GLd9-OikOQwVnwQ-AHQQ_14_9"/>
      <w:bookmarkStart w:id="234" w:name="Tc_25toSXjQnUS5p07wXAW-rA_14_6"/>
      <w:bookmarkStart w:id="235" w:name="Tc_lY3nJRftW0uBMjqGxR34fQ_14_3"/>
      <w:bookmarkStart w:id="236" w:name="Tc_KQfSxA96t0yvJTfkeXFrTg_14_0"/>
      <w:bookmarkStart w:id="237" w:name="Tc_4h_9ozMEv0Wfhnv97mYQSA_13_15"/>
      <w:bookmarkStart w:id="238" w:name="Tc_Lz1hRftpq0-OVbKq3vMvKw_13_12"/>
      <w:bookmarkStart w:id="239" w:name="Tc_pMGwhjdwjUe4mEUdIqcwWA_13_6"/>
      <w:bookmarkStart w:id="240" w:name="Tc_NdaNcYmMAUSLiePXPBy3KA_13_3"/>
      <w:bookmarkStart w:id="241" w:name="Tc_bntcINm_DUiBOGxc54Zh0Q_13_0"/>
      <w:bookmarkStart w:id="242" w:name="Tc_dyHDVrkh10uZgUIdWCqMEA_12_15"/>
      <w:bookmarkStart w:id="243" w:name="Tc_SAc1qnF7jkag39Qmb2iqpQ_12_12"/>
      <w:bookmarkStart w:id="244" w:name="Tc_c9G1KAwNOEWAiuWfn7rJww_12_6"/>
      <w:bookmarkStart w:id="245" w:name="Tc_a2B-IfXwpEmVGk_XyZOnpQ_12_3"/>
      <w:bookmarkStart w:id="246" w:name="Tc_0F6pUAjlS0S0DvmwWzn_dA_12_0"/>
      <w:bookmarkStart w:id="247" w:name="Tc_-BQygF6v2k2ccOvUu5Am0g_11_18"/>
      <w:bookmarkStart w:id="248" w:name="Tc_Sx9RjRx1ykO3jdmEH63W3Q_11_15"/>
      <w:bookmarkStart w:id="249" w:name="Tc_1VHYt2a1O0a6Sv4EWh5JKA_11_14"/>
      <w:bookmarkStart w:id="250" w:name="Tc_TmlXfRg44kWPC3yG70x9Pw_11_11"/>
      <w:bookmarkStart w:id="251" w:name="Tc_30aDbT99nEOUq2af7RLnkQ_11_8"/>
      <w:bookmarkStart w:id="252" w:name="Tc_R2bE4LNiUUeMKdZY8Pd7GQ_11_5"/>
      <w:bookmarkStart w:id="253" w:name="Tc_rXLpJ8KjCkyzkPMcexf33w_11_2"/>
      <w:bookmarkStart w:id="254" w:name="Tc_SAB-bbjRGkKJ363CeCtGRw_11_0"/>
      <w:bookmarkStart w:id="255" w:name="Tc_4t12XRxHxE2FeHXvXRH4aQ_9_18"/>
      <w:bookmarkStart w:id="256" w:name="Tc_pu0glOOo90-eCdaq19L1Zg_9_15"/>
      <w:bookmarkStart w:id="257" w:name="Tc_xrAE9ZkV10ah5K0K79O91Q_9_14"/>
      <w:bookmarkStart w:id="258" w:name="Tc_XTor-_e88UC5lDOhPascLg_9_12"/>
      <w:bookmarkStart w:id="259" w:name="Tc_yA6gLTOW_U-XWp7dmbzaCA_9_11"/>
      <w:bookmarkStart w:id="260" w:name="Tc_CIdEDiWX9kGvyn3op51YlQ_9_8"/>
      <w:bookmarkStart w:id="261" w:name="Tc_yq5QQhkpaECbZiN4Szl3IA_9_5"/>
      <w:bookmarkStart w:id="262" w:name="Tc_gY2JWOACqkmC4UZACbwxjg_9_2"/>
      <w:bookmarkStart w:id="263" w:name="Tc_jO0C_eOGW0yeHZCXCMOqrw_9_0"/>
      <w:bookmarkStart w:id="264" w:name="Tc_BY2SlX9UC0WlLEIlaFnLMA_8_15"/>
      <w:bookmarkStart w:id="265" w:name="Tc_yX0pHEJ8eUWQpRyZNjxeew_8_12"/>
      <w:bookmarkStart w:id="266" w:name="Tc_TWfPcgWfiEa6Uk9hb3jYGA_8_6"/>
      <w:bookmarkStart w:id="267" w:name="Tc_yEjPtkzvIUqx_HD9Qr_8FA_8_3"/>
      <w:bookmarkStart w:id="268" w:name="Tc_vLmVkVnr_k2ifbJ5_A-bYQ_8_0"/>
      <w:bookmarkStart w:id="269" w:name="Tc_jfzUuR9NckG8txbrDAqoxA_7_15"/>
      <w:bookmarkStart w:id="270" w:name="Tc_id0f7pQ2l0SRuT2VGEyFkQ_7_12"/>
      <w:bookmarkStart w:id="271" w:name="Tc_GGZvoOe1LUqnlofo8_5T3g_7_6"/>
      <w:bookmarkStart w:id="272" w:name="Tc_qdCqzewQIE6V1cSeUjFMAg_7_3"/>
      <w:bookmarkStart w:id="273" w:name="Tc_u6xovK_HzEydGP3J2yxiPw_7_0"/>
      <w:bookmarkStart w:id="274" w:name="Tc_DScVvlDYIESK-hZoenZcOA_6_18"/>
      <w:bookmarkStart w:id="275" w:name="Tc_z1bnJ2yrmUKGTyfEYYQa0w_6_15"/>
      <w:bookmarkStart w:id="276" w:name="Tc_-9CZBzBNCkKU35QwGb8wUg_6_14"/>
      <w:bookmarkStart w:id="277" w:name="Tc_yKtY4huW1kqy9iVDXLyMHQ_6_12"/>
      <w:bookmarkStart w:id="278" w:name="Tc_CPCZzj-ZK0aC_JE1GDe5pQ_6_11"/>
      <w:bookmarkStart w:id="279" w:name="Tc_Dv3yZlYxcUOuDXQ-7WSYVg_6_8"/>
      <w:bookmarkStart w:id="280" w:name="Tc_33i-U1PQAEiwZr3YpolEUA_6_5"/>
      <w:bookmarkStart w:id="281" w:name="Tc_9rzo-VGb-kGwdqtyd4Cfkg_6_2"/>
      <w:bookmarkStart w:id="282" w:name="Tc_LSHhCuE61UWU6oQmWkZNCA_6_0"/>
      <w:bookmarkStart w:id="283" w:name="Tc_y0qZwRNm7EOlMGhmo8oczg_5_18"/>
      <w:bookmarkStart w:id="284" w:name="Tc_SMYblMpqwUikrJ5cZeeAPw_5_14"/>
      <w:bookmarkStart w:id="285" w:name="Tc_WGsR_1j3FkuC2kaKgR1rdg_5_11"/>
      <w:bookmarkStart w:id="286" w:name="Tc_65yhta73LkyJmlcTo8qhtQ_5_8"/>
      <w:bookmarkStart w:id="287" w:name="Tc_coO8oc3lp0uB3y3RKNZ0Gw_5_5"/>
      <w:bookmarkStart w:id="288" w:name="Tc_z_CBpfSLWEiRJ_Qi7k8UoA_5_2"/>
      <w:bookmarkStart w:id="289" w:name="Tc_KZf16cl_yEu7tOjdst3Byg_4_18"/>
      <w:bookmarkStart w:id="290" w:name="Tc_bVDLqnum3UeGHxUeNjpMBg_4_14"/>
      <w:bookmarkStart w:id="291" w:name="Tc_6D80-5AtXkeH0g5xmAEmlA_4_11"/>
      <w:bookmarkStart w:id="292" w:name="Tc_fwcNIB4iF0KewRE4c-wn1w_4_8"/>
      <w:bookmarkStart w:id="293" w:name="Tc_niKpmLos4Eqs6zCEbjE9ZQ_4_5"/>
      <w:bookmarkStart w:id="294" w:name="Tc_no37vyciU0yOqAaVoG2n9Q_4_2"/>
      <w:bookmarkStart w:id="295" w:name="Tc_dbQ-DPm5GkCqniNn1wuL9w_3_18"/>
      <w:bookmarkStart w:id="296" w:name="Tc_qDKnoKnbNky1v_jps8UuUg_3_11"/>
      <w:bookmarkStart w:id="297" w:name="Tc_cMTr1SdmR0KVIFTqHDOHSw_3_5"/>
      <w:bookmarkStart w:id="298" w:name="Tc_0oHP1PmeyUu9UsMDwfelEg_3_2"/>
      <w:bookmarkStart w:id="299" w:name="Tc_gs8l0nPSeUO8e5dOsUwcSw_2_11"/>
      <w:bookmarkStart w:id="300" w:name="Tc_6VeE8vjpyEiS5VsXjqHMRg_1_2"/>
      <w:bookmarkStart w:id="301" w:name="_32cc6987_7d18_47b2_bc2a_e24eabd5e118"/>
      <w:bookmarkStart w:id="302" w:name="Tc_G5c0uQrCIk6V8yJRWOdu5A_15_18"/>
      <w:bookmarkStart w:id="303" w:name="Tc_Rt9BWeOPeEm-THntA9ekHA_15_15"/>
      <w:bookmarkStart w:id="304" w:name="Tc_anK_nfQB10qWAZswSVpZFg_15_14"/>
      <w:bookmarkStart w:id="305" w:name="Tc_-eL_6AM4HUGimvyZpyjOEQ_15_11"/>
      <w:bookmarkStart w:id="306" w:name="Tc_sVtE_TrBCU2Gcci88IXrEA_15_8"/>
      <w:bookmarkStart w:id="307" w:name="Tc_6mTLNHteoEilM3iWr8zMNA_15_5"/>
      <w:bookmarkStart w:id="308" w:name="Tc_W3GK-n8CvUSrqgKBS8XALQ_15_2"/>
      <w:bookmarkStart w:id="309" w:name="Tc_kjJxs6cc-U61p-0vCjd4IQ_15_0"/>
      <w:bookmarkStart w:id="310" w:name="Tc_0ybmNS7gnkiuNCtagiIndw_14_15"/>
      <w:bookmarkStart w:id="311" w:name="Tc_G7GLd9-OikOQwVnwQ-AHQQ_14_9"/>
      <w:bookmarkStart w:id="312" w:name="Tc_25toSXjQnUS5p07wXAW-rA_14_6"/>
      <w:bookmarkStart w:id="313" w:name="Tc_lY3nJRftW0uBMjqGxR34fQ_14_3"/>
      <w:bookmarkStart w:id="314" w:name="Tc_KQfSxA96t0yvJTfkeXFrTg_14_0"/>
      <w:bookmarkStart w:id="315" w:name="Tc_4h_9ozMEv0Wfhnv97mYQSA_13_15"/>
      <w:bookmarkStart w:id="316" w:name="Tc_Lz1hRftpq0-OVbKq3vMvKw_13_12"/>
      <w:bookmarkStart w:id="317" w:name="Tc_pMGwhjdwjUe4mEUdIqcwWA_13_6"/>
      <w:bookmarkStart w:id="318" w:name="Tc_NdaNcYmMAUSLiePXPBy3KA_13_3"/>
      <w:bookmarkStart w:id="319" w:name="Tc_bntcINm_DUiBOGxc54Zh0Q_13_0"/>
      <w:bookmarkStart w:id="320" w:name="Tc_dyHDVrkh10uZgUIdWCqMEA_12_15"/>
      <w:bookmarkStart w:id="321" w:name="Tc_SAc1qnF7jkag39Qmb2iqpQ_12_12"/>
      <w:bookmarkStart w:id="322" w:name="Tc_c9G1KAwNOEWAiuWfn7rJww_12_6"/>
      <w:bookmarkStart w:id="323" w:name="Tc_a2B-IfXwpEmVGk_XyZOnpQ_12_3"/>
      <w:bookmarkStart w:id="324" w:name="Tc_0F6pUAjlS0S0DvmwWzn_dA_12_0"/>
      <w:bookmarkStart w:id="325" w:name="Tc_-BQygF6v2k2ccOvUu5Am0g_11_18"/>
      <w:bookmarkStart w:id="326" w:name="Tc_Sx9RjRx1ykO3jdmEH63W3Q_11_15"/>
      <w:bookmarkStart w:id="327" w:name="Tc_1VHYt2a1O0a6Sv4EWh5JKA_11_14"/>
      <w:bookmarkStart w:id="328" w:name="Tc_TmlXfRg44kWPC3yG70x9Pw_11_11"/>
      <w:bookmarkStart w:id="329" w:name="Tc_30aDbT99nEOUq2af7RLnkQ_11_8"/>
      <w:bookmarkStart w:id="330" w:name="Tc_R2bE4LNiUUeMKdZY8Pd7GQ_11_5"/>
      <w:bookmarkStart w:id="331" w:name="Tc_rXLpJ8KjCkyzkPMcexf33w_11_2"/>
      <w:bookmarkStart w:id="332" w:name="Tc_SAB-bbjRGkKJ363CeCtGRw_11_0"/>
      <w:bookmarkStart w:id="333" w:name="Tc_4t12XRxHxE2FeHXvXRH4aQ_9_18"/>
      <w:bookmarkStart w:id="334" w:name="Tc_pu0glOOo90-eCdaq19L1Zg_9_15"/>
      <w:bookmarkStart w:id="335" w:name="Tc_xrAE9ZkV10ah5K0K79O91Q_9_14"/>
      <w:bookmarkStart w:id="336" w:name="Tc_XTor-_e88UC5lDOhPascLg_9_12"/>
      <w:bookmarkStart w:id="337" w:name="Tc_yA6gLTOW_U-XWp7dmbzaCA_9_11"/>
      <w:bookmarkStart w:id="338" w:name="Tc_CIdEDiWX9kGvyn3op51YlQ_9_8"/>
      <w:bookmarkStart w:id="339" w:name="Tc_yq5QQhkpaECbZiN4Szl3IA_9_5"/>
      <w:bookmarkStart w:id="340" w:name="Tc_gY2JWOACqkmC4UZACbwxjg_9_2"/>
      <w:bookmarkStart w:id="341" w:name="Tc_jO0C_eOGW0yeHZCXCMOqrw_9_0"/>
      <w:bookmarkStart w:id="342" w:name="Tc_BY2SlX9UC0WlLEIlaFnLMA_8_15"/>
      <w:bookmarkStart w:id="343" w:name="Tc_yX0pHEJ8eUWQpRyZNjxeew_8_12"/>
      <w:bookmarkStart w:id="344" w:name="Tc_TWfPcgWfiEa6Uk9hb3jYGA_8_6"/>
      <w:bookmarkStart w:id="345" w:name="Tc_yEjPtkzvIUqx_HD9Qr_8FA_8_3"/>
      <w:bookmarkStart w:id="346" w:name="Tc_vLmVkVnr_k2ifbJ5_A-bYQ_8_0"/>
      <w:bookmarkStart w:id="347" w:name="Tc_jfzUuR9NckG8txbrDAqoxA_7_15"/>
      <w:bookmarkStart w:id="348" w:name="Tc_id0f7pQ2l0SRuT2VGEyFkQ_7_12"/>
      <w:bookmarkStart w:id="349" w:name="Tc_GGZvoOe1LUqnlofo8_5T3g_7_6"/>
      <w:bookmarkStart w:id="350" w:name="Tc_qdCqzewQIE6V1cSeUjFMAg_7_3"/>
      <w:bookmarkStart w:id="351" w:name="Tc_u6xovK_HzEydGP3J2yxiPw_7_0"/>
      <w:bookmarkStart w:id="352" w:name="Tc_DScVvlDYIESK-hZoenZcOA_6_18"/>
      <w:bookmarkStart w:id="353" w:name="Tc_z1bnJ2yrmUKGTyfEYYQa0w_6_15"/>
      <w:bookmarkStart w:id="354" w:name="Tc_-9CZBzBNCkKU35QwGb8wUg_6_14"/>
      <w:bookmarkStart w:id="355" w:name="Tc_yKtY4huW1kqy9iVDXLyMHQ_6_12"/>
      <w:bookmarkStart w:id="356" w:name="Tc_CPCZzj-ZK0aC_JE1GDe5pQ_6_11"/>
      <w:bookmarkStart w:id="357" w:name="Tc_Dv3yZlYxcUOuDXQ-7WSYVg_6_8"/>
      <w:bookmarkStart w:id="358" w:name="Tc_33i-U1PQAEiwZr3YpolEUA_6_5"/>
      <w:bookmarkStart w:id="359" w:name="Tc_9rzo-VGb-kGwdqtyd4Cfkg_6_2"/>
      <w:bookmarkStart w:id="360" w:name="Tc_LSHhCuE61UWU6oQmWkZNCA_6_0"/>
      <w:bookmarkStart w:id="361" w:name="Tc_y0qZwRNm7EOlMGhmo8oczg_5_18"/>
      <w:bookmarkStart w:id="362" w:name="Tc_SMYblMpqwUikrJ5cZeeAPw_5_14"/>
      <w:bookmarkStart w:id="363" w:name="Tc_WGsR_1j3FkuC2kaKgR1rdg_5_11"/>
      <w:bookmarkStart w:id="364" w:name="Tc_65yhta73LkyJmlcTo8qhtQ_5_8"/>
      <w:bookmarkStart w:id="365" w:name="Tc_coO8oc3lp0uB3y3RKNZ0Gw_5_5"/>
      <w:bookmarkStart w:id="366" w:name="Tc_z_CBpfSLWEiRJ_Qi7k8UoA_5_2"/>
      <w:bookmarkStart w:id="367" w:name="Tc_KZf16cl_yEu7tOjdst3Byg_4_18"/>
      <w:bookmarkStart w:id="368" w:name="Tc_bVDLqnum3UeGHxUeNjpMBg_4_14"/>
      <w:bookmarkStart w:id="369" w:name="Tc_6D80-5AtXkeH0g5xmAEmlA_4_11"/>
      <w:bookmarkStart w:id="370" w:name="Tc_fwcNIB4iF0KewRE4c-wn1w_4_8"/>
      <w:bookmarkStart w:id="371" w:name="Tc_niKpmLos4Eqs6zCEbjE9ZQ_4_5"/>
      <w:bookmarkStart w:id="372" w:name="Tc_no37vyciU0yOqAaVoG2n9Q_4_2"/>
      <w:bookmarkStart w:id="373" w:name="Tc_dbQ-DPm5GkCqniNn1wuL9w_3_18"/>
      <w:bookmarkStart w:id="374" w:name="Tc_qDKnoKnbNky1v_jps8UuUg_3_11"/>
      <w:bookmarkStart w:id="375" w:name="Tc_cMTr1SdmR0KVIFTqHDOHSw_3_5"/>
      <w:bookmarkStart w:id="376" w:name="Tc_0oHP1PmeyUu9UsMDwfelEg_3_2"/>
      <w:bookmarkStart w:id="377" w:name="Tc_gs8l0nPSeUO8e5dOsUwcSw_2_11"/>
      <w:bookmarkStart w:id="378" w:name="Tc_6VeE8vjpyEiS5VsXjqHMRg_1_2"/>
      <w:bookmarkStart w:id="379" w:name="_32cc6987_7d18_47b2_bc2a_e24eabd5e118"/>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tbl>
      <w:tblPr>
        <w:tblW w:w="10205" w:type="dxa"/>
        <w:jc w:val="left"/>
        <w:tblInd w:w="0" w:type="dxa"/>
        <w:tblLayout w:type="fixed"/>
        <w:tblCellMar>
          <w:top w:w="0" w:type="dxa"/>
          <w:left w:w="0" w:type="dxa"/>
          <w:bottom w:w="0" w:type="dxa"/>
          <w:right w:w="0" w:type="dxa"/>
        </w:tblCellMar>
      </w:tblPr>
      <w:tblGrid>
        <w:gridCol w:w="2171"/>
        <w:gridCol w:w="326"/>
        <w:gridCol w:w="280"/>
        <w:gridCol w:w="561"/>
        <w:gridCol w:w="326"/>
        <w:gridCol w:w="239"/>
        <w:gridCol w:w="767"/>
        <w:gridCol w:w="326"/>
        <w:gridCol w:w="211"/>
        <w:gridCol w:w="786"/>
        <w:gridCol w:w="326"/>
        <w:gridCol w:w="420"/>
        <w:gridCol w:w="961"/>
        <w:gridCol w:w="109"/>
        <w:gridCol w:w="341"/>
        <w:gridCol w:w="560"/>
        <w:gridCol w:w="146"/>
        <w:gridCol w:w="109"/>
        <w:gridCol w:w="237"/>
        <w:gridCol w:w="1003"/>
      </w:tblGrid>
      <w:tr>
        <w:trPr/>
        <w:tc>
          <w:tcPr>
            <w:tcW w:w="2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78585" cy="175260"/>
                      <wp:effectExtent l="0" t="0" r="0" b="0"/>
                      <wp:wrapNone/>
                      <wp:docPr id="29" name="Frame29"/>
                      <a:graphic xmlns:a="http://schemas.openxmlformats.org/drawingml/2006/main">
                        <a:graphicData uri="http://schemas.microsoft.com/office/word/2010/wordprocessingShape">
                          <wps:wsp>
                            <wps:cNvSpPr txBox="1"/>
                            <wps:spPr>
                              <a:xfrm>
                                <a:off x="0" y="0"/>
                                <a:ext cx="1378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77800" cy="175260"/>
                      <wp:effectExtent l="0" t="0" r="0" b="0"/>
                      <wp:wrapNone/>
                      <wp:docPr id="31" name="Frame3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56235" cy="175260"/>
                      <wp:effectExtent l="0" t="0" r="0" b="0"/>
                      <wp:wrapNone/>
                      <wp:docPr id="32" name="Frame32"/>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51765" cy="175260"/>
                      <wp:effectExtent l="0" t="0" r="0" b="0"/>
                      <wp:wrapNone/>
                      <wp:docPr id="34" name="Frame3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87045" cy="175260"/>
                      <wp:effectExtent l="0" t="0" r="0" b="0"/>
                      <wp:wrapNone/>
                      <wp:docPr id="35" name="Frame35"/>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9110" cy="175260"/>
                      <wp:effectExtent l="0" t="0" r="0" b="0"/>
                      <wp:wrapNone/>
                      <wp:docPr id="38" name="Frame3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66700" cy="175260"/>
                      <wp:effectExtent l="0" t="0" r="0" b="0"/>
                      <wp:wrapNone/>
                      <wp:docPr id="40" name="Frame40"/>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10235" cy="175260"/>
                      <wp:effectExtent l="0" t="0" r="0" b="0"/>
                      <wp:wrapNone/>
                      <wp:docPr id="41" name="Frame41"/>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6535" cy="175260"/>
                      <wp:effectExtent l="0" t="0" r="0" b="0"/>
                      <wp:wrapNone/>
                      <wp:docPr id="43" name="Frame43"/>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355600" cy="175260"/>
                      <wp:effectExtent l="0" t="0" r="0" b="0"/>
                      <wp:wrapNone/>
                      <wp:docPr id="44" name="Frame44"/>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92710" cy="175260"/>
                      <wp:effectExtent l="0" t="0" r="0" b="0"/>
                      <wp:wrapNone/>
                      <wp:docPr id="45" name="Frame4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50495" cy="175260"/>
                      <wp:effectExtent l="0" t="0" r="0" b="0"/>
                      <wp:wrapNone/>
                      <wp:docPr id="47" name="Frame4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36905" cy="175260"/>
                      <wp:effectExtent l="0" t="0" r="0" b="0"/>
                      <wp:wrapNone/>
                      <wp:docPr id="48" name="Frame48"/>
                      <a:graphic xmlns:a="http://schemas.openxmlformats.org/drawingml/2006/main">
                        <a:graphicData uri="http://schemas.microsoft.com/office/word/2010/wordprocessingShape">
                          <wps:wsp>
                            <wps:cNvSpPr txBox="1"/>
                            <wps:spPr>
                              <a:xfrm>
                                <a:off x="0" y="0"/>
                                <a:ext cx="636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08"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Three months ended September 30, 2022 and 2023 (unaudited)</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center"/>
              <w:rPr/>
            </w:pPr>
            <w:r>
              <w:rPr/>
              <w:t>​</w:t>
            </w:r>
          </w:p>
        </w:tc>
        <w:tc>
          <w:tcPr>
            <w:tcW w:w="5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7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109" w:type="dxa"/>
            <w:tcBorders/>
            <w:vAlign w:val="center"/>
          </w:tcPr>
          <w:p>
            <w:pPr>
              <w:pStyle w:val="TableContents"/>
              <w:bidi w:val="0"/>
              <w:spacing w:before="0" w:after="1"/>
              <w:ind w:left="0" w:right="0" w:hanging="0"/>
              <w:jc w:val="center"/>
              <w:rPr/>
            </w:pPr>
            <w:r>
              <w:rPr/>
              <w:t>​</w:t>
            </w:r>
          </w:p>
        </w:tc>
        <w:tc>
          <w:tcPr>
            <w:tcW w:w="341" w:type="dxa"/>
            <w:tcBorders/>
            <w:vAlign w:val="center"/>
          </w:tcPr>
          <w:p>
            <w:pPr>
              <w:pStyle w:val="TableContents"/>
              <w:bidi w:val="0"/>
              <w:spacing w:before="0" w:after="1"/>
              <w:ind w:left="0" w:right="0" w:hanging="0"/>
              <w:jc w:val="center"/>
              <w:rPr/>
            </w:pPr>
            <w:r>
              <w:rPr/>
              <w:t>​</w:t>
            </w:r>
          </w:p>
        </w:tc>
        <w:tc>
          <w:tcPr>
            <w:tcW w:w="560"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7" w:type="dxa"/>
            <w:tcBorders/>
            <w:vAlign w:val="center"/>
          </w:tcPr>
          <w:p>
            <w:pPr>
              <w:pStyle w:val="TableContents"/>
              <w:bidi w:val="0"/>
              <w:spacing w:before="0" w:after="1"/>
              <w:ind w:left="0" w:right="0" w:hanging="0"/>
              <w:jc w:val="center"/>
              <w:rPr/>
            </w:pPr>
            <w:r>
              <w:rPr/>
              <w:t>​</w:t>
            </w:r>
          </w:p>
        </w:tc>
        <w:tc>
          <w:tcPr>
            <w:tcW w:w="1003" w:type="dxa"/>
            <w:tcBorders/>
            <w:vAlign w:val="center"/>
          </w:tcPr>
          <w:p>
            <w:pPr>
              <w:pStyle w:val="TableContents"/>
              <w:bidi w:val="0"/>
              <w:spacing w:before="0" w:after="1"/>
              <w:ind w:left="0" w:right="0" w:hanging="0"/>
              <w:jc w:val="center"/>
              <w:rPr/>
            </w:pPr>
            <w:r>
              <w:rPr/>
              <w:t>​</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Class A</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240"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26" w:type="dxa"/>
            <w:tcBorders/>
            <w:vAlign w:val="center"/>
          </w:tcPr>
          <w:p>
            <w:pPr>
              <w:pStyle w:val="TableContents"/>
              <w:bidi w:val="0"/>
              <w:spacing w:before="0" w:after="1"/>
              <w:ind w:left="0" w:right="0" w:hanging="0"/>
              <w:jc w:val="left"/>
              <w:rPr/>
            </w:pPr>
            <w:r>
              <w:rPr/>
              <w:t>​</w:t>
            </w:r>
          </w:p>
        </w:tc>
        <w:tc>
          <w:tcPr>
            <w:tcW w:w="997"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Treasury</w:t>
            </w:r>
          </w:p>
        </w:tc>
        <w:tc>
          <w:tcPr>
            <w:tcW w:w="1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240"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stockholders'</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26" w:type="dxa"/>
            <w:tcBorders/>
            <w:vAlign w:val="center"/>
          </w:tcPr>
          <w:p>
            <w:pPr>
              <w:pStyle w:val="TableContents"/>
              <w:bidi w:val="0"/>
              <w:spacing w:before="0" w:after="1"/>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26" w:type="dxa"/>
            <w:tcBorders/>
            <w:vAlign w:val="center"/>
          </w:tcPr>
          <w:p>
            <w:pPr>
              <w:pStyle w:val="TableContents"/>
              <w:bidi w:val="0"/>
              <w:spacing w:before="0" w:after="1"/>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loss</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1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2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123,155</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176,433</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4,950</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left"/>
              <w:rPr/>
            </w:pPr>
            <w:r>
              <w:rPr/>
              <w:t> </w:t>
            </w:r>
          </w:p>
        </w:tc>
        <w:tc>
          <w:tcPr>
            <w:tcW w:w="56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vAlign w:val="center"/>
          </w:tcPr>
          <w:p>
            <w:pPr>
              <w:pStyle w:val="TableContents"/>
              <w:bidi w:val="0"/>
              <w:spacing w:before="0" w:after="1"/>
              <w:ind w:left="0" w:right="0" w:hanging="0"/>
              <w:jc w:val="left"/>
              <w:rPr/>
            </w:pPr>
            <w:r>
              <w:rPr/>
              <w:t> </w:t>
            </w:r>
          </w:p>
        </w:tc>
        <w:tc>
          <w:tcPr>
            <w:tcW w:w="10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4,950</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($2.00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(24,614)</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(24,614)</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 2022</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103,491</w:t>
            </w:r>
          </w:p>
        </w:tc>
        <w:tc>
          <w:tcPr>
            <w:tcW w:w="326" w:type="dxa"/>
            <w:tcBorders/>
            <w:vAlign w:val="center"/>
          </w:tcPr>
          <w:p>
            <w:pPr>
              <w:pStyle w:val="TableContents"/>
              <w:bidi w:val="0"/>
              <w:spacing w:before="0" w:after="1"/>
              <w:ind w:left="0" w:right="0" w:hanging="0"/>
              <w:jc w:val="left"/>
              <w:rPr/>
            </w:pPr>
            <w:r>
              <w:rPr/>
              <w:t>​</w:t>
            </w:r>
          </w:p>
        </w:tc>
        <w:tc>
          <w:tcPr>
            <w:tcW w:w="4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156,769</w:t>
            </w:r>
          </w:p>
        </w:tc>
      </w:tr>
      <w:tr>
        <w:trPr/>
        <w:tc>
          <w:tcPr>
            <w:tcW w:w="21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41" w:type="dxa"/>
            <w:tcBorders/>
            <w:vAlign w:val="center"/>
          </w:tcPr>
          <w:p>
            <w:pPr>
              <w:pStyle w:val="TableContents"/>
              <w:bidi w:val="0"/>
              <w:spacing w:before="0" w:after="1"/>
              <w:ind w:left="0" w:right="0" w:hanging="0"/>
              <w:jc w:val="left"/>
              <w:rPr/>
            </w:pPr>
            <w:r>
              <w:rPr/>
              <w:t>​</w:t>
            </w:r>
          </w:p>
        </w:tc>
        <w:tc>
          <w:tcPr>
            <w:tcW w:w="560"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1003" w:type="dxa"/>
            <w:tcBorders/>
            <w:vAlign w:val="center"/>
          </w:tcPr>
          <w:p>
            <w:pPr>
              <w:pStyle w:val="TableContents"/>
              <w:bidi w:val="0"/>
              <w:spacing w:before="0" w:after="1"/>
              <w:ind w:left="0" w:right="0" w:hanging="0"/>
              <w:jc w:val="left"/>
              <w:rPr/>
            </w:pPr>
            <w:r>
              <w:rPr/>
              <w:t>​</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109,160</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162,439</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5,757</w:t>
            </w:r>
          </w:p>
        </w:tc>
        <w:tc>
          <w:tcPr>
            <w:tcW w:w="32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41" w:type="dxa"/>
            <w:tcBorders/>
            <w:vAlign w:val="center"/>
          </w:tcPr>
          <w:p>
            <w:pPr>
              <w:pStyle w:val="TableContents"/>
              <w:bidi w:val="0"/>
              <w:spacing w:before="0" w:after="1"/>
              <w:ind w:left="0" w:right="0" w:hanging="0"/>
              <w:jc w:val="left"/>
              <w:rPr/>
            </w:pPr>
            <w:r>
              <w:rPr/>
              <w:t> </w:t>
            </w:r>
          </w:p>
        </w:tc>
        <w:tc>
          <w:tcPr>
            <w:tcW w:w="56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vAlign w:val="center"/>
          </w:tcPr>
          <w:p>
            <w:pPr>
              <w:pStyle w:val="TableContents"/>
              <w:bidi w:val="0"/>
              <w:spacing w:before="0" w:after="1"/>
              <w:ind w:left="0" w:right="0" w:hanging="0"/>
              <w:jc w:val="left"/>
              <w:rPr/>
            </w:pPr>
            <w:r>
              <w:rPr/>
              <w:t> </w:t>
            </w:r>
          </w:p>
        </w:tc>
        <w:tc>
          <w:tcPr>
            <w:tcW w:w="1003"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5,757</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($.25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(3,078)</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341" w:type="dxa"/>
            <w:tcBorders/>
            <w:shd w:fill="CCEEFF" w:val="clear"/>
            <w:vAlign w:val="center"/>
          </w:tcPr>
          <w:p>
            <w:pPr>
              <w:pStyle w:val="TableContents"/>
              <w:bidi w:val="0"/>
              <w:spacing w:before="0" w:after="1"/>
              <w:ind w:left="0" w:right="0" w:hanging="0"/>
              <w:jc w:val="left"/>
              <w:rPr/>
            </w:pPr>
            <w:r>
              <w:rPr/>
              <w:t> </w:t>
            </w:r>
          </w:p>
        </w:tc>
        <w:tc>
          <w:tcPr>
            <w:tcW w:w="56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1003"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(3,078)</w:t>
            </w:r>
          </w:p>
        </w:tc>
      </w:tr>
      <w:tr>
        <w:trPr/>
        <w:tc>
          <w:tcPr>
            <w:tcW w:w="21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w:t>
            </w:r>
          </w:p>
        </w:tc>
        <w:tc>
          <w:tcPr>
            <w:tcW w:w="109" w:type="dxa"/>
            <w:tcBorders/>
            <w:vAlign w:val="center"/>
          </w:tcPr>
          <w:p>
            <w:pPr>
              <w:pStyle w:val="TableContents"/>
              <w:bidi w:val="0"/>
              <w:spacing w:before="0" w:after="1"/>
              <w:ind w:left="0" w:right="0" w:hanging="0"/>
              <w:jc w:val="right"/>
              <w:rPr/>
            </w:pPr>
            <w:r>
              <w:rPr/>
              <w:t>​</w:t>
            </w:r>
          </w:p>
        </w:tc>
        <w:tc>
          <w:tcPr>
            <w:tcW w:w="34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w:t>
            </w:r>
          </w:p>
        </w:tc>
      </w:tr>
      <w:tr>
        <w:trPr/>
        <w:tc>
          <w:tcPr>
            <w:tcW w:w="21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53,275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111,839</w:t>
            </w:r>
          </w:p>
        </w:tc>
        <w:tc>
          <w:tcPr>
            <w:tcW w:w="326" w:type="dxa"/>
            <w:tcBorders/>
            <w:shd w:fill="CCEEFF" w:val="clear"/>
            <w:vAlign w:val="center"/>
          </w:tcPr>
          <w:p>
            <w:pPr>
              <w:pStyle w:val="TableContents"/>
              <w:bidi w:val="0"/>
              <w:spacing w:before="0" w:after="1"/>
              <w:ind w:left="0" w:right="0" w:hanging="0"/>
              <w:jc w:val="left"/>
              <w:rPr/>
            </w:pPr>
            <w:r>
              <w:rPr/>
              <w:t>​</w:t>
            </w:r>
          </w:p>
        </w:tc>
        <w:tc>
          <w:tcPr>
            <w:tcW w:w="4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w:t>
            </w:r>
          </w:p>
        </w:tc>
        <w:tc>
          <w:tcPr>
            <w:tcW w:w="109" w:type="dxa"/>
            <w:tcBorders/>
            <w:shd w:fill="CCEEFF" w:val="clear"/>
            <w:vAlign w:val="center"/>
          </w:tcPr>
          <w:p>
            <w:pPr>
              <w:pStyle w:val="TableContents"/>
              <w:bidi w:val="0"/>
              <w:spacing w:before="0" w:after="1"/>
              <w:ind w:left="0" w:right="0" w:hanging="0"/>
              <w:jc w:val="right"/>
              <w:rPr/>
            </w:pPr>
            <w:r>
              <w:rPr/>
              <w:t>​</w:t>
            </w:r>
          </w:p>
        </w:tc>
        <w:tc>
          <w:tcPr>
            <w:tcW w:w="34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165,148</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80" w:name="Tc_LGg9UIJtKkabW8JCoZtG7A_20_18"/>
      <w:bookmarkStart w:id="381" w:name="Tc_SCs-zDiMYE6QynP-UCDpaA_20_15"/>
      <w:bookmarkStart w:id="382" w:name="Tc_WuQVNQCt1kSJgYiA6OPuyg_20_14"/>
      <w:bookmarkStart w:id="383" w:name="Tc_IwGlQOKjzESkObBRj4RZEA_20_11"/>
      <w:bookmarkStart w:id="384" w:name="Tc_nguoFWq1Z0eSp0MnEE6xMA_20_8"/>
      <w:bookmarkStart w:id="385" w:name="Tc_2kF8YoYihEanuBDP4Mh2Aw_20_5"/>
      <w:bookmarkStart w:id="386" w:name="Tc_LuBG8AyP7EmFrYhb8hrjhw_20_2"/>
      <w:bookmarkStart w:id="387" w:name="Tc_MpCKbVZ8AkqLq5U4Pbdf2A_20_0"/>
      <w:bookmarkStart w:id="388" w:name="Tc_HcktHrQy8UiDopwvk6bMfg_19_15"/>
      <w:bookmarkStart w:id="389" w:name="Tc_ftCyKI2iWUCaAI6QOibkWw_19_9"/>
      <w:bookmarkStart w:id="390" w:name="Tc_g5GNyDsoRUq-oKU99yKSgg_19_6"/>
      <w:bookmarkStart w:id="391" w:name="Tc_uzWvC_skIkCIy1oTPhY2Ig_19_3"/>
      <w:bookmarkStart w:id="392" w:name="Tc_ADc6Op_bXkykofqclsN02w_19_0"/>
      <w:bookmarkStart w:id="393" w:name="Tc_VpTP9D_85UmRdewtDvdE_A_18_15"/>
      <w:bookmarkStart w:id="394" w:name="Tc_4ZwEk62Rmku-UmGON6tctQ_18_12"/>
      <w:bookmarkStart w:id="395" w:name="Tc_H5DPED6Ai0-TIcYzegO1iA_18_6"/>
      <w:bookmarkStart w:id="396" w:name="Tc_bBBBsGck1E2uWpwFm6qELQ_18_3"/>
      <w:bookmarkStart w:id="397" w:name="Tc__SvoF7vU1kaVw50T3CSryg_18_0"/>
      <w:bookmarkStart w:id="398" w:name="Tc_rHmeKohCJE-pqRC02P2mYw_17_15"/>
      <w:bookmarkStart w:id="399" w:name="Tc_u6rm31GYWUqBN3Vet8lQ5w_17_12"/>
      <w:bookmarkStart w:id="400" w:name="Tc_Ab1OmWKjhkG4jXwX87oUNA_17_9"/>
      <w:bookmarkStart w:id="401" w:name="Tc_Kl-EvoutfUaKAhKRfhy9CQ_17_3"/>
      <w:bookmarkStart w:id="402" w:name="Tc_6pYbSiMO80CI71X5mBP2bA_17_0"/>
      <w:bookmarkStart w:id="403" w:name="Tc_GCqN4ZbyWkaqMTWiWOghzw_16_15"/>
      <w:bookmarkStart w:id="404" w:name="Tc_uWjp9ExA8Uatz__wndbhfw_16_12"/>
      <w:bookmarkStart w:id="405" w:name="Tc_Vw--YBYr4UuFFKLJ78y6xw_16_6"/>
      <w:bookmarkStart w:id="406" w:name="Tc_nzoPSsAxHkiHWU4GuxEbsQ_16_3"/>
      <w:bookmarkStart w:id="407" w:name="Tc_zsdXEhjVCEmYG3M0pCBeTA_16_0"/>
      <w:bookmarkStart w:id="408" w:name="Tc_VcTRQs0hRU6OOi6ZaqiAGg_15_18"/>
      <w:bookmarkStart w:id="409" w:name="Tc_J-bR7Pqf70m91ZP7WU2H-w_15_15"/>
      <w:bookmarkStart w:id="410" w:name="Tc_eF9e71goz0Wd1pz8ZIxmvA_15_14"/>
      <w:bookmarkStart w:id="411" w:name="Tc_IJ62mkmd9k-cDp-gSCN3tQ_15_11"/>
      <w:bookmarkStart w:id="412" w:name="Tc_1lEXqutg5U23JapmhjxSNA_15_8"/>
      <w:bookmarkStart w:id="413" w:name="Tc_nrU6eGuO7EOfhuPEkUPF0A_15_5"/>
      <w:bookmarkStart w:id="414" w:name="Tc_TFO2mDipcE-8xOalvWC6Bw_15_2"/>
      <w:bookmarkStart w:id="415" w:name="Tc_S024JcG0W0qTI9yipkyJjA_15_0"/>
      <w:bookmarkStart w:id="416" w:name="Tc_wUsoetOqmkC_30NCLuOerQ_13_18"/>
      <w:bookmarkStart w:id="417" w:name="Tc_RLyMNzI_mU6gPJ10_sieZQ_13_15"/>
      <w:bookmarkStart w:id="418" w:name="Tc_I6GkLAvvzUaXGtWJKPEejA_13_14"/>
      <w:bookmarkStart w:id="419" w:name="Tc_GXsfwcHch0-LBkVvBsMPQg_13_12"/>
      <w:bookmarkStart w:id="420" w:name="Tc_aNGfnsEz006mt43Q7n9-DA_13_11"/>
      <w:bookmarkStart w:id="421" w:name="Tc_wDyx2-dPuEart9VZuJSWKw_13_8"/>
      <w:bookmarkStart w:id="422" w:name="Tc_shm8qgLUiEKYojsIMj5F8w_13_5"/>
      <w:bookmarkStart w:id="423" w:name="Tc_arQLWGb280mOh2UPRohrag_13_2"/>
      <w:bookmarkStart w:id="424" w:name="Tc_xxocxXxR2UOl_62I2wPNcw_13_0"/>
      <w:bookmarkStart w:id="425" w:name="Tc_G7fiXlonZEO-FGXsQudajA_12_15"/>
      <w:bookmarkStart w:id="426" w:name="Tc_taB8uzn5iE2SMJkXgL6G2A_12_12"/>
      <w:bookmarkStart w:id="427" w:name="Tc_jhRehmBLfkWIWHIGpb4jDA_12_6"/>
      <w:bookmarkStart w:id="428" w:name="Tc_KQNJT7JJcUiJLfMTZABXKw_12_3"/>
      <w:bookmarkStart w:id="429" w:name="Tc_XzCSpOk_N02uvwyGfCTBFA_12_0"/>
      <w:bookmarkStart w:id="430" w:name="Tc_DHvo2ZXJrkuE3_vjbW__5g_11_19"/>
      <w:bookmarkStart w:id="431" w:name="Tc__J4RAah4QkSPKrw-chRj4g_11_12"/>
      <w:bookmarkStart w:id="432" w:name="Tc_Eez53kClQUqdq3bjYEMjfA_11_9"/>
      <w:bookmarkStart w:id="433" w:name="Tc_whmnYAPEI0Ki6azLoQDNnw_11_0"/>
      <w:bookmarkStart w:id="434" w:name="Tc_qZQLfeGZLEer_NNDa09H7g_10_12"/>
      <w:bookmarkStart w:id="435" w:name="Tc_futZ-DcRWUevA8ZFPl4slg_10_9"/>
      <w:bookmarkStart w:id="436" w:name="Tc_000mcyfreEKesCw7zbBuWQ_10_6"/>
      <w:bookmarkStart w:id="437" w:name="Tc_Z0VYqlz-c0Kr1aVhWi7oQQ_10_3"/>
      <w:bookmarkStart w:id="438" w:name="Tc_J0zUe1JBtkiPpY8V7BXlrg_10_0"/>
      <w:bookmarkStart w:id="439" w:name="Tc_eSs11QnKGE2xACQoW8zpjA_9_0"/>
      <w:bookmarkStart w:id="440" w:name="Tc_In_cepUsgEWinvIxTDZIuA_8_15"/>
      <w:bookmarkStart w:id="441" w:name="Tc_jUPSPMabAkWJWCsDcoA0fA_8_12"/>
      <w:bookmarkStart w:id="442" w:name="Tc_mE2avtJ-70yQckNLhTyDyw_8_9"/>
      <w:bookmarkStart w:id="443" w:name="Tc_ZnPJuiT-xkin-XHhwdr00A_8_3"/>
      <w:bookmarkStart w:id="444" w:name="Tc_iLdzEeaq5Em21OweWjCfng_8_0"/>
      <w:bookmarkStart w:id="445" w:name="Tc_HwPkiYVc5kqVSwzZe90unQ_7_15"/>
      <w:bookmarkStart w:id="446" w:name="Tc_PqV79yp9kUy_TECZLYveiw_7_12"/>
      <w:bookmarkStart w:id="447" w:name="Tc_QRyROJXynE6V_dh7xSmQHw_7_6"/>
      <w:bookmarkStart w:id="448" w:name="Tc_INU4DTe9r0WIqqLm78m5NQ_7_3"/>
      <w:bookmarkStart w:id="449" w:name="Tc_mbmFuavlL0ujC0HbEjqOCA_7_0"/>
      <w:bookmarkStart w:id="450" w:name="Tc_kuqfodMbtEecmSWwkMuPuQ_6_18"/>
      <w:bookmarkStart w:id="451" w:name="Tc_7gk76JTBF0OZ5qIqr5AwZQ_6_15"/>
      <w:bookmarkStart w:id="452" w:name="Tc_lJAE5lotTEeE3PDtm2i13A_6_14"/>
      <w:bookmarkStart w:id="453" w:name="Tc_0vJO211kKUy3PP4RD5kjpw_6_12"/>
      <w:bookmarkStart w:id="454" w:name="Tc_UlvVMdtrk0KlIZ0zclhNpg_6_11"/>
      <w:bookmarkStart w:id="455" w:name="Tc_G5W9pkhqS0Cf4D5MdkKd9A_6_8"/>
      <w:bookmarkStart w:id="456" w:name="Tc_Z_Ne7tJWXk28jxnM5UL3BA_6_5"/>
      <w:bookmarkStart w:id="457" w:name="Tc_M9nX84LO50mLNKLUn56rsw_6_2"/>
      <w:bookmarkStart w:id="458" w:name="Tc_uZ3Fl_ky60yuMPOIZWGvbQ_6_0"/>
      <w:bookmarkStart w:id="459" w:name="Tc_BRBnACDzkEeMc1cPfupVwg_5_18"/>
      <w:bookmarkStart w:id="460" w:name="Tc_qmYC4moOXUGnL8tYEvlWDQ_5_14"/>
      <w:bookmarkStart w:id="461" w:name="Tc_yYfXViY78Ee7NzvQ0YgyXg_5_11"/>
      <w:bookmarkStart w:id="462" w:name="Tc_SVhGrueyQkixOrLLc-6Qaw_5_8"/>
      <w:bookmarkStart w:id="463" w:name="Tc_o5v4r6GoEk6arPSmzICH2w_5_5"/>
      <w:bookmarkStart w:id="464" w:name="Tc_qYuozjzrjUqy4P-uhHUIRQ_5_2"/>
      <w:bookmarkStart w:id="465" w:name="Tc_qc2k_V19aUq4TQU4_aYiQw_4_18"/>
      <w:bookmarkStart w:id="466" w:name="Tc_3SrVFZ45vUmu4VPQxJBGgg_4_14"/>
      <w:bookmarkStart w:id="467" w:name="Tc_vnWYOOMDLEyr6QcTjgRcJg_4_11"/>
      <w:bookmarkStart w:id="468" w:name="Tc_9t6MwEbD7kGa77LDY-vEPA_4_8"/>
      <w:bookmarkStart w:id="469" w:name="Tc_0K9rHLXLy0SdYmvKqsKp1w_4_5"/>
      <w:bookmarkStart w:id="470" w:name="Tc_wGVErZvIE0qeCTwU80PQaA_4_2"/>
      <w:bookmarkStart w:id="471" w:name="Tc_2cwFfoQubEmZpqTZ4XzlDQ_3_18"/>
      <w:bookmarkStart w:id="472" w:name="Tc_c7FEuEnmfUa_FKC-1tzKRg_3_11"/>
      <w:bookmarkStart w:id="473" w:name="Tc_2PKfCm0YZU2wCYr8JoP8DA_3_5"/>
      <w:bookmarkStart w:id="474" w:name="Tc_Yg_kqeAFZEym_P545ebFBQ_3_2"/>
      <w:bookmarkStart w:id="475" w:name="Tc_vUZ3_ktimkWGi6ad1voDvQ_2_11"/>
      <w:bookmarkStart w:id="476" w:name="Tc_i8kBkyO-_EiqIhRg1I5oUQ_1_2"/>
      <w:bookmarkStart w:id="477" w:name="_854f1e9f_172d_4cf1_9480_ec290d287929"/>
      <w:bookmarkStart w:id="478" w:name="Tc_LGg9UIJtKkabW8JCoZtG7A_20_18"/>
      <w:bookmarkStart w:id="479" w:name="Tc_SCs-zDiMYE6QynP-UCDpaA_20_15"/>
      <w:bookmarkStart w:id="480" w:name="Tc_WuQVNQCt1kSJgYiA6OPuyg_20_14"/>
      <w:bookmarkStart w:id="481" w:name="Tc_IwGlQOKjzESkObBRj4RZEA_20_11"/>
      <w:bookmarkStart w:id="482" w:name="Tc_nguoFWq1Z0eSp0MnEE6xMA_20_8"/>
      <w:bookmarkStart w:id="483" w:name="Tc_2kF8YoYihEanuBDP4Mh2Aw_20_5"/>
      <w:bookmarkStart w:id="484" w:name="Tc_LuBG8AyP7EmFrYhb8hrjhw_20_2"/>
      <w:bookmarkStart w:id="485" w:name="Tc_MpCKbVZ8AkqLq5U4Pbdf2A_20_0"/>
      <w:bookmarkStart w:id="486" w:name="Tc_HcktHrQy8UiDopwvk6bMfg_19_15"/>
      <w:bookmarkStart w:id="487" w:name="Tc_ftCyKI2iWUCaAI6QOibkWw_19_9"/>
      <w:bookmarkStart w:id="488" w:name="Tc_g5GNyDsoRUq-oKU99yKSgg_19_6"/>
      <w:bookmarkStart w:id="489" w:name="Tc_uzWvC_skIkCIy1oTPhY2Ig_19_3"/>
      <w:bookmarkStart w:id="490" w:name="Tc_ADc6Op_bXkykofqclsN02w_19_0"/>
      <w:bookmarkStart w:id="491" w:name="Tc_VpTP9D_85UmRdewtDvdE_A_18_15"/>
      <w:bookmarkStart w:id="492" w:name="Tc_4ZwEk62Rmku-UmGON6tctQ_18_12"/>
      <w:bookmarkStart w:id="493" w:name="Tc_H5DPED6Ai0-TIcYzegO1iA_18_6"/>
      <w:bookmarkStart w:id="494" w:name="Tc_bBBBsGck1E2uWpwFm6qELQ_18_3"/>
      <w:bookmarkStart w:id="495" w:name="Tc__SvoF7vU1kaVw50T3CSryg_18_0"/>
      <w:bookmarkStart w:id="496" w:name="Tc_rHmeKohCJE-pqRC02P2mYw_17_15"/>
      <w:bookmarkStart w:id="497" w:name="Tc_u6rm31GYWUqBN3Vet8lQ5w_17_12"/>
      <w:bookmarkStart w:id="498" w:name="Tc_Ab1OmWKjhkG4jXwX87oUNA_17_9"/>
      <w:bookmarkStart w:id="499" w:name="Tc_Kl-EvoutfUaKAhKRfhy9CQ_17_3"/>
      <w:bookmarkStart w:id="500" w:name="Tc_6pYbSiMO80CI71X5mBP2bA_17_0"/>
      <w:bookmarkStart w:id="501" w:name="Tc_GCqN4ZbyWkaqMTWiWOghzw_16_15"/>
      <w:bookmarkStart w:id="502" w:name="Tc_uWjp9ExA8Uatz__wndbhfw_16_12"/>
      <w:bookmarkStart w:id="503" w:name="Tc_Vw--YBYr4UuFFKLJ78y6xw_16_6"/>
      <w:bookmarkStart w:id="504" w:name="Tc_nzoPSsAxHkiHWU4GuxEbsQ_16_3"/>
      <w:bookmarkStart w:id="505" w:name="Tc_zsdXEhjVCEmYG3M0pCBeTA_16_0"/>
      <w:bookmarkStart w:id="506" w:name="Tc_VcTRQs0hRU6OOi6ZaqiAGg_15_18"/>
      <w:bookmarkStart w:id="507" w:name="Tc_J-bR7Pqf70m91ZP7WU2H-w_15_15"/>
      <w:bookmarkStart w:id="508" w:name="Tc_eF9e71goz0Wd1pz8ZIxmvA_15_14"/>
      <w:bookmarkStart w:id="509" w:name="Tc_IJ62mkmd9k-cDp-gSCN3tQ_15_11"/>
      <w:bookmarkStart w:id="510" w:name="Tc_1lEXqutg5U23JapmhjxSNA_15_8"/>
      <w:bookmarkStart w:id="511" w:name="Tc_nrU6eGuO7EOfhuPEkUPF0A_15_5"/>
      <w:bookmarkStart w:id="512" w:name="Tc_TFO2mDipcE-8xOalvWC6Bw_15_2"/>
      <w:bookmarkStart w:id="513" w:name="Tc_S024JcG0W0qTI9yipkyJjA_15_0"/>
      <w:bookmarkStart w:id="514" w:name="Tc_wUsoetOqmkC_30NCLuOerQ_13_18"/>
      <w:bookmarkStart w:id="515" w:name="Tc_RLyMNzI_mU6gPJ10_sieZQ_13_15"/>
      <w:bookmarkStart w:id="516" w:name="Tc_I6GkLAvvzUaXGtWJKPEejA_13_14"/>
      <w:bookmarkStart w:id="517" w:name="Tc_GXsfwcHch0-LBkVvBsMPQg_13_12"/>
      <w:bookmarkStart w:id="518" w:name="Tc_aNGfnsEz006mt43Q7n9-DA_13_11"/>
      <w:bookmarkStart w:id="519" w:name="Tc_wDyx2-dPuEart9VZuJSWKw_13_8"/>
      <w:bookmarkStart w:id="520" w:name="Tc_shm8qgLUiEKYojsIMj5F8w_13_5"/>
      <w:bookmarkStart w:id="521" w:name="Tc_arQLWGb280mOh2UPRohrag_13_2"/>
      <w:bookmarkStart w:id="522" w:name="Tc_xxocxXxR2UOl_62I2wPNcw_13_0"/>
      <w:bookmarkStart w:id="523" w:name="Tc_G7fiXlonZEO-FGXsQudajA_12_15"/>
      <w:bookmarkStart w:id="524" w:name="Tc_taB8uzn5iE2SMJkXgL6G2A_12_12"/>
      <w:bookmarkStart w:id="525" w:name="Tc_jhRehmBLfkWIWHIGpb4jDA_12_6"/>
      <w:bookmarkStart w:id="526" w:name="Tc_KQNJT7JJcUiJLfMTZABXKw_12_3"/>
      <w:bookmarkStart w:id="527" w:name="Tc_XzCSpOk_N02uvwyGfCTBFA_12_0"/>
      <w:bookmarkStart w:id="528" w:name="Tc_DHvo2ZXJrkuE3_vjbW__5g_11_19"/>
      <w:bookmarkStart w:id="529" w:name="Tc__J4RAah4QkSPKrw-chRj4g_11_12"/>
      <w:bookmarkStart w:id="530" w:name="Tc_Eez53kClQUqdq3bjYEMjfA_11_9"/>
      <w:bookmarkStart w:id="531" w:name="Tc_whmnYAPEI0Ki6azLoQDNnw_11_0"/>
      <w:bookmarkStart w:id="532" w:name="Tc_qZQLfeGZLEer_NNDa09H7g_10_12"/>
      <w:bookmarkStart w:id="533" w:name="Tc_futZ-DcRWUevA8ZFPl4slg_10_9"/>
      <w:bookmarkStart w:id="534" w:name="Tc_000mcyfreEKesCw7zbBuWQ_10_6"/>
      <w:bookmarkStart w:id="535" w:name="Tc_Z0VYqlz-c0Kr1aVhWi7oQQ_10_3"/>
      <w:bookmarkStart w:id="536" w:name="Tc_J0zUe1JBtkiPpY8V7BXlrg_10_0"/>
      <w:bookmarkStart w:id="537" w:name="Tc_eSs11QnKGE2xACQoW8zpjA_9_0"/>
      <w:bookmarkStart w:id="538" w:name="Tc_In_cepUsgEWinvIxTDZIuA_8_15"/>
      <w:bookmarkStart w:id="539" w:name="Tc_jUPSPMabAkWJWCsDcoA0fA_8_12"/>
      <w:bookmarkStart w:id="540" w:name="Tc_mE2avtJ-70yQckNLhTyDyw_8_9"/>
      <w:bookmarkStart w:id="541" w:name="Tc_ZnPJuiT-xkin-XHhwdr00A_8_3"/>
      <w:bookmarkStart w:id="542" w:name="Tc_iLdzEeaq5Em21OweWjCfng_8_0"/>
      <w:bookmarkStart w:id="543" w:name="Tc_HwPkiYVc5kqVSwzZe90unQ_7_15"/>
      <w:bookmarkStart w:id="544" w:name="Tc_PqV79yp9kUy_TECZLYveiw_7_12"/>
      <w:bookmarkStart w:id="545" w:name="Tc_QRyROJXynE6V_dh7xSmQHw_7_6"/>
      <w:bookmarkStart w:id="546" w:name="Tc_INU4DTe9r0WIqqLm78m5NQ_7_3"/>
      <w:bookmarkStart w:id="547" w:name="Tc_mbmFuavlL0ujC0HbEjqOCA_7_0"/>
      <w:bookmarkStart w:id="548" w:name="Tc_kuqfodMbtEecmSWwkMuPuQ_6_18"/>
      <w:bookmarkStart w:id="549" w:name="Tc_7gk76JTBF0OZ5qIqr5AwZQ_6_15"/>
      <w:bookmarkStart w:id="550" w:name="Tc_lJAE5lotTEeE3PDtm2i13A_6_14"/>
      <w:bookmarkStart w:id="551" w:name="Tc_0vJO211kKUy3PP4RD5kjpw_6_12"/>
      <w:bookmarkStart w:id="552" w:name="Tc_UlvVMdtrk0KlIZ0zclhNpg_6_11"/>
      <w:bookmarkStart w:id="553" w:name="Tc_G5W9pkhqS0Cf4D5MdkKd9A_6_8"/>
      <w:bookmarkStart w:id="554" w:name="Tc_Z_Ne7tJWXk28jxnM5UL3BA_6_5"/>
      <w:bookmarkStart w:id="555" w:name="Tc_M9nX84LO50mLNKLUn56rsw_6_2"/>
      <w:bookmarkStart w:id="556" w:name="Tc_uZ3Fl_ky60yuMPOIZWGvbQ_6_0"/>
      <w:bookmarkStart w:id="557" w:name="Tc_BRBnACDzkEeMc1cPfupVwg_5_18"/>
      <w:bookmarkStart w:id="558" w:name="Tc_qmYC4moOXUGnL8tYEvlWDQ_5_14"/>
      <w:bookmarkStart w:id="559" w:name="Tc_yYfXViY78Ee7NzvQ0YgyXg_5_11"/>
      <w:bookmarkStart w:id="560" w:name="Tc_SVhGrueyQkixOrLLc-6Qaw_5_8"/>
      <w:bookmarkStart w:id="561" w:name="Tc_o5v4r6GoEk6arPSmzICH2w_5_5"/>
      <w:bookmarkStart w:id="562" w:name="Tc_qYuozjzrjUqy4P-uhHUIRQ_5_2"/>
      <w:bookmarkStart w:id="563" w:name="Tc_qc2k_V19aUq4TQU4_aYiQw_4_18"/>
      <w:bookmarkStart w:id="564" w:name="Tc_3SrVFZ45vUmu4VPQxJBGgg_4_14"/>
      <w:bookmarkStart w:id="565" w:name="Tc_vnWYOOMDLEyr6QcTjgRcJg_4_11"/>
      <w:bookmarkStart w:id="566" w:name="Tc_9t6MwEbD7kGa77LDY-vEPA_4_8"/>
      <w:bookmarkStart w:id="567" w:name="Tc_0K9rHLXLy0SdYmvKqsKp1w_4_5"/>
      <w:bookmarkStart w:id="568" w:name="Tc_wGVErZvIE0qeCTwU80PQaA_4_2"/>
      <w:bookmarkStart w:id="569" w:name="Tc_2cwFfoQubEmZpqTZ4XzlDQ_3_18"/>
      <w:bookmarkStart w:id="570" w:name="Tc_c7FEuEnmfUa_FKC-1tzKRg_3_11"/>
      <w:bookmarkStart w:id="571" w:name="Tc_2PKfCm0YZU2wCYr8JoP8DA_3_5"/>
      <w:bookmarkStart w:id="572" w:name="Tc_Yg_kqeAFZEym_P545ebFBQ_3_2"/>
      <w:bookmarkStart w:id="573" w:name="Tc_vUZ3_ktimkWGi6ad1voDvQ_2_11"/>
      <w:bookmarkStart w:id="574" w:name="Tc_i8kBkyO-_EiqIhRg1I5oUQ_1_2"/>
      <w:bookmarkStart w:id="575" w:name="_854f1e9f_172d_4cf1_9480_ec290d287929"/>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tbl>
      <w:tblPr>
        <w:tblW w:w="10205" w:type="dxa"/>
        <w:jc w:val="left"/>
        <w:tblInd w:w="0" w:type="dxa"/>
        <w:tblLayout w:type="fixed"/>
        <w:tblCellMar>
          <w:top w:w="0" w:type="dxa"/>
          <w:left w:w="0" w:type="dxa"/>
          <w:bottom w:w="0" w:type="dxa"/>
          <w:right w:w="0" w:type="dxa"/>
        </w:tblCellMar>
      </w:tblPr>
      <w:tblGrid>
        <w:gridCol w:w="2170"/>
        <w:gridCol w:w="326"/>
        <w:gridCol w:w="280"/>
        <w:gridCol w:w="561"/>
        <w:gridCol w:w="326"/>
        <w:gridCol w:w="239"/>
        <w:gridCol w:w="767"/>
        <w:gridCol w:w="326"/>
        <w:gridCol w:w="211"/>
        <w:gridCol w:w="786"/>
        <w:gridCol w:w="326"/>
        <w:gridCol w:w="496"/>
        <w:gridCol w:w="885"/>
        <w:gridCol w:w="109"/>
        <w:gridCol w:w="211"/>
        <w:gridCol w:w="690"/>
        <w:gridCol w:w="146"/>
        <w:gridCol w:w="109"/>
        <w:gridCol w:w="237"/>
        <w:gridCol w:w="1004"/>
      </w:tblGrid>
      <w:tr>
        <w:trPr/>
        <w:tc>
          <w:tcPr>
            <w:tcW w:w="2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77950" cy="175260"/>
                      <wp:effectExtent l="0" t="0" r="0" b="0"/>
                      <wp:wrapNone/>
                      <wp:docPr id="49" name="Frame49"/>
                      <a:graphic xmlns:a="http://schemas.openxmlformats.org/drawingml/2006/main">
                        <a:graphicData uri="http://schemas.microsoft.com/office/word/2010/wordprocessingShape">
                          <wps:wsp>
                            <wps:cNvSpPr txBox="1"/>
                            <wps:spPr>
                              <a:xfrm>
                                <a:off x="0" y="0"/>
                                <a:ext cx="137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77800" cy="175260"/>
                      <wp:effectExtent l="0" t="0" r="0" b="0"/>
                      <wp:wrapNone/>
                      <wp:docPr id="51" name="Frame5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56235" cy="175260"/>
                      <wp:effectExtent l="0" t="0" r="0" b="0"/>
                      <wp:wrapNone/>
                      <wp:docPr id="52" name="Frame52"/>
                      <a:graphic xmlns:a="http://schemas.openxmlformats.org/drawingml/2006/main">
                        <a:graphicData uri="http://schemas.microsoft.com/office/word/2010/wordprocessingShape">
                          <wps:wsp>
                            <wps:cNvSpPr txBox="1"/>
                            <wps:spPr>
                              <a:xfrm>
                                <a:off x="0" y="0"/>
                                <a:ext cx="356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51765" cy="175260"/>
                      <wp:effectExtent l="0" t="0" r="0" b="0"/>
                      <wp:wrapNone/>
                      <wp:docPr id="54" name="Frame5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87045" cy="175260"/>
                      <wp:effectExtent l="0" t="0" r="0" b="0"/>
                      <wp:wrapNone/>
                      <wp:docPr id="55" name="Frame55"/>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9110" cy="175260"/>
                      <wp:effectExtent l="0" t="0" r="0" b="0"/>
                      <wp:wrapNone/>
                      <wp:docPr id="58" name="Frame58"/>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14960" cy="175260"/>
                      <wp:effectExtent l="0" t="0" r="0" b="0"/>
                      <wp:wrapNone/>
                      <wp:docPr id="60" name="Frame60"/>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61975" cy="175260"/>
                      <wp:effectExtent l="0" t="0" r="0" b="0"/>
                      <wp:wrapNone/>
                      <wp:docPr id="61" name="Frame61"/>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2"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38150" cy="175260"/>
                      <wp:effectExtent l="0" t="0" r="0" b="0"/>
                      <wp:wrapNone/>
                      <wp:docPr id="64" name="Frame64"/>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92710" cy="175260"/>
                      <wp:effectExtent l="0" t="0" r="0" b="0"/>
                      <wp:wrapNone/>
                      <wp:docPr id="65" name="Frame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0495" cy="175260"/>
                      <wp:effectExtent l="0" t="0" r="0" b="0"/>
                      <wp:wrapNone/>
                      <wp:docPr id="67" name="Frame6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37540" cy="175260"/>
                      <wp:effectExtent l="0" t="0" r="0" b="0"/>
                      <wp:wrapNone/>
                      <wp:docPr id="68" name="Frame68"/>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709"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2022 and 2023 (unaudited)</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center"/>
              <w:rPr/>
            </w:pPr>
            <w:r>
              <w:rPr/>
              <w:t>​</w:t>
            </w:r>
          </w:p>
        </w:tc>
        <w:tc>
          <w:tcPr>
            <w:tcW w:w="5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76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90"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37" w:type="dxa"/>
            <w:tcBorders/>
            <w:vAlign w:val="center"/>
          </w:tcPr>
          <w:p>
            <w:pPr>
              <w:pStyle w:val="TableContents"/>
              <w:bidi w:val="0"/>
              <w:spacing w:before="0" w:after="1"/>
              <w:ind w:left="0" w:right="0" w:hanging="0"/>
              <w:jc w:val="center"/>
              <w:rPr/>
            </w:pPr>
            <w:r>
              <w:rPr/>
              <w:t>​</w:t>
            </w:r>
          </w:p>
        </w:tc>
        <w:tc>
          <w:tcPr>
            <w:tcW w:w="1004" w:type="dxa"/>
            <w:tcBorders/>
            <w:vAlign w:val="center"/>
          </w:tcPr>
          <w:p>
            <w:pPr>
              <w:pStyle w:val="TableContents"/>
              <w:bidi w:val="0"/>
              <w:spacing w:before="0" w:after="1"/>
              <w:ind w:left="0" w:right="0" w:hanging="0"/>
              <w:jc w:val="center"/>
              <w:rPr/>
            </w:pPr>
            <w:r>
              <w:rPr/>
              <w:t>​</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Additional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24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w:t>
            </w:r>
          </w:p>
        </w:tc>
        <w:tc>
          <w:tcPr>
            <w:tcW w:w="326" w:type="dxa"/>
            <w:tcBorders/>
            <w:vAlign w:val="center"/>
          </w:tcPr>
          <w:p>
            <w:pPr>
              <w:pStyle w:val="TableContents"/>
              <w:bidi w:val="0"/>
              <w:spacing w:before="0" w:after="1"/>
              <w:ind w:left="0" w:right="0" w:hanging="0"/>
              <w:jc w:val="left"/>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paid-in</w:t>
            </w:r>
          </w:p>
        </w:tc>
        <w:tc>
          <w:tcPr>
            <w:tcW w:w="326" w:type="dxa"/>
            <w:tcBorders/>
            <w:vAlign w:val="center"/>
          </w:tcPr>
          <w:p>
            <w:pPr>
              <w:pStyle w:val="TableContents"/>
              <w:bidi w:val="0"/>
              <w:spacing w:before="0" w:after="1"/>
              <w:ind w:left="0" w:right="0" w:hanging="0"/>
              <w:jc w:val="left"/>
              <w:rPr/>
            </w:pPr>
            <w:r>
              <w:rPr/>
              <w:t>​</w:t>
            </w:r>
          </w:p>
        </w:tc>
        <w:tc>
          <w:tcPr>
            <w:tcW w:w="997"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Retained</w:t>
            </w:r>
          </w:p>
        </w:tc>
        <w:tc>
          <w:tcPr>
            <w:tcW w:w="326" w:type="dxa"/>
            <w:tcBorders/>
            <w:vAlign w:val="center"/>
          </w:tcPr>
          <w:p>
            <w:pPr>
              <w:pStyle w:val="TableContents"/>
              <w:bidi w:val="0"/>
              <w:spacing w:before="0" w:after="1"/>
              <w:ind w:left="0" w:right="0" w:hanging="0"/>
              <w:jc w:val="left"/>
              <w:rPr/>
            </w:pPr>
            <w:r>
              <w:rPr/>
              <w:t>​</w:t>
            </w:r>
          </w:p>
        </w:tc>
        <w:tc>
          <w:tcPr>
            <w:tcW w:w="1381" w:type="dxa"/>
            <w:gridSpan w:val="2"/>
            <w:tcBorders/>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109" w:type="dxa"/>
            <w:tcBorders/>
            <w:vAlign w:val="center"/>
          </w:tcPr>
          <w:p>
            <w:pPr>
              <w:pStyle w:val="TableContents"/>
              <w:bidi w:val="0"/>
              <w:spacing w:before="0" w:after="1"/>
              <w:ind w:left="0" w:right="0" w:hanging="0"/>
              <w:jc w:val="center"/>
              <w:rPr/>
            </w:pPr>
            <w:r>
              <w:rPr/>
              <w:t>​</w:t>
            </w:r>
          </w:p>
        </w:tc>
        <w:tc>
          <w:tcPr>
            <w:tcW w:w="90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Treasury</w:t>
            </w:r>
          </w:p>
        </w:tc>
        <w:tc>
          <w:tcPr>
            <w:tcW w:w="146" w:type="dxa"/>
            <w:tcBorders/>
            <w:vAlign w:val="center"/>
          </w:tcPr>
          <w:p>
            <w:pPr>
              <w:pStyle w:val="TableContents"/>
              <w:bidi w:val="0"/>
              <w:spacing w:before="0" w:after="1"/>
              <w:ind w:left="0" w:right="0" w:hanging="0"/>
              <w:jc w:val="center"/>
              <w:rPr/>
            </w:pPr>
            <w:r>
              <w:rPr/>
              <w:t> </w:t>
            </w:r>
          </w:p>
        </w:tc>
        <w:tc>
          <w:tcPr>
            <w:tcW w:w="109" w:type="dxa"/>
            <w:tcBorders/>
            <w:vAlign w:val="center"/>
          </w:tcPr>
          <w:p>
            <w:pPr>
              <w:pStyle w:val="TableContents"/>
              <w:bidi w:val="0"/>
              <w:spacing w:before="0" w:after="1"/>
              <w:ind w:left="0" w:right="0" w:hanging="0"/>
              <w:jc w:val="center"/>
              <w:rPr/>
            </w:pPr>
            <w:r>
              <w:rPr/>
              <w:t>​</w:t>
            </w:r>
          </w:p>
        </w:tc>
        <w:tc>
          <w:tcPr>
            <w:tcW w:w="124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stockholders'</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capital</w:t>
            </w:r>
          </w:p>
        </w:tc>
        <w:tc>
          <w:tcPr>
            <w:tcW w:w="326" w:type="dxa"/>
            <w:tcBorders/>
            <w:vAlign w:val="center"/>
          </w:tcPr>
          <w:p>
            <w:pPr>
              <w:pStyle w:val="TableContents"/>
              <w:bidi w:val="0"/>
              <w:spacing w:before="0" w:after="1"/>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earnings</w:t>
            </w:r>
          </w:p>
        </w:tc>
        <w:tc>
          <w:tcPr>
            <w:tcW w:w="326" w:type="dxa"/>
            <w:tcBorders/>
            <w:vAlign w:val="center"/>
          </w:tcPr>
          <w:p>
            <w:pPr>
              <w:pStyle w:val="TableContents"/>
              <w:bidi w:val="0"/>
              <w:spacing w:before="0" w:after="1"/>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9"/>
              </w:rPr>
            </w:pPr>
            <w:r>
              <w:rPr>
                <w:rFonts w:ascii="Times New Roman;Times;serif" w:hAnsi="Times New Roman;Times;serif"/>
                <w:b/>
                <w:sz w:val="19"/>
              </w:rPr>
              <w:t>loss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9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stock</w:t>
            </w:r>
          </w:p>
        </w:tc>
        <w:tc>
          <w:tcPr>
            <w:tcW w:w="146" w:type="dxa"/>
            <w:tcBorders/>
            <w:vAlign w:val="center"/>
          </w:tcPr>
          <w:p>
            <w:pPr>
              <w:pStyle w:val="TableContents"/>
              <w:bidi w:val="0"/>
              <w:spacing w:before="0" w:after="1"/>
              <w:ind w:left="0" w:right="0" w:hanging="0"/>
              <w:jc w:val="center"/>
              <w:rPr/>
            </w:pPr>
            <w:r>
              <w:rPr/>
              <w:t> </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2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118,184</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173,088</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 </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 </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16,110</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16,110</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stock:</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Retired</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($2.50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(30,803)</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(30,803)</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 2022</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103,491</w:t>
            </w:r>
          </w:p>
        </w:tc>
        <w:tc>
          <w:tcPr>
            <w:tcW w:w="326" w:type="dxa"/>
            <w:tcBorders/>
            <w:vAlign w:val="center"/>
          </w:tcPr>
          <w:p>
            <w:pPr>
              <w:pStyle w:val="TableContents"/>
              <w:bidi w:val="0"/>
              <w:spacing w:before="0" w:after="1"/>
              <w:ind w:left="0" w:right="0" w:hanging="0"/>
              <w:jc w:val="left"/>
              <w:rPr/>
            </w:pPr>
            <w:r>
              <w:rPr/>
              <w:t>​</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156,769</w:t>
            </w:r>
          </w:p>
        </w:tc>
      </w:tr>
      <w:tr>
        <w:trPr/>
        <w:tc>
          <w:tcPr>
            <w:tcW w:w="217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53,155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105,175</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158,436</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15,897</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15,897</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5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90"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dividends ($.75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 </w:t>
            </w:r>
          </w:p>
        </w:tc>
        <w:tc>
          <w:tcPr>
            <w:tcW w:w="5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(9,233)</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(9,233)</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(72)</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23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53,275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111,839</w:t>
            </w:r>
          </w:p>
        </w:tc>
        <w:tc>
          <w:tcPr>
            <w:tcW w:w="326" w:type="dxa"/>
            <w:tcBorders/>
            <w:shd w:fill="CCEEFF" w:val="clear"/>
            <w:vAlign w:val="center"/>
          </w:tcPr>
          <w:p>
            <w:pPr>
              <w:pStyle w:val="TableContents"/>
              <w:bidi w:val="0"/>
              <w:spacing w:before="0" w:after="1"/>
              <w:ind w:left="0" w:right="0" w:hanging="0"/>
              <w:jc w:val="left"/>
              <w:rPr/>
            </w:pPr>
            <w:r>
              <w:rPr/>
              <w:t>​</w:t>
            </w:r>
          </w:p>
        </w:tc>
        <w:tc>
          <w:tcPr>
            <w:tcW w:w="4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165,148</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576" w:name="_6709d3d2_4332_43ec_bb42_b8b6f78d9442"/>
      <w:bookmarkEnd w:id="576"/>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577" w:name="CONDENSEDCONSOLIDATEDSTATEMENTSOFCASHFLO"/>
      <w:bookmarkEnd w:id="577"/>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78" w:name="Tc_FidFqaLev06WO7mb5cDXFg_40_5"/>
      <w:bookmarkStart w:id="579" w:name="Tc_LvDgDM68RUu4iHxvJ_UTXw_40_2"/>
      <w:bookmarkStart w:id="580" w:name="Tc_wr1zVVtCkUuYqJwQ0VEwkw_40_0"/>
      <w:bookmarkStart w:id="581" w:name="Tc_xwpm29aU_kupot5CklUlAQ_39_0"/>
      <w:bookmarkStart w:id="582" w:name="Tc__L7XKqiZoE-kZFD7hD4G8w_37_5"/>
      <w:bookmarkStart w:id="583" w:name="Tc_rU6THRZ6h02R8r4RkORFUA_37_2"/>
      <w:bookmarkStart w:id="584" w:name="Tc_UaIXgnZLwE2-U3AHwwVm4w_37_0"/>
      <w:bookmarkStart w:id="585" w:name="Tc_LftZ23FCrUidHKDpklwjsw_36_0"/>
      <w:bookmarkStart w:id="586" w:name="Tc_gf-gEdhRf0mvpCak939rhw_35_0"/>
      <w:bookmarkStart w:id="587" w:name="Tc_pjafB8sVPUyB4XjNRTLt4g_34_0"/>
      <w:bookmarkStart w:id="588" w:name="Tc_wpqvmyLZ3UyLwW-g1tvIHQ_32_0"/>
      <w:bookmarkStart w:id="589" w:name="Tc_kgeU9Vn5QkOefbfchww4xw_31_0"/>
      <w:bookmarkStart w:id="590" w:name="Tc_ZIPrJa3U80mlAedgO7E_bg_30_0"/>
      <w:bookmarkStart w:id="591" w:name="Tc_x8nEXGNmgE6OQAbzNOU1AQ_29_0"/>
      <w:bookmarkStart w:id="592" w:name="Tc_uCJTfseFiESinTLveYY7dw_27_0"/>
      <w:bookmarkStart w:id="593" w:name="Tc_UBua7Kp0mEanKgNf8YHZng_26_0"/>
      <w:bookmarkStart w:id="594" w:name="Tc_4KpkP14mY0aKgBDpUGUIvA_25_0"/>
      <w:bookmarkStart w:id="595" w:name="Tc_e2C1v1oNm0abhzPW98-P7Q_24_0"/>
      <w:bookmarkStart w:id="596" w:name="Tc_FgyPtjYVNUObbxvGR-qhdQ_23_0"/>
      <w:bookmarkStart w:id="597" w:name="Tc_6pN_wJC_dUS8S4HpJsjkhQ_22_0"/>
      <w:bookmarkStart w:id="598" w:name="Tc_gm9AUgmv2UaXaW9JxxD_2g_21_0"/>
      <w:bookmarkStart w:id="599" w:name="Tc_mG0MTJkxnUqpZ_NJwEKYYg_20_0"/>
      <w:bookmarkStart w:id="600" w:name="Tc_syJHnxutY0OYA7B_SJ9tAA_19_0"/>
      <w:bookmarkStart w:id="601" w:name="Tc_8KlLJAqrGkOYuFixfOhApQ_17_0"/>
      <w:bookmarkStart w:id="602" w:name="Tc_wo74knlfl0Wc1Mdj1SsgkA_16_0"/>
      <w:bookmarkStart w:id="603" w:name="Tc_oXlT7X7QyEqq7zNiZyFwkA_15_0"/>
      <w:bookmarkStart w:id="604" w:name="Tc_4zRDce8t906vFWp52mhPzA_14_0"/>
      <w:bookmarkStart w:id="605" w:name="Tc_vMfarJB4uEqPN2gS5EcmzA_13_0"/>
      <w:bookmarkStart w:id="606" w:name="Tc_ijGW7tV1qE-3MKMud4nl9g_12_0"/>
      <w:bookmarkStart w:id="607" w:name="Tc_mr1pGldbTU-_oy6zu6y_vg_11_0"/>
      <w:bookmarkStart w:id="608" w:name="Tc_cnAYDJhlVEqNnfWZkJReyQ_10_0"/>
      <w:bookmarkStart w:id="609" w:name="Tc_YuC1jOMoGkmBDZ40TDnd5A_9_0"/>
      <w:bookmarkStart w:id="610" w:name="Tc_ONMK7gNqh0-wqhBBmutSMg_8_0"/>
      <w:bookmarkStart w:id="611" w:name="Tc_t0rMm7MpJkaChS2V_gy96Q_7_0"/>
      <w:bookmarkStart w:id="612" w:name="Tc_SPLIEAb8sk2g5IkPqE1XEA_6_5"/>
      <w:bookmarkStart w:id="613" w:name="Tc_rcyG7cEa0kupBbo478NxHw_6_2"/>
      <w:bookmarkStart w:id="614" w:name="Tc_PKsJTrOsCkWUmIJGCaj75g_6_0"/>
      <w:bookmarkStart w:id="615" w:name="Tc_egsmmeSGHk-N2DIKas_EhQ_5_0"/>
      <w:bookmarkStart w:id="616" w:name="Tc_8Pbn4pylLkaIblNXr8TgTQ_4_2"/>
      <w:bookmarkStart w:id="617" w:name="Tc_dhGxPTQdGE6NtTc7WNhWlg_3_5"/>
      <w:bookmarkStart w:id="618" w:name="Tc_5-PLrdTQgkSKm7ks6eiezA_3_2"/>
      <w:bookmarkStart w:id="619" w:name="Tc_2Y7Zw8mWjUSI08qZX_gzXA_2_2"/>
      <w:bookmarkStart w:id="620" w:name="Tc_IYepEco7tEaBGAFEdnD3jA_1_2"/>
      <w:bookmarkStart w:id="621" w:name="_71b36366_a6a4_4b45_8676_bf1089dfb3ad"/>
      <w:bookmarkStart w:id="622" w:name="Tc_FidFqaLev06WO7mb5cDXFg_40_5"/>
      <w:bookmarkStart w:id="623" w:name="Tc_LvDgDM68RUu4iHxvJ_UTXw_40_2"/>
      <w:bookmarkStart w:id="624" w:name="Tc_wr1zVVtCkUuYqJwQ0VEwkw_40_0"/>
      <w:bookmarkStart w:id="625" w:name="Tc_xwpm29aU_kupot5CklUlAQ_39_0"/>
      <w:bookmarkStart w:id="626" w:name="Tc__L7XKqiZoE-kZFD7hD4G8w_37_5"/>
      <w:bookmarkStart w:id="627" w:name="Tc_rU6THRZ6h02R8r4RkORFUA_37_2"/>
      <w:bookmarkStart w:id="628" w:name="Tc_UaIXgnZLwE2-U3AHwwVm4w_37_0"/>
      <w:bookmarkStart w:id="629" w:name="Tc_LftZ23FCrUidHKDpklwjsw_36_0"/>
      <w:bookmarkStart w:id="630" w:name="Tc_gf-gEdhRf0mvpCak939rhw_35_0"/>
      <w:bookmarkStart w:id="631" w:name="Tc_pjafB8sVPUyB4XjNRTLt4g_34_0"/>
      <w:bookmarkStart w:id="632" w:name="Tc_wpqvmyLZ3UyLwW-g1tvIHQ_32_0"/>
      <w:bookmarkStart w:id="633" w:name="Tc_kgeU9Vn5QkOefbfchww4xw_31_0"/>
      <w:bookmarkStart w:id="634" w:name="Tc_ZIPrJa3U80mlAedgO7E_bg_30_0"/>
      <w:bookmarkStart w:id="635" w:name="Tc_x8nEXGNmgE6OQAbzNOU1AQ_29_0"/>
      <w:bookmarkStart w:id="636" w:name="Tc_uCJTfseFiESinTLveYY7dw_27_0"/>
      <w:bookmarkStart w:id="637" w:name="Tc_UBua7Kp0mEanKgNf8YHZng_26_0"/>
      <w:bookmarkStart w:id="638" w:name="Tc_4KpkP14mY0aKgBDpUGUIvA_25_0"/>
      <w:bookmarkStart w:id="639" w:name="Tc_e2C1v1oNm0abhzPW98-P7Q_24_0"/>
      <w:bookmarkStart w:id="640" w:name="Tc_FgyPtjYVNUObbxvGR-qhdQ_23_0"/>
      <w:bookmarkStart w:id="641" w:name="Tc_6pN_wJC_dUS8S4HpJsjkhQ_22_0"/>
      <w:bookmarkStart w:id="642" w:name="Tc_gm9AUgmv2UaXaW9JxxD_2g_21_0"/>
      <w:bookmarkStart w:id="643" w:name="Tc_mG0MTJkxnUqpZ_NJwEKYYg_20_0"/>
      <w:bookmarkStart w:id="644" w:name="Tc_syJHnxutY0OYA7B_SJ9tAA_19_0"/>
      <w:bookmarkStart w:id="645" w:name="Tc_8KlLJAqrGkOYuFixfOhApQ_17_0"/>
      <w:bookmarkStart w:id="646" w:name="Tc_wo74knlfl0Wc1Mdj1SsgkA_16_0"/>
      <w:bookmarkStart w:id="647" w:name="Tc_oXlT7X7QyEqq7zNiZyFwkA_15_0"/>
      <w:bookmarkStart w:id="648" w:name="Tc_4zRDce8t906vFWp52mhPzA_14_0"/>
      <w:bookmarkStart w:id="649" w:name="Tc_vMfarJB4uEqPN2gS5EcmzA_13_0"/>
      <w:bookmarkStart w:id="650" w:name="Tc_ijGW7tV1qE-3MKMud4nl9g_12_0"/>
      <w:bookmarkStart w:id="651" w:name="Tc_mr1pGldbTU-_oy6zu6y_vg_11_0"/>
      <w:bookmarkStart w:id="652" w:name="Tc_cnAYDJhlVEqNnfWZkJReyQ_10_0"/>
      <w:bookmarkStart w:id="653" w:name="Tc_YuC1jOMoGkmBDZ40TDnd5A_9_0"/>
      <w:bookmarkStart w:id="654" w:name="Tc_ONMK7gNqh0-wqhBBmutSMg_8_0"/>
      <w:bookmarkStart w:id="655" w:name="Tc_t0rMm7MpJkaChS2V_gy96Q_7_0"/>
      <w:bookmarkStart w:id="656" w:name="Tc_SPLIEAb8sk2g5IkPqE1XEA_6_5"/>
      <w:bookmarkStart w:id="657" w:name="Tc_rcyG7cEa0kupBbo478NxHw_6_2"/>
      <w:bookmarkStart w:id="658" w:name="Tc_PKsJTrOsCkWUmIJGCaj75g_6_0"/>
      <w:bookmarkStart w:id="659" w:name="Tc_egsmmeSGHk-N2DIKas_EhQ_5_0"/>
      <w:bookmarkStart w:id="660" w:name="Tc_8Pbn4pylLkaIblNXr8TgTQ_4_2"/>
      <w:bookmarkStart w:id="661" w:name="Tc_dhGxPTQdGE6NtTc7WNhWlg_3_5"/>
      <w:bookmarkStart w:id="662" w:name="Tc_5-PLrdTQgkSKm7ks6eiezA_3_2"/>
      <w:bookmarkStart w:id="663" w:name="Tc_2Y7Zw8mWjUSI08qZX_gzXA_2_2"/>
      <w:bookmarkStart w:id="664" w:name="Tc_IYepEco7tEaBGAFEdnD3jA_1_2"/>
      <w:bookmarkStart w:id="665" w:name="_71b36366_a6a4_4b45_8676_bf1089dfb3ad"/>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tbl>
      <w:tblPr>
        <w:tblW w:w="6912" w:type="dxa"/>
        <w:jc w:val="left"/>
        <w:tblInd w:w="0" w:type="dxa"/>
        <w:tblLayout w:type="fixed"/>
        <w:tblCellMar>
          <w:top w:w="0" w:type="dxa"/>
          <w:left w:w="0" w:type="dxa"/>
          <w:bottom w:w="0" w:type="dxa"/>
          <w:right w:w="0" w:type="dxa"/>
        </w:tblCellMar>
      </w:tblPr>
      <w:tblGrid>
        <w:gridCol w:w="4201"/>
        <w:gridCol w:w="326"/>
        <w:gridCol w:w="211"/>
        <w:gridCol w:w="796"/>
        <w:gridCol w:w="326"/>
        <w:gridCol w:w="211"/>
        <w:gridCol w:w="84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667635" cy="175260"/>
                      <wp:effectExtent l="0" t="0" r="0" b="0"/>
                      <wp:wrapNone/>
                      <wp:docPr id="69" name="Frame69"/>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05460" cy="175260"/>
                      <wp:effectExtent l="0" t="0" r="0" b="0"/>
                      <wp:wrapNone/>
                      <wp:docPr id="72" name="Frame7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34035" cy="175260"/>
                      <wp:effectExtent l="0" t="0" r="0" b="0"/>
                      <wp:wrapNone/>
                      <wp:docPr id="75" name="Frame7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91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8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15,897</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2,996</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(556)</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(1,397)</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332</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(1,900)</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(3,199)</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(526)</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with affiliates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Prepaids and other,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(194)</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11,769</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(564)</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(36,325)</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maturities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24,000</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 receivable from affiliate: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  </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21,900</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Advances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(20,700)</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(11,689)</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(30,803)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(9,233)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Treasury stock acquired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(9,233)</w:t>
            </w:r>
          </w:p>
        </w:tc>
      </w:tr>
      <w:tr>
        <w:trPr/>
        <w:tc>
          <w:tcPr>
            <w:tcW w:w="42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net change from: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investing and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(9,153)</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76,579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26,748</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17,595</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vAlign w:val="center"/>
          </w:tcPr>
          <w:p>
            <w:pPr>
              <w:pStyle w:val="TableContents"/>
              <w:bidi w:val="0"/>
              <w:spacing w:before="0" w:after="1"/>
              <w:ind w:left="0" w:right="180" w:hanging="0"/>
              <w:jc w:val="right"/>
              <w:rPr>
                <w:rFonts w:ascii="Times New Roman;Times;serif" w:hAnsi="Times New Roman;Times;serif"/>
                <w:b/>
                <w:sz w:val="20"/>
              </w:rPr>
            </w:pPr>
            <w:r>
              <w:rPr>
                <w:rFonts w:ascii="Times New Roman;Times;serif" w:hAnsi="Times New Roman;Times;serif"/>
                <w:b/>
                <w:sz w:val="20"/>
              </w:rPr>
              <w:t>5,315</w:t>
            </w:r>
          </w:p>
        </w:tc>
      </w:tr>
    </w:tbl>
    <w:p>
      <w:pPr>
        <w:pStyle w:val="TextBody"/>
        <w:bidi w:val="0"/>
        <w:spacing w:before="0" w:after="240"/>
        <w:ind w:left="0" w:right="0" w:hanging="0"/>
        <w:jc w:val="center"/>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666" w:name="_a79ea079_c888_47f7_82b8_4cbc8958cb08"/>
      <w:bookmarkEnd w:id="666"/>
      <w:r>
        <w:rPr>
          <w:rFonts w:ascii="Times New Roman;Times;serif" w:hAnsi="Times New Roman;Times;serif"/>
          <w:b/>
          <w:sz w:val="20"/>
        </w:rPr>
        <w:t>COMPX INTERNATIONAL INC.</w:t>
      </w:r>
    </w:p>
    <w:p>
      <w:pPr>
        <w:pStyle w:val="TextBody"/>
        <w:bidi w:val="0"/>
        <w:spacing w:before="0" w:after="120"/>
        <w:ind w:left="0" w:right="0" w:hanging="0"/>
        <w:jc w:val="center"/>
        <w:rPr>
          <w:rFonts w:ascii="Times New Roman;Times;serif" w:hAnsi="Times New Roman;Times;serif"/>
          <w:b/>
          <w:sz w:val="20"/>
        </w:rPr>
      </w:pPr>
      <w:bookmarkStart w:id="667" w:name="NOTESTOCONDENSEDCONSOLIDATEDFINANCIALSTA"/>
      <w:bookmarkEnd w:id="667"/>
      <w:r>
        <w:rPr>
          <w:rFonts w:ascii="Times New Roman;Times;serif" w:hAnsi="Times New Roman;Times;serif"/>
          <w:b/>
          <w:sz w:val="20"/>
        </w:rPr>
        <w:t>NOTES TO CONDENSED CONSOLIDATED FINANCIAL STATEMENTS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September 30, 2023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Organization and basis of presentation: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Organization</w:t>
      </w:r>
      <w:r>
        <w:rPr>
          <w:rFonts w:ascii="Times New Roman;Times;serif" w:hAnsi="Times New Roman;Times;serif"/>
          <w:sz w:val="20"/>
        </w:rPr>
        <w:t>. We (NYSE American: CIX) were approximately 87% owned by NL Industries, Inc. (NYSE: NL) at September 30, 2023. At September 30, 2023, Valhi, Inc. (NYSE: VHI) owned approximately 83% of NL’s outstanding common stock and a wholly-owned subsidiary of Contran Corporation owned approximately 91% of Valhi’s outstanding common stock. A majority of Contran’s outstanding voting stock is held directly by Lisa K. Simmons and various family trusts established for the benefit of Ms. Simmons, Thomas C. Connelly (the husband of Ms. Simmons’ late sister) and their children and for which Ms. Simmons or Mr. Connelly, as applicable, serve as trustee (collectively, the “Other Trusts”). With respect to the Other Trusts for which Mr. Connelly serves as trustee, he is required to vote the shares of Contran voting stock held in such trusts in the same manner as Ms. Simmons. Such voting rights of Ms. Simmons last through April 22, 2030 and are personal to Ms. Simmons. The remainder of Contran’s outstanding voting stock is held by another trust (the “Family Trust”), which was established for the benefit of Ms. Simmons and her late sister and their children and for which a third-party financial institution serves as trustee. Consequently, at September 30, 2023 Ms. Simmons and the Family Trust may be deemed to control Contran, and therefore may be deemed to indirectly control the wholly-owned subsidiary of Contran, Valhi, NL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Basis of presentation.</w:t>
      </w:r>
      <w:r>
        <w:rPr>
          <w:rFonts w:ascii="Times New Roman;Times;serif" w:hAnsi="Times New Roman;Times;serif"/>
          <w:sz w:val="20"/>
        </w:rPr>
        <w:t xml:space="preserve"> Consolidated in this Quarterly Report are the results of CompX International Inc. and its subsidiaries. The unaudited Condensed Consolidated Financial Statements contained in this Quarterly Report have been prepared on the same basis as the audited Consolidated Financial Statements included in our Annual Report on Form 10-K for the year ended December 31, 2022 that we filed with the Securities and Exchange Commission (“SEC”) on March 1, 2023 (the “2022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2022 contained in this Quarterly Report as compared to our audited Consolidated Financial Statements at that date, and we have omitted certain information and footnote disclosures (including those related to the Consolidated Balance Sheet at December 31, 2022) normally included in financial statements prepared in accordance with accounting principles generally accepted in the United States of America (“GAAP”). Our results of operations for the interim periods ended September 30, 2023 may not be indicative of our operating results for the full year. The Condensed Consolidated Financial Statements contained in this Quarterly Report should be read in conjunction with our 2022 Consolidated Financial Statements contained in our 2022 Annual Report.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operations are reported on a 52 or 53-week year. For presentation purposes, annual and quarterly information in the Condensed Consolidated Financial Statements and accompanying notes are presented as ended September 30, 2022, December 31, 2022 and September 30, 2023. The actual dates of our annual and quarterly periods are October 2, 2022, January 1, 2023 and October 1, 2023, respectively. Unless otherwise indicated, references in this report to “we”, “us” or “our” refer to CompX International Inc. and its subsidiaries, taken as a whole.</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668" w:name="Tc_VM8dr1XkLEajmKbzmC2AjQ_16_11"/>
      <w:bookmarkStart w:id="669" w:name="Tc_4o0ILv6Pmk6aSTbt9EPDJg_16_8"/>
      <w:bookmarkStart w:id="670" w:name="Tc_STX9YZJH8k64wptEMUS2YQ_16_5"/>
      <w:bookmarkStart w:id="671" w:name="Tc_qLMTkLRIU0KFaTLYiOi_Jw_16_2"/>
      <w:bookmarkStart w:id="672" w:name="Tc_lCJ3q2KIcEiaFti2gHahxg_16_0"/>
      <w:bookmarkStart w:id="673" w:name="Tc_gfkLj_S8QEuVnMm74xNfzA_15_0"/>
      <w:bookmarkStart w:id="674" w:name="Tc_RMjr2IePlU6YkiifMMTLwA_14_0"/>
      <w:bookmarkStart w:id="675" w:name="Tc_lYtEJDTT_keAwIWX8wYXAQ_13_0"/>
      <w:bookmarkStart w:id="676" w:name="Tc_aSiWoOTV2EaqYVK5NpTxzg_12_0"/>
      <w:bookmarkStart w:id="677" w:name="Tc_6sHDxaOksUSwJG-TBroB9Q_11_11"/>
      <w:bookmarkStart w:id="678" w:name="Tc_c2PeFPt4YUmpLDkb1CKTPw_11_8"/>
      <w:bookmarkStart w:id="679" w:name="Tc_wf5hIQo90EehwqolonxswA_11_5"/>
      <w:bookmarkStart w:id="680" w:name="Tc_gRaPACjpb0WVYp10TGsRug_11_2"/>
      <w:bookmarkStart w:id="681" w:name="Tc_kliiyvL3C0qvTkWJbZqPpw_11_0"/>
      <w:bookmarkStart w:id="682" w:name="Tc_82eQWJj61UGjj8eeVqeYjQ_10_0"/>
      <w:bookmarkStart w:id="683" w:name="Tc_yEfpLCgEjkCtwS-bz4ekLg_8_11"/>
      <w:bookmarkStart w:id="684" w:name="Tc_Q4wgygRiN02OaEwpKULaCw_8_8"/>
      <w:bookmarkStart w:id="685" w:name="Tc_CGiZTT4OpEaAAfDSjLYH2Q_8_5"/>
      <w:bookmarkStart w:id="686" w:name="Tc_QLe-eRXWEkKsOYMlDnGDeg_8_2"/>
      <w:bookmarkStart w:id="687" w:name="Tc_XrQBaDUOX0iDbw0MA14X3g_8_0"/>
      <w:bookmarkStart w:id="688" w:name="Tc_cMY4NR-EF0yojjUaXIC6wg_7_0"/>
      <w:bookmarkStart w:id="689" w:name="Tc_heoJe-rbnkiiN7ZCUtv9Zg_6_11"/>
      <w:bookmarkStart w:id="690" w:name="Tc_I6gGoPKMDk2NRTxUAPmoNA_6_8"/>
      <w:bookmarkStart w:id="691" w:name="Tc_Suw217pRCkqTZyXDgUYSBA_6_5"/>
      <w:bookmarkStart w:id="692" w:name="Tc_GmF0cqdxo0SfvxLDu2klaw_6_2"/>
      <w:bookmarkStart w:id="693" w:name="Tc_7-RkQUfo-EGlmASDXMQd9Q_6_0"/>
      <w:bookmarkStart w:id="694" w:name="Tc_geVdpYNQd0CGPKGRxUVMgw_5_0"/>
      <w:bookmarkStart w:id="695" w:name="Tc_5BBBmAFw30q-sbwY631KRQ_4_2"/>
      <w:bookmarkStart w:id="696" w:name="Tc_J6SyP-BP-UKA5Sap89qM1Q_3_11"/>
      <w:bookmarkStart w:id="697" w:name="Tc_kgD--EVGkk6wF8qelfk4Xw_3_8"/>
      <w:bookmarkStart w:id="698" w:name="Tc_Gn5NJ7kuFUuSnqoP2mdHYQ_3_5"/>
      <w:bookmarkStart w:id="699" w:name="Tc_C1Iqx0VF-Eu3UuqhWHP8Vg_3_2"/>
      <w:bookmarkStart w:id="700" w:name="Tc_9BL3IvNBckaxgkY0lZNkpA_2_8"/>
      <w:bookmarkStart w:id="701" w:name="Tc_HhRRICsQv0KNkKaCHOih6g_2_2"/>
      <w:bookmarkStart w:id="702" w:name="Tc_OQR4_1t4zUev8QfxBbeaEg_1_8"/>
      <w:bookmarkStart w:id="703" w:name="Tc_35Q92XPK1EWoPQEujoJb-A_1_2"/>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r>
        <w:rPr>
          <w:rFonts w:ascii="Times New Roman;Times;serif" w:hAnsi="Times New Roman;Times;serif"/>
          <w:b/>
          <w:sz w:val="20"/>
        </w:rPr>
        <w:t>Note 2 – Business segment information:</w:t>
      </w:r>
    </w:p>
    <w:p>
      <w:pPr>
        <w:pStyle w:val="TextBody"/>
        <w:bidi w:val="0"/>
        <w:spacing w:before="0" w:after="0"/>
        <w:ind w:left="0" w:right="0" w:hanging="0"/>
        <w:jc w:val="left"/>
        <w:rPr/>
      </w:pPr>
      <w:r>
        <w:rPr/>
        <w:t>​</w:t>
      </w:r>
    </w:p>
    <w:tbl>
      <w:tblPr>
        <w:tblW w:w="7673" w:type="dxa"/>
        <w:jc w:val="left"/>
        <w:tblInd w:w="0" w:type="dxa"/>
        <w:tblLayout w:type="fixed"/>
        <w:tblCellMar>
          <w:top w:w="0" w:type="dxa"/>
          <w:left w:w="0" w:type="dxa"/>
          <w:bottom w:w="0" w:type="dxa"/>
          <w:right w:w="0" w:type="dxa"/>
        </w:tblCellMar>
      </w:tblPr>
      <w:tblGrid>
        <w:gridCol w:w="2536"/>
        <w:gridCol w:w="326"/>
        <w:gridCol w:w="211"/>
        <w:gridCol w:w="691"/>
        <w:gridCol w:w="326"/>
        <w:gridCol w:w="211"/>
        <w:gridCol w:w="691"/>
        <w:gridCol w:w="326"/>
        <w:gridCol w:w="211"/>
        <w:gridCol w:w="781"/>
        <w:gridCol w:w="326"/>
        <w:gridCol w:w="211"/>
        <w:gridCol w:w="826"/>
      </w:tblGrid>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38785" cy="175260"/>
                      <wp:effectExtent l="0" t="0" r="0" b="0"/>
                      <wp:wrapNone/>
                      <wp:docPr id="78" name="Frame7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38785" cy="175260"/>
                      <wp:effectExtent l="0" t="0" r="0" b="0"/>
                      <wp:wrapNone/>
                      <wp:docPr id="81" name="Frame8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5935" cy="175260"/>
                      <wp:effectExtent l="0" t="0" r="0" b="0"/>
                      <wp:wrapNone/>
                      <wp:docPr id="84" name="Frame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24510" cy="175260"/>
                      <wp:effectExtent l="0" t="0" r="0" b="0"/>
                      <wp:wrapNone/>
                      <wp:docPr id="87" name="Frame8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35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left"/>
              <w:rPr/>
            </w:pPr>
            <w:r>
              <w:rPr/>
              <w:t>​</w:t>
            </w:r>
          </w:p>
        </w:tc>
        <w:tc>
          <w:tcPr>
            <w:tcW w:w="23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67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811" w:type="dxa"/>
            <w:gridSpan w:val="11"/>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31,376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84,390</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33,732</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net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40,355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126,589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118,122</w:t>
            </w:r>
          </w:p>
        </w:tc>
      </w:tr>
      <w:tr>
        <w:trPr/>
        <w:tc>
          <w:tcPr>
            <w:tcW w:w="25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16,009</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6,953</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(5,010)</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6,545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17,952</w:t>
            </w:r>
          </w:p>
        </w:tc>
      </w:tr>
      <w:tr>
        <w:trPr/>
        <w:tc>
          <w:tcPr>
            <w:tcW w:w="25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3,003</w:t>
            </w:r>
          </w:p>
        </w:tc>
      </w:tr>
      <w:tr>
        <w:trPr/>
        <w:tc>
          <w:tcPr>
            <w:tcW w:w="25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7,609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2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20,955</w:t>
            </w:r>
          </w:p>
        </w:tc>
      </w:tr>
    </w:tbl>
    <w:p>
      <w:pPr>
        <w:pStyle w:val="TextBody"/>
        <w:bidi w:val="0"/>
        <w:spacing w:before="0" w:after="0"/>
        <w:ind w:left="0" w:right="0" w:hanging="0"/>
        <w:jc w:val="left"/>
        <w:rPr/>
      </w:pPr>
      <w:r>
        <w:rPr/>
        <w:t>​</w:t>
      </w:r>
    </w:p>
    <w:p>
      <w:pPr>
        <w:pStyle w:val="TextBody"/>
        <w:bidi w:val="0"/>
        <w:spacing w:before="120" w:after="120"/>
        <w:ind w:left="0" w:right="0" w:firstLine="720"/>
        <w:jc w:val="both"/>
        <w:rPr>
          <w:rFonts w:ascii="Times New Roman;Times;serif" w:hAnsi="Times New Roman;Times;serif"/>
          <w:sz w:val="20"/>
        </w:rPr>
      </w:pPr>
      <w:r>
        <w:rPr>
          <w:rFonts w:ascii="Times New Roman;Times;serif" w:hAnsi="Times New Roman;Times;serif"/>
          <w:sz w:val="20"/>
        </w:rPr>
        <w:t>Intersegment sales are not material.</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n</w:t>
      </w:r>
    </w:p>
    <w:p>
      <w:pPr>
        <w:pStyle w:val="TextBody"/>
        <w:bidi w:val="0"/>
        <w:spacing w:before="0" w:after="240"/>
        <w:ind w:left="0" w:right="0" w:hanging="0"/>
        <w:jc w:val="left"/>
        <w:rPr>
          <w:rFonts w:ascii="Times New Roman;Times;serif" w:hAnsi="Times New Roman;Times;serif"/>
          <w:b/>
          <w:sz w:val="20"/>
        </w:rPr>
      </w:pPr>
      <w:bookmarkStart w:id="704" w:name="Tc_XYAE-qZNTU2vb49dfKQ1AQ_8_8"/>
      <w:bookmarkStart w:id="705" w:name="Tc_i9iTxzZzQk238lhHA6Q_rg_8_5"/>
      <w:bookmarkStart w:id="706" w:name="Tc_9XpM8nO2E0ipsvwmK04rSw_8_2"/>
      <w:bookmarkStart w:id="707" w:name="Tc_7mWTyWnVwEmtJqEsfEkRMQ_8_0"/>
      <w:bookmarkStart w:id="708" w:name="Tc_d_ESBVx250Cf6KIu1pY6bg_7_0"/>
      <w:bookmarkStart w:id="709" w:name="Tc_CRAl7-XFBkWlAQ58Ew3HDg_5_8"/>
      <w:bookmarkStart w:id="710" w:name="Tc_QRLIZmPncUmqfSK8P_mzqw_5_5"/>
      <w:bookmarkStart w:id="711" w:name="Tc_l5QnS6sv9kujQ41fxgGxNA_5_2"/>
      <w:bookmarkStart w:id="712" w:name="Tc_AkS10ZKYuESAUpHPXZmOfA_5_0"/>
      <w:bookmarkStart w:id="713" w:name="Tc_LGEK7Kp_n0q1wTdhWc34Eg_4_0"/>
      <w:bookmarkStart w:id="714" w:name="Tc_Pscuiol4EUaONBNopQS5OA_3_2"/>
      <w:bookmarkStart w:id="715" w:name="Tc_gEzMPZz2BUmj6vLXE0ddrQ_2_8"/>
      <w:bookmarkStart w:id="716" w:name="Tc_5sfMYxHpmUWoGNfsn_YCqw_2_5"/>
      <w:bookmarkStart w:id="717" w:name="Tc_qXqJlZrzu024QKiocSSqXg_2_2"/>
      <w:bookmarkStart w:id="718" w:name="Tc_u5GXQw-7VEWDYZWBks5yKA_1_8"/>
      <w:bookmarkStart w:id="719" w:name="Tc_m-qUiKdq9kiUiswh6MMhbw_1_5"/>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Pr>
          <w:rFonts w:ascii="Times New Roman;Times;serif" w:hAnsi="Times New Roman;Times;serif"/>
          <w:b/>
          <w:sz w:val="20"/>
        </w:rPr>
        <w:t>Note 3 – Marketable securities:</w:t>
      </w:r>
    </w:p>
    <w:p>
      <w:pPr>
        <w:pStyle w:val="TextBody"/>
        <w:bidi w:val="0"/>
        <w:spacing w:before="0" w:after="0"/>
        <w:ind w:left="0" w:right="0" w:hanging="0"/>
        <w:jc w:val="left"/>
        <w:rPr/>
      </w:pPr>
      <w:r>
        <w:rPr/>
        <w:t>​</w:t>
      </w:r>
    </w:p>
    <w:tbl>
      <w:tblPr>
        <w:tblW w:w="6111" w:type="dxa"/>
        <w:jc w:val="left"/>
        <w:tblInd w:w="0" w:type="dxa"/>
        <w:tblLayout w:type="fixed"/>
        <w:tblCellMar>
          <w:top w:w="0" w:type="dxa"/>
          <w:left w:w="0" w:type="dxa"/>
          <w:bottom w:w="0" w:type="dxa"/>
          <w:right w:w="0" w:type="dxa"/>
        </w:tblCellMar>
      </w:tblPr>
      <w:tblGrid>
        <w:gridCol w:w="1801"/>
        <w:gridCol w:w="326"/>
        <w:gridCol w:w="296"/>
        <w:gridCol w:w="949"/>
        <w:gridCol w:w="326"/>
        <w:gridCol w:w="239"/>
        <w:gridCol w:w="767"/>
        <w:gridCol w:w="326"/>
        <w:gridCol w:w="309"/>
        <w:gridCol w:w="772"/>
      </w:tblGrid>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87960" cy="175260"/>
                      <wp:effectExtent l="0" t="0" r="0" b="0"/>
                      <wp:wrapNone/>
                      <wp:docPr id="89" name="Frame89"/>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02615" cy="175260"/>
                      <wp:effectExtent l="0" t="0" r="0" b="0"/>
                      <wp:wrapNone/>
                      <wp:docPr id="90" name="Frame90"/>
                      <a:graphic xmlns:a="http://schemas.openxmlformats.org/drawingml/2006/main">
                        <a:graphicData uri="http://schemas.microsoft.com/office/word/2010/wordprocessingShape">
                          <wps:wsp>
                            <wps:cNvSpPr txBox="1"/>
                            <wps:spPr>
                              <a:xfrm>
                                <a:off x="0" y="0"/>
                                <a:ext cx="602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51765" cy="175260"/>
                      <wp:effectExtent l="0" t="0" r="0" b="0"/>
                      <wp:wrapNone/>
                      <wp:docPr id="92" name="Frame9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87045" cy="175260"/>
                      <wp:effectExtent l="0" t="0" r="0" b="0"/>
                      <wp:wrapNone/>
                      <wp:docPr id="93" name="Frame93"/>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96215" cy="175260"/>
                      <wp:effectExtent l="0" t="0" r="0" b="0"/>
                      <wp:wrapNone/>
                      <wp:docPr id="95" name="Frame95"/>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0220" cy="175260"/>
                      <wp:effectExtent l="0" t="0" r="0" b="0"/>
                      <wp:wrapNone/>
                      <wp:docPr id="96" name="Frame96"/>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Amortized</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Unrealized</w:t>
            </w:r>
          </w:p>
        </w:tc>
      </w:tr>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Market value</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cost basis</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loss, net</w:t>
            </w:r>
          </w:p>
        </w:tc>
      </w:tr>
      <w:tr>
        <w:trPr/>
        <w:tc>
          <w:tcPr>
            <w:tcW w:w="6111"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18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984" w:type="dxa"/>
            <w:gridSpan w:val="8"/>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296" w:type="dxa"/>
            <w:tcBorders/>
            <w:shd w:fill="CCEEFF" w:val="clear"/>
            <w:vAlign w:val="center"/>
          </w:tcPr>
          <w:p>
            <w:pPr>
              <w:pStyle w:val="TableContents"/>
              <w:bidi w:val="0"/>
              <w:spacing w:before="0" w:after="1"/>
              <w:ind w:left="0" w:right="0" w:hanging="0"/>
              <w:jc w:val="left"/>
              <w:rPr/>
            </w:pPr>
            <w:r>
              <w:rPr/>
              <w:t>​</w:t>
            </w:r>
          </w:p>
        </w:tc>
        <w:tc>
          <w:tcPr>
            <w:tcW w:w="94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76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309" w:type="dxa"/>
            <w:tcBorders/>
            <w:shd w:fill="CCEEFF" w:val="clear"/>
            <w:vAlign w:val="center"/>
          </w:tcPr>
          <w:p>
            <w:pPr>
              <w:pStyle w:val="TableContents"/>
              <w:bidi w:val="0"/>
              <w:spacing w:before="0" w:after="1"/>
              <w:ind w:left="0" w:right="0" w:hanging="0"/>
              <w:jc w:val="left"/>
              <w:rPr/>
            </w:pPr>
            <w:r>
              <w:rPr/>
              <w:t>​</w:t>
            </w:r>
          </w:p>
        </w:tc>
        <w:tc>
          <w:tcPr>
            <w:tcW w:w="772" w:type="dxa"/>
            <w:tcBorders/>
            <w:shd w:fill="CCEEFF" w:val="clear"/>
            <w:vAlign w:val="center"/>
          </w:tcPr>
          <w:p>
            <w:pPr>
              <w:pStyle w:val="TableContents"/>
              <w:bidi w:val="0"/>
              <w:spacing w:before="0" w:after="1"/>
              <w:ind w:left="0" w:right="0" w:hanging="0"/>
              <w:jc w:val="right"/>
              <w:rPr/>
            </w:pPr>
            <w:r>
              <w:rPr/>
              <w:t>  </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33,147</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33,164</w:t>
            </w:r>
          </w:p>
        </w:tc>
        <w:tc>
          <w:tcPr>
            <w:tcW w:w="326" w:type="dxa"/>
            <w:tcBorders/>
            <w:vAlign w:val="center"/>
          </w:tcPr>
          <w:p>
            <w:pPr>
              <w:pStyle w:val="TableContents"/>
              <w:bidi w:val="0"/>
              <w:spacing w:before="0" w:after="1"/>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80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pPr>
            <w:r>
              <w:rPr/>
              <w:t> </w:t>
            </w:r>
          </w:p>
        </w:tc>
        <w:tc>
          <w:tcPr>
            <w:tcW w:w="9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76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9" w:type="dxa"/>
            <w:tcBorders/>
            <w:shd w:fill="CCEEFF" w:val="clear"/>
            <w:vAlign w:val="center"/>
          </w:tcPr>
          <w:p>
            <w:pPr>
              <w:pStyle w:val="TableContents"/>
              <w:bidi w:val="0"/>
              <w:spacing w:before="0" w:after="1"/>
              <w:ind w:left="0" w:right="0" w:hanging="0"/>
              <w:jc w:val="left"/>
              <w:rPr/>
            </w:pPr>
            <w:r>
              <w:rPr/>
              <w:t> </w:t>
            </w:r>
          </w:p>
        </w:tc>
        <w:tc>
          <w:tcPr>
            <w:tcW w:w="772" w:type="dxa"/>
            <w:tcBorders/>
            <w:shd w:fill="CCEEFF" w:val="clear"/>
            <w:vAlign w:val="center"/>
          </w:tcPr>
          <w:p>
            <w:pPr>
              <w:pStyle w:val="TableContents"/>
              <w:bidi w:val="0"/>
              <w:spacing w:before="0" w:after="1"/>
              <w:ind w:left="0" w:right="0" w:hanging="0"/>
              <w:jc w:val="right"/>
              <w:rPr/>
            </w:pPr>
            <w:r>
              <w:rPr/>
              <w:t>​</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September 30, 2023:</w:t>
            </w:r>
          </w:p>
        </w:tc>
        <w:tc>
          <w:tcPr>
            <w:tcW w:w="32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w:t>
            </w:r>
          </w:p>
        </w:tc>
        <w:tc>
          <w:tcPr>
            <w:tcW w:w="9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9" w:type="dxa"/>
            <w:tcBorders/>
            <w:vAlign w:val="center"/>
          </w:tcPr>
          <w:p>
            <w:pPr>
              <w:pStyle w:val="TableContents"/>
              <w:bidi w:val="0"/>
              <w:spacing w:before="0" w:after="1"/>
              <w:ind w:left="0" w:right="0" w:hanging="0"/>
              <w:jc w:val="left"/>
              <w:rPr/>
            </w:pPr>
            <w:r>
              <w:rPr/>
              <w:t>​</w:t>
            </w:r>
          </w:p>
        </w:tc>
        <w:tc>
          <w:tcPr>
            <w:tcW w:w="772" w:type="dxa"/>
            <w:tcBorders/>
            <w:vAlign w:val="center"/>
          </w:tcPr>
          <w:p>
            <w:pPr>
              <w:pStyle w:val="TableContents"/>
              <w:bidi w:val="0"/>
              <w:spacing w:before="0" w:after="1"/>
              <w:ind w:left="0" w:right="0" w:hanging="0"/>
              <w:jc w:val="right"/>
              <w:rPr/>
            </w:pPr>
            <w:r>
              <w:rPr/>
              <w:t>​</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46,774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46,886</w:t>
            </w:r>
          </w:p>
        </w:tc>
        <w:tc>
          <w:tcPr>
            <w:tcW w:w="326" w:type="dxa"/>
            <w:tcBorders/>
            <w:shd w:fill="CCEEFF" w:val="clear"/>
            <w:vAlign w:val="center"/>
          </w:tcPr>
          <w:p>
            <w:pPr>
              <w:pStyle w:val="TableContents"/>
              <w:bidi w:val="0"/>
              <w:spacing w:before="0" w:after="1"/>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w:t>
            </w:r>
          </w:p>
        </w:tc>
      </w:tr>
    </w:tbl>
    <w:p>
      <w:pPr>
        <w:pStyle w:val="TextBody"/>
        <w:bidi w:val="0"/>
        <w:spacing w:before="0" w:after="24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marketable securities consist of investments in debt securities, currently U.S. government treasuries. We classify our marketable securities as available-for-sale. The fair value of our marketable securities is generally determined using Level 2 inputs because although these securities are traded, in many cases the market is not active and the quarter-end valuation is generally based on the last trade of the quarter, which may be several days prior to quarter end. We accumulate unrealized gains and losses on marketable debt securities as part of accumulated other comprehensive income (loss), net of related deferred income taxes.</w:t>
      </w:r>
    </w:p>
    <w:p>
      <w:pPr>
        <w:pStyle w:val="TextBody"/>
        <w:bidi w:val="0"/>
        <w:spacing w:before="0" w:after="240"/>
        <w:ind w:left="0" w:right="0" w:hanging="0"/>
        <w:jc w:val="left"/>
        <w:rPr>
          <w:rFonts w:ascii="Times New Roman;Times;serif" w:hAnsi="Times New Roman;Times;serif"/>
          <w:b/>
          <w:sz w:val="20"/>
        </w:rPr>
      </w:pPr>
      <w:bookmarkStart w:id="720" w:name="Tc_qA9Rpd-7oUGQhKe6dcoLKA_8_5"/>
      <w:bookmarkStart w:id="721" w:name="Tc_SJx7ai5hSUGcFZEc-0XtLg_8_2"/>
      <w:bookmarkStart w:id="722" w:name="Tc_MqsboUIm702GQKh4BSb8eA_8_0"/>
      <w:bookmarkStart w:id="723" w:name="Tc_2FbaZTfzXEqOwhOgX0j4WA_7_0"/>
      <w:bookmarkStart w:id="724" w:name="Tc_C_RH6b4V1Uu6dwzLFf4iPw_6_0"/>
      <w:bookmarkStart w:id="725" w:name="Tc_XsS2Dd9OEkSM6JzggXkp6A_5_5"/>
      <w:bookmarkStart w:id="726" w:name="Tc_3sTqOMbVfEOg60I-iInzvg_5_2"/>
      <w:bookmarkStart w:id="727" w:name="Tc_edcjBCJEq0OGzBdsPj8q1Q_5_0"/>
      <w:bookmarkStart w:id="728" w:name="Tc_DoNi-jE15U6hzQtpowKjqQ_4_0"/>
      <w:bookmarkStart w:id="729" w:name="Tc_mVD4_P_TjEe5K8QlI6H-yQ_3_2"/>
      <w:bookmarkStart w:id="730" w:name="Tc_36sP9-Pdp0KQ_NgaHzbN6Q_2_5"/>
      <w:bookmarkStart w:id="731" w:name="Tc_oY3OuFMiOkKzfcW_tdA82g_2_2"/>
      <w:bookmarkStart w:id="732" w:name="Tc_WlGPf5bQD0uyNLQGkvcGRQ_1_5"/>
      <w:bookmarkStart w:id="733" w:name="Tc_JdJiHmDd5EKNzhumxrhDOg_1_2"/>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r>
        <w:rPr>
          <w:rFonts w:ascii="Times New Roman;Times;serif" w:hAnsi="Times New Roman;Times;serif"/>
          <w:b/>
          <w:sz w:val="20"/>
        </w:rPr>
        <w:t>Note 4 – Accounts receivable, net:</w:t>
      </w:r>
    </w:p>
    <w:p>
      <w:pPr>
        <w:pStyle w:val="TextBody"/>
        <w:bidi w:val="0"/>
        <w:spacing w:before="0" w:after="0"/>
        <w:ind w:left="0" w:right="0" w:hanging="0"/>
        <w:jc w:val="left"/>
        <w:rPr/>
      </w:pPr>
      <w:r>
        <w:rPr/>
        <w:t>​</w:t>
      </w:r>
    </w:p>
    <w:tbl>
      <w:tblPr>
        <w:tblW w:w="6128" w:type="dxa"/>
        <w:jc w:val="left"/>
        <w:tblInd w:w="0" w:type="dxa"/>
        <w:tblLayout w:type="fixed"/>
        <w:tblCellMar>
          <w:top w:w="0" w:type="dxa"/>
          <w:left w:w="0" w:type="dxa"/>
          <w:bottom w:w="0" w:type="dxa"/>
          <w:right w:w="0" w:type="dxa"/>
        </w:tblCellMar>
      </w:tblPr>
      <w:tblGrid>
        <w:gridCol w:w="2776"/>
        <w:gridCol w:w="326"/>
        <w:gridCol w:w="310"/>
        <w:gridCol w:w="995"/>
        <w:gridCol w:w="326"/>
        <w:gridCol w:w="296"/>
        <w:gridCol w:w="1099"/>
      </w:tblGrid>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96850" cy="175260"/>
                      <wp:effectExtent l="0" t="0" r="0" b="0"/>
                      <wp:wrapNone/>
                      <wp:docPr id="98" name="Frame98"/>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31825" cy="175260"/>
                      <wp:effectExtent l="0" t="0" r="0" b="0"/>
                      <wp:wrapNone/>
                      <wp:docPr id="99" name="Frame99"/>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87960" cy="175260"/>
                      <wp:effectExtent l="0" t="0" r="0" b="0"/>
                      <wp:wrapNone/>
                      <wp:docPr id="101" name="Frame10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7865" cy="175260"/>
                      <wp:effectExtent l="0" t="0" r="0" b="0"/>
                      <wp:wrapNone/>
                      <wp:docPr id="102" name="Frame102"/>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612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7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13,767</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16,531</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3,274</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doubtful accounts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17,840</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19,735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24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34" w:name="Tc_kNU3ucrMWEe6fq41OmP-rw_16_5"/>
      <w:bookmarkStart w:id="735" w:name="Tc_8IQKNC1u4k-Sp8T3ZkShHg_16_2"/>
      <w:bookmarkStart w:id="736" w:name="Tc_CFKXIKCyJkSEsKxEdTj9Gw_16_0"/>
      <w:bookmarkStart w:id="737" w:name="Tc_71pdVBYZEU6ggnDxGfuOOg_15_0"/>
      <w:bookmarkStart w:id="738" w:name="Tc_DAQ938J9vk-GKW8viBRHlw_14_0"/>
      <w:bookmarkStart w:id="739" w:name="Tc_3j4BRgkjW0CpvNxgf4o0ng_13_0"/>
      <w:bookmarkStart w:id="740" w:name="Tc_m3rPzvlj5EqjmIJ0cSknIw_12_0"/>
      <w:bookmarkStart w:id="741" w:name="Tc_PecW_TL6hEOgqVetohLoxg_11_0"/>
      <w:bookmarkStart w:id="742" w:name="Tc_o5Jc_0rcN0isHlzHAGBSnA_10_0"/>
      <w:bookmarkStart w:id="743" w:name="Tc_jdoCAksOOU2fUCLC3CU62g_9_0"/>
      <w:bookmarkStart w:id="744" w:name="Tc_Na68K8PM90KeWEAC1AMGdg_8_0"/>
      <w:bookmarkStart w:id="745" w:name="Tc_LXNDM_fSfUuW_WlFeKHFdg_7_0"/>
      <w:bookmarkStart w:id="746" w:name="Tc_3GSXSWu44USBfWpbufgxqQ_6_0"/>
      <w:bookmarkStart w:id="747" w:name="Tc_a0On0cN-0k6rTS9rAQj4tw_5_5"/>
      <w:bookmarkStart w:id="748" w:name="Tc_E8eYP0RsmUmEYHfOhx891g_5_2"/>
      <w:bookmarkStart w:id="749" w:name="Tc_QkTQyMY3SUq0YJkef3ZSPQ_5_0"/>
      <w:bookmarkStart w:id="750" w:name="Tc_XDtDX8MgI0yZ7oQStX9uoA_4_0"/>
      <w:bookmarkStart w:id="751" w:name="Tc_eCcF1gDlm0Or5M1rZ4PlJw_3_2"/>
      <w:bookmarkStart w:id="752" w:name="Tc_GKGC1ByGwkSN42f0mi2zjg_2_5"/>
      <w:bookmarkStart w:id="753" w:name="Tc_3wfaumnCokmQ9IxKaIXQXA_2_2"/>
      <w:bookmarkStart w:id="754" w:name="Tc_qyVzxRbCx0WFANT4f5gceQ_1_5"/>
      <w:bookmarkStart w:id="755" w:name="Tc_QI7Wk2Nf1kirqb2lGs4KQQ_1_2"/>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r>
        <w:rPr>
          <w:rFonts w:ascii="Times New Roman;Times;serif" w:hAnsi="Times New Roman;Times;serif"/>
          <w:b/>
          <w:sz w:val="20"/>
        </w:rPr>
        <w:t>Note 5 – Inventories, net:</w:t>
      </w:r>
    </w:p>
    <w:p>
      <w:pPr>
        <w:pStyle w:val="TextBody"/>
        <w:bidi w:val="0"/>
        <w:spacing w:before="0" w:after="0"/>
        <w:ind w:left="0" w:right="0" w:hanging="0"/>
        <w:jc w:val="left"/>
        <w:rPr/>
      </w:pPr>
      <w:r>
        <w:rPr/>
        <w:t>​</w:t>
      </w:r>
    </w:p>
    <w:tbl>
      <w:tblPr>
        <w:tblW w:w="5243" w:type="dxa"/>
        <w:jc w:val="left"/>
        <w:tblInd w:w="0" w:type="dxa"/>
        <w:tblLayout w:type="fixed"/>
        <w:tblCellMar>
          <w:top w:w="0" w:type="dxa"/>
          <w:left w:w="0" w:type="dxa"/>
          <w:bottom w:w="0" w:type="dxa"/>
          <w:right w:w="0" w:type="dxa"/>
        </w:tblCellMar>
      </w:tblPr>
      <w:tblGrid>
        <w:gridCol w:w="1891"/>
        <w:gridCol w:w="326"/>
        <w:gridCol w:w="310"/>
        <w:gridCol w:w="995"/>
        <w:gridCol w:w="326"/>
        <w:gridCol w:w="296"/>
        <w:gridCol w:w="1099"/>
      </w:tblGrid>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96850" cy="175260"/>
                      <wp:effectExtent l="0" t="0" r="0" b="0"/>
                      <wp:wrapNone/>
                      <wp:docPr id="104" name="Frame104"/>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31825" cy="175260"/>
                      <wp:effectExtent l="0" t="0" r="0" b="0"/>
                      <wp:wrapNone/>
                      <wp:docPr id="105" name="Frame105"/>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87960" cy="175260"/>
                      <wp:effectExtent l="0" t="0" r="0" b="0"/>
                      <wp:wrapNone/>
                      <wp:docPr id="107" name="Frame107"/>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97865" cy="175260"/>
                      <wp:effectExtent l="0" t="0" r="0" b="0"/>
                      <wp:wrapNone/>
                      <wp:docPr id="108" name="Frame108"/>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24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3,464</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2,109</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raw materials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6,245</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5,573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14,193</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17,476</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5,790</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5,562</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work-in-process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19,983</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23,038</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3,163</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3,233</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1,899</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2,438</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finished goods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5,671</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 net</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31,290</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34,282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56" w:name="Tc_qcTQ6EdBK0mg9sOm5TSg1g_15_5"/>
      <w:bookmarkStart w:id="757" w:name="Tc_LVBxD9KYSUGrsTqg8UWGuA_15_2"/>
      <w:bookmarkStart w:id="758" w:name="Tc_TiYZmGSFykaTzs3wbOgOUQ_15_0"/>
      <w:bookmarkStart w:id="759" w:name="Tc_ldFinJTpqUiQCUvE8RZBIA_14_0"/>
      <w:bookmarkStart w:id="760" w:name="Tc_0wYCLItxUESTT29cuE0fMw_13_0"/>
      <w:bookmarkStart w:id="761" w:name="Tc_MqMYLjkPKEGMkYlyyUL2og_12_0"/>
      <w:bookmarkStart w:id="762" w:name="Tc_QI7RGZCKVkGZUsUN6DMmrQ_11_0"/>
      <w:bookmarkStart w:id="763" w:name="Tc_Opr9AL_wYkalTHZi28LecQ_10_0"/>
      <w:bookmarkStart w:id="764" w:name="Tc_-8B9qw2gXU-RN2R6uS0_vg_9_0"/>
      <w:bookmarkStart w:id="765" w:name="Tc_qAJ3hzvzUUy7TfpaAoodsQ_8_0"/>
      <w:bookmarkStart w:id="766" w:name="Tc_s4fOGrnnZE6cLTWjbQVkzQ_7_0"/>
      <w:bookmarkStart w:id="767" w:name="Tc_ETXLZH3l0UyAkrwP7UEVSg_6_0"/>
      <w:bookmarkStart w:id="768" w:name="Tc_dFk6ykLLwkepZP-X64ls7Q_5_5"/>
      <w:bookmarkStart w:id="769" w:name="Tc_ezfNeZIV5EaSzuOFUaXz_w_5_2"/>
      <w:bookmarkStart w:id="770" w:name="Tc_kgGPgjAh0E29cRXI8fe8tw_5_0"/>
      <w:bookmarkStart w:id="771" w:name="Tc__TB43XRdBUGEQXh9XHymAA_4_0"/>
      <w:bookmarkStart w:id="772" w:name="Tc_WkwpJiyWdEatbphRAlU0gA_3_2"/>
      <w:bookmarkStart w:id="773" w:name="Tc_bCEIKIPk9UOaI5ERJhiK_g_2_5"/>
      <w:bookmarkStart w:id="774" w:name="Tc_vtwEPxZLsEuCXaQIOaOo5w_2_2"/>
      <w:bookmarkStart w:id="775" w:name="Tc_M9DadsXZzkqPL0rjiX4zKw_1_5"/>
      <w:bookmarkStart w:id="776" w:name="Tc_1eK9-nnmhUqhs-3nsgllIA_1_2"/>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r>
        <w:rPr>
          <w:rFonts w:ascii="Times New Roman;Times;serif" w:hAnsi="Times New Roman;Times;serif"/>
          <w:b/>
          <w:sz w:val="20"/>
        </w:rPr>
        <w:t>Note 6 – Accounts payable and accrued liabilities:</w:t>
      </w:r>
    </w:p>
    <w:p>
      <w:pPr>
        <w:pStyle w:val="TextBody"/>
        <w:bidi w:val="0"/>
        <w:spacing w:before="0" w:after="0"/>
        <w:ind w:left="0" w:right="0" w:hanging="0"/>
        <w:jc w:val="left"/>
        <w:rPr/>
      </w:pPr>
      <w:r>
        <w:rPr/>
        <w:t>​</w:t>
      </w:r>
    </w:p>
    <w:tbl>
      <w:tblPr>
        <w:tblW w:w="7208" w:type="dxa"/>
        <w:jc w:val="left"/>
        <w:tblInd w:w="0" w:type="dxa"/>
        <w:tblLayout w:type="fixed"/>
        <w:tblCellMar>
          <w:top w:w="0" w:type="dxa"/>
          <w:left w:w="0" w:type="dxa"/>
          <w:bottom w:w="0" w:type="dxa"/>
          <w:right w:w="0" w:type="dxa"/>
        </w:tblCellMar>
      </w:tblPr>
      <w:tblGrid>
        <w:gridCol w:w="3856"/>
        <w:gridCol w:w="326"/>
        <w:gridCol w:w="310"/>
        <w:gridCol w:w="995"/>
        <w:gridCol w:w="326"/>
        <w:gridCol w:w="296"/>
        <w:gridCol w:w="1099"/>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96850" cy="175260"/>
                      <wp:effectExtent l="0" t="0" r="0" b="0"/>
                      <wp:wrapNone/>
                      <wp:docPr id="110" name="Frame11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31825" cy="175260"/>
                      <wp:effectExtent l="0" t="0" r="0" b="0"/>
                      <wp:wrapNone/>
                      <wp:docPr id="111" name="Frame111"/>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87960" cy="175260"/>
                      <wp:effectExtent l="0" t="0" r="0" b="0"/>
                      <wp:wrapNone/>
                      <wp:docPr id="113" name="Frame11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97865" cy="175260"/>
                      <wp:effectExtent l="0" t="0" r="0" b="0"/>
                      <wp:wrapNone/>
                      <wp:docPr id="114" name="Frame114"/>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208"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26"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310"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3,156</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835</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pPr>
            <w:r>
              <w:rPr/>
              <w:t>  </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benefits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10,489</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8,703</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other than on income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574</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tooling</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10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from customers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387</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15,618</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9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15,047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77" w:name="Tc_eLJUGCJ2SkOnbX8xnOzPEg_14_11"/>
      <w:bookmarkStart w:id="778" w:name="Tc_gUp_ZDT8sUaWMkIFPxyF1A_14_8"/>
      <w:bookmarkStart w:id="779" w:name="Tc_e3vDD2WEOEytS0dWlDsUMg_14_5"/>
      <w:bookmarkStart w:id="780" w:name="Tc_gsfG75droUmNt3p33tb4SQ_14_2"/>
      <w:bookmarkStart w:id="781" w:name="Tc_dVHVD6kKQUG1c8eUyq4MKQ_14_0"/>
      <w:bookmarkStart w:id="782" w:name="Tc_CTAUJOkdo0mnDjaWNQsN1w_13_0"/>
      <w:bookmarkStart w:id="783" w:name="Tc_9hPXjrDgGk2PaE2k9aKVHA_12_11"/>
      <w:bookmarkStart w:id="784" w:name="Tc_qTfDB34K4EqmoW7HCxWEug_12_8"/>
      <w:bookmarkStart w:id="785" w:name="Tc_YnlB4nHPC0CkyfixVLfQmA_12_5"/>
      <w:bookmarkStart w:id="786" w:name="Tc_oUiXflzLhkO6m0YMWoNnow_12_2"/>
      <w:bookmarkStart w:id="787" w:name="Tc_F5wfB8zLTUavcQWs9wvKgw_12_0"/>
      <w:bookmarkStart w:id="788" w:name="Tc_6I06UIWAvEi_aqZk5uaR9w_11_0"/>
      <w:bookmarkStart w:id="789" w:name="Tc_z86aGAaXFEyJG6fYna4mOw_9_11"/>
      <w:bookmarkStart w:id="790" w:name="Tc_7dbsOf_cNkChmAtPUWLOXw_9_8"/>
      <w:bookmarkStart w:id="791" w:name="Tc_qJsKKtQNV0qDJJFPwr47pw_9_5"/>
      <w:bookmarkStart w:id="792" w:name="Tc_hA5iRpOCcEaSDyrdNJYR_w_9_2"/>
      <w:bookmarkStart w:id="793" w:name="Tc_Mi9qqREb4UKoDLzxGI8WjQ_9_0"/>
      <w:bookmarkStart w:id="794" w:name="Tc_F5Bj_1XP2UqZVX38CwkChQ_8_0"/>
      <w:bookmarkStart w:id="795" w:name="Tc_LyULQajnW0CsRggHPatt3g_7_0"/>
      <w:bookmarkStart w:id="796" w:name="Tc_f5lxbJulO0OAJWOetADP_Q_6_0"/>
      <w:bookmarkStart w:id="797" w:name="Tc_cixYnBnB60itn7hK2Bk7zQ_5_11"/>
      <w:bookmarkStart w:id="798" w:name="Tc_HK-tlDI_HUqe6HlKyoZYDQ_5_8"/>
      <w:bookmarkStart w:id="799" w:name="Tc_qXaAd6Z_TESDmU-8TWu-Gw_5_5"/>
      <w:bookmarkStart w:id="800" w:name="Tc_ekDQC3Y9YEGHtX_em5mFNQ_5_2"/>
      <w:bookmarkStart w:id="801" w:name="Tc_QHKoJONO9UKtWJqsvh9sXg_5_0"/>
      <w:bookmarkStart w:id="802" w:name="Tc_cDFGrIjFYUijZUArg7d0cQ_4_2"/>
      <w:bookmarkStart w:id="803" w:name="Tc_g1NZ0f9_jkOm90jqQiLEzw_3_11"/>
      <w:bookmarkStart w:id="804" w:name="Tc_Rc-VkNjfBk2JuzX6rMt8_A_3_8"/>
      <w:bookmarkStart w:id="805" w:name="Tc_sd4ZX8Ny1UGptJAtkcwhdg_3_5"/>
      <w:bookmarkStart w:id="806" w:name="Tc_9BQhte3vLESwv3YDb1kLxg_3_2"/>
      <w:bookmarkStart w:id="807" w:name="Tc_hfV8l6dfJE6TCqd0Ov4_IQ_2_8"/>
      <w:bookmarkStart w:id="808" w:name="Tc_oncDTibq1k2sszOlqqfLhg_2_2"/>
      <w:bookmarkStart w:id="809" w:name="Tc_EySeVTEgKUqdQLR-BIYVwQ_1_8"/>
      <w:bookmarkStart w:id="810" w:name="Tc_nDyR2ClLPEeqKddrysxaAg_1_2"/>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r>
        <w:rPr>
          <w:rFonts w:ascii="Times New Roman;Times;serif" w:hAnsi="Times New Roman;Times;serif"/>
          <w:b/>
          <w:sz w:val="20"/>
        </w:rPr>
        <w:t>Note 7 – Provision for income taxes:</w:t>
      </w:r>
    </w:p>
    <w:p>
      <w:pPr>
        <w:pStyle w:val="TextBody"/>
        <w:bidi w:val="0"/>
        <w:spacing w:before="0" w:after="0"/>
        <w:ind w:left="0" w:right="0" w:hanging="0"/>
        <w:jc w:val="left"/>
        <w:rPr/>
      </w:pPr>
      <w:r>
        <w:rPr/>
        <w:t>​</w:t>
      </w:r>
    </w:p>
    <w:tbl>
      <w:tblPr>
        <w:tblW w:w="9368" w:type="dxa"/>
        <w:jc w:val="left"/>
        <w:tblInd w:w="0" w:type="dxa"/>
        <w:tblLayout w:type="fixed"/>
        <w:tblCellMar>
          <w:top w:w="0" w:type="dxa"/>
          <w:left w:w="0" w:type="dxa"/>
          <w:bottom w:w="0" w:type="dxa"/>
          <w:right w:w="0" w:type="dxa"/>
        </w:tblCellMar>
      </w:tblPr>
      <w:tblGrid>
        <w:gridCol w:w="4831"/>
        <w:gridCol w:w="326"/>
        <w:gridCol w:w="211"/>
        <w:gridCol w:w="571"/>
        <w:gridCol w:w="326"/>
        <w:gridCol w:w="211"/>
        <w:gridCol w:w="571"/>
        <w:gridCol w:w="326"/>
        <w:gridCol w:w="211"/>
        <w:gridCol w:w="571"/>
        <w:gridCol w:w="326"/>
        <w:gridCol w:w="211"/>
        <w:gridCol w:w="676"/>
      </w:tblGrid>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62585" cy="175260"/>
                      <wp:effectExtent l="0" t="0" r="0" b="0"/>
                      <wp:wrapNone/>
                      <wp:docPr id="117" name="Frame11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62585" cy="175260"/>
                      <wp:effectExtent l="0" t="0" r="0" b="0"/>
                      <wp:wrapNone/>
                      <wp:docPr id="120" name="Frame1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62585" cy="175260"/>
                      <wp:effectExtent l="0" t="0" r="0" b="0"/>
                      <wp:wrapNone/>
                      <wp:docPr id="123" name="Frame1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29260" cy="175260"/>
                      <wp:effectExtent l="0" t="0" r="0" b="0"/>
                      <wp:wrapNone/>
                      <wp:docPr id="126" name="Frame1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0"/>
              <w:ind w:left="0" w:right="0" w:hanging="0"/>
              <w:jc w:val="left"/>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93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11"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tax expense, at the U.S. federal statutory </w:t>
              <w:br/>
              <w:t>  income tax rate of 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4,401</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631</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FDII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83</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5,058</w:t>
            </w:r>
          </w:p>
        </w:tc>
      </w:tr>
      <w:tr>
        <w:trPr/>
        <w:tc>
          <w:tcPr>
            <w:tcW w:w="4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provision for income taxes allocable to:</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5,058</w:t>
            </w:r>
          </w:p>
        </w:tc>
      </w:tr>
      <w:tr>
        <w:trPr/>
        <w:tc>
          <w:tcPr>
            <w:tcW w:w="4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r>
      <w:tr>
        <w:trPr/>
        <w:tc>
          <w:tcPr>
            <w:tcW w:w="4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5,035</w:t>
            </w:r>
          </w:p>
        </w:tc>
      </w:tr>
    </w:tbl>
    <w:p>
      <w:pPr>
        <w:pStyle w:val="TextBody"/>
        <w:bidi w:val="0"/>
        <w:spacing w:before="0" w:after="0"/>
        <w:ind w:left="0" w:right="0" w:firstLine="72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Stockholders’ equity: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previously authorized the repurchase of our Class A common stock in open market transactions, including block purchases, or in privately-negotiated transactions at unspecified prices and over an unspecified period of time. We may repurchase our common stock from time to time as market conditions permit. The stock repurchase program does not include specific price targets or timetables and may be suspended at any time. Depending on market conditions, we may terminate the program prior to its completion. We use cash on hand to acquire the shares. Repurchased shares are added to our treasury and cancelled.</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made no treasury purchases during the first nine months of 2023. During the second quarter of 2022, we acquired 78,900 shares of our Class A common stock for an aggregate amount of approximately $1.7 million under the prior repurchase authorizations.  Of these shares, 70,000 shares were purchased in a market transaction, and 8,900 shares were purchased from two of our affiliates in two separate private transactions that were also approved in advance by our independent directors. At September 30, 2023, 523,647 shares were available for purchase under prior repurchase authorizations.</w:t>
      </w:r>
    </w:p>
    <w:p>
      <w:pPr>
        <w:pStyle w:val="TextBody"/>
        <w:bidi w:val="0"/>
        <w:spacing w:before="240" w:after="240"/>
        <w:ind w:left="0" w:right="0" w:hanging="0"/>
        <w:jc w:val="left"/>
        <w:rPr>
          <w:rFonts w:ascii="Times New Roman;Times;serif" w:hAnsi="Times New Roman;Times;serif"/>
          <w:b/>
          <w:sz w:val="20"/>
        </w:rPr>
      </w:pPr>
      <w:bookmarkStart w:id="811" w:name="Tc_0FmUiRmNDkyR3_e54oy00Q_5_11"/>
      <w:bookmarkStart w:id="812" w:name="Tc_pjPKn7d140O7cgPdAJHyEg_5_8"/>
      <w:bookmarkStart w:id="813" w:name="Tc_khgVV8dDnkO8_9cjsRR9tQ_5_5"/>
      <w:bookmarkStart w:id="814" w:name="Tc_XKHC3VEwXEyEHZEdyltF3g_5_2"/>
      <w:bookmarkStart w:id="815" w:name="Tc_BLxWf0lkaUum-O4Rq1Dj9g_5_0"/>
      <w:bookmarkStart w:id="816" w:name="Tc_t2xQdaSDZUyvqNGMy6-0Kg_4_2"/>
      <w:bookmarkStart w:id="817" w:name="Tc_s041ihWiVECQlVL8WyxS9A_3_11"/>
      <w:bookmarkStart w:id="818" w:name="Tc_3WfzJA-k7ku8O5QbMGDPww_3_8"/>
      <w:bookmarkStart w:id="819" w:name="Tc_gtR5twsOTUOI5iukTnQeTA_3_5"/>
      <w:bookmarkStart w:id="820" w:name="Tc_E0ARis0b1UGoZwwmot30Mw_3_2"/>
      <w:bookmarkStart w:id="821" w:name="Tc_obcJVMMItk-VsA-A1-OBog_2_11"/>
      <w:bookmarkStart w:id="822" w:name="Tc_sOWj8C1el0CMcl8bzToDww_2_8"/>
      <w:bookmarkStart w:id="823" w:name="Tc_BeO6OCBVK0WgUamAoW3kuw_2_5"/>
      <w:bookmarkStart w:id="824" w:name="Tc_nmaFGrnojU23GaTDqiCXvA_2_2"/>
      <w:bookmarkStart w:id="825" w:name="Tc_Q8OsDyyIcU65ml2kOl10kw_1_8"/>
      <w:bookmarkStart w:id="826" w:name="Tc_pC_OP_5JTEiF4Bxls94BPQ_1_2"/>
      <w:bookmarkStart w:id="827" w:name="_0ec9ecd1_2b8c_44de_bc15_87f40132d8c3"/>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Pr>
          <w:rFonts w:ascii="Times New Roman;Times;serif" w:hAnsi="Times New Roman;Times;serif"/>
          <w:b/>
          <w:sz w:val="20"/>
        </w:rPr>
        <w:t>Note 9 – Financial instruments: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Note 3 for information on how we determine the fair value of our marketable securities.</w:t>
      </w:r>
    </w:p>
    <w:p>
      <w:pPr>
        <w:pStyle w:val="TextBody"/>
        <w:bidi w:val="0"/>
        <w:spacing w:before="0" w:after="24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the financial instruments that are not carried at fair value but which require fair value disclosure:</w:t>
      </w:r>
    </w:p>
    <w:p>
      <w:pPr>
        <w:pStyle w:val="TextBody"/>
        <w:bidi w:val="0"/>
        <w:spacing w:before="0" w:after="240"/>
        <w:ind w:left="0" w:right="0" w:firstLine="720"/>
        <w:jc w:val="both"/>
        <w:rPr/>
      </w:pPr>
      <w:r>
        <w:rPr/>
        <w:t>​</w:t>
      </w:r>
    </w:p>
    <w:tbl>
      <w:tblPr>
        <w:tblW w:w="7251" w:type="dxa"/>
        <w:jc w:val="left"/>
        <w:tblInd w:w="0" w:type="dxa"/>
        <w:tblLayout w:type="fixed"/>
        <w:tblCellMar>
          <w:top w:w="0" w:type="dxa"/>
          <w:left w:w="0" w:type="dxa"/>
          <w:bottom w:w="0" w:type="dxa"/>
          <w:right w:w="0" w:type="dxa"/>
        </w:tblCellMar>
      </w:tblPr>
      <w:tblGrid>
        <w:gridCol w:w="2266"/>
        <w:gridCol w:w="326"/>
        <w:gridCol w:w="214"/>
        <w:gridCol w:w="687"/>
        <w:gridCol w:w="326"/>
        <w:gridCol w:w="211"/>
        <w:gridCol w:w="676"/>
        <w:gridCol w:w="326"/>
        <w:gridCol w:w="214"/>
        <w:gridCol w:w="687"/>
        <w:gridCol w:w="326"/>
        <w:gridCol w:w="211"/>
        <w:gridCol w:w="781"/>
      </w:tblGrid>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5890" cy="175260"/>
                      <wp:effectExtent l="0" t="0" r="0" b="0"/>
                      <wp:wrapNone/>
                      <wp:docPr id="128" name="Frame12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36245" cy="175260"/>
                      <wp:effectExtent l="0" t="0" r="0" b="0"/>
                      <wp:wrapNone/>
                      <wp:docPr id="129" name="Frame129"/>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29260" cy="175260"/>
                      <wp:effectExtent l="0" t="0" r="0" b="0"/>
                      <wp:wrapNone/>
                      <wp:docPr id="132" name="Frame1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5890" cy="175260"/>
                      <wp:effectExtent l="0" t="0" r="0" b="0"/>
                      <wp:wrapNone/>
                      <wp:docPr id="134" name="Frame13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36245" cy="175260"/>
                      <wp:effectExtent l="0" t="0" r="0" b="0"/>
                      <wp:wrapNone/>
                      <wp:docPr id="135" name="Frame135"/>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95935" cy="175260"/>
                      <wp:effectExtent l="0" t="0" r="0" b="0"/>
                      <wp:wrapNone/>
                      <wp:docPr id="138" name="Frame1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2022</w:t>
            </w:r>
          </w:p>
        </w:tc>
        <w:tc>
          <w:tcPr>
            <w:tcW w:w="326" w:type="dxa"/>
            <w:tcBorders/>
            <w:vAlign w:val="center"/>
          </w:tcPr>
          <w:p>
            <w:pPr>
              <w:pStyle w:val="TableContents"/>
              <w:bidi w:val="0"/>
              <w:spacing w:before="0" w:after="0"/>
              <w:ind w:left="0" w:right="0" w:hanging="0"/>
              <w:jc w:val="left"/>
              <w:rPr/>
            </w:pPr>
            <w:r>
              <w:rPr/>
              <w:t>​</w:t>
            </w:r>
          </w:p>
        </w:tc>
        <w:tc>
          <w:tcPr>
            <w:tcW w:w="22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c>
          <w:tcPr>
            <w:tcW w:w="32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value</w:t>
            </w:r>
          </w:p>
        </w:tc>
      </w:tr>
      <w:tr>
        <w:trPr/>
        <w:tc>
          <w:tcPr>
            <w:tcW w:w="7251"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59" w:type="dxa"/>
            <w:gridSpan w:val="11"/>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26,748</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17,595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17,595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Due to their near-term maturities, the carrying amounts of accounts receivable and accounts payable are considered equivalent to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10 – Related party transactions: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under which, as amended, we agreed to loan Valhi up to $25 million. Our loan to Valhi, as amended, bears interest at prime plus 1.00%, payable quarterly, with all principal due on demand, but in any event no earlier than December 31, 2024. Loans made to Valhi at any time under the agreement are at our discretion. At September 30, 2023, the outstanding principal balance receivable from Valhi under the promissory note was $12.0 million. Interest income (including unused commitment fees) on our loan to Valhi was $.7 million and $.9 million for the nine months ended September 30, 2022 and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28" w:name="ITEM2MANAGEMENTSDISCUSSIONANDANALYSIS_62"/>
      <w:bookmarkStart w:id="829" w:name="_33cecb26_0ea0_489b_a2b0_ca50c6749cf4"/>
      <w:bookmarkStart w:id="830" w:name="ITEM2MANAGEMENTSDISCUSSIONANDANALYSIS_62"/>
      <w:bookmarkStart w:id="831" w:name="_33cecb26_0ea0_489b_a2b0_ca50c6749cf4"/>
      <w:bookmarkEnd w:id="830"/>
      <w:bookmarkEnd w:id="831"/>
    </w:p>
    <w:tbl>
      <w:tblPr>
        <w:tblW w:w="10205" w:type="dxa"/>
        <w:jc w:val="left"/>
        <w:tblInd w:w="0" w:type="dxa"/>
        <w:tblLayout w:type="fixed"/>
        <w:tblCellMar>
          <w:top w:w="0" w:type="dxa"/>
          <w:left w:w="0" w:type="dxa"/>
          <w:bottom w:w="0" w:type="dxa"/>
          <w:right w:w="0" w:type="dxa"/>
        </w:tblCellMar>
      </w:tblPr>
      <w:tblGrid>
        <w:gridCol w:w="837"/>
        <w:gridCol w:w="9368"/>
      </w:tblGrid>
      <w:tr>
        <w:trPr/>
        <w:tc>
          <w:tcPr>
            <w:tcW w:w="837"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ITEM 2.</w:t>
            </w:r>
          </w:p>
        </w:tc>
        <w:tc>
          <w:tcPr>
            <w:tcW w:w="9368"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leading manufacturer of engineered components utilized in a variety of applications and industries. Through our Security Products segment we manufacture mechanical and electrical cabinet locks and other locking mechanisms used in postal, recreational transportation, office and institutional furniture, cabinetry, tool storage and healthcare applications. We also manufacture wake enhancement systems, stainless steel exhaust systems, gauges, throttle controls, trim tabs and related hardware and accessories for the recreational marine and other industries through our Marine Components segment.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tbl>
      <w:tblPr>
        <w:tblW w:w="3126" w:type="dxa"/>
        <w:jc w:val="left"/>
        <w:tblInd w:w="0" w:type="dxa"/>
        <w:tblLayout w:type="fixed"/>
        <w:tblCellMar>
          <w:top w:w="28" w:type="dxa"/>
          <w:left w:w="28" w:type="dxa"/>
          <w:bottom w:w="28" w:type="dxa"/>
          <w:right w:w="28" w:type="dxa"/>
        </w:tblCellMar>
      </w:tblPr>
      <w:tblGrid>
        <w:gridCol w:w="124"/>
        <w:gridCol w:w="256"/>
        <w:gridCol w:w="2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raw material and other operating costs (such as zinc, brass, aluminum, steel and energy costs) and our ability to pass those costs on to our customers or offset them with reductions in other operating costs,</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and product competition from low-cost manufacturing sources (such as China),</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 including substitute products,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the development of new products and product features,</w:t>
            </w:r>
          </w:p>
        </w:tc>
      </w:tr>
    </w:tbl>
    <w:tbl>
      <w:tblPr>
        <w:tblW w:w="1911" w:type="dxa"/>
        <w:jc w:val="left"/>
        <w:tblInd w:w="0" w:type="dxa"/>
        <w:tblLayout w:type="fixed"/>
        <w:tblCellMar>
          <w:top w:w="28" w:type="dxa"/>
          <w:left w:w="28" w:type="dxa"/>
          <w:bottom w:w="28" w:type="dxa"/>
          <w:right w:w="28" w:type="dxa"/>
        </w:tblCellMar>
      </w:tblPr>
      <w:tblGrid>
        <w:gridCol w:w="124"/>
        <w:gridCol w:w="256"/>
        <w:gridCol w:w="1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litigation,</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or defend our intellectual property rights,</w:t>
            </w:r>
          </w:p>
        </w:tc>
      </w:tr>
    </w:tbl>
    <w:tbl>
      <w:tblPr>
        <w:tblW w:w="4956" w:type="dxa"/>
        <w:jc w:val="left"/>
        <w:tblInd w:w="0" w:type="dxa"/>
        <w:tblLayout w:type="fixed"/>
        <w:tblCellMar>
          <w:top w:w="28" w:type="dxa"/>
          <w:left w:w="28" w:type="dxa"/>
          <w:bottom w:w="28" w:type="dxa"/>
          <w:right w:w="28" w:type="dxa"/>
        </w:tblCellMar>
      </w:tblPr>
      <w:tblGrid>
        <w:gridCol w:w="124"/>
        <w:gridCol w:w="256"/>
        <w:gridCol w:w="45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difficulties in integrating future acquisitions,</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to sell operating assets other than in the ordinary course of business,</w:t>
            </w:r>
          </w:p>
        </w:tc>
      </w:tr>
    </w:tbl>
    <w:tbl>
      <w:tblPr>
        <w:tblW w:w="9636" w:type="dxa"/>
        <w:jc w:val="left"/>
        <w:tblInd w:w="0" w:type="dxa"/>
        <w:tblLayout w:type="fixed"/>
        <w:tblCellMar>
          <w:top w:w="28" w:type="dxa"/>
          <w:left w:w="28" w:type="dxa"/>
          <w:bottom w:w="28" w:type="dxa"/>
          <w:right w:w="28" w:type="dxa"/>
        </w:tblCellMar>
      </w:tblPr>
      <w:tblGrid>
        <w:gridCol w:w="124"/>
        <w:gridCol w:w="256"/>
        <w:gridCol w:w="9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emission and discharge standards for existing and new facilities),</w:t>
            </w:r>
          </w:p>
        </w:tc>
      </w:tr>
    </w:tbl>
    <w:tbl>
      <w:tblPr>
        <w:tblW w:w="10041" w:type="dxa"/>
        <w:jc w:val="left"/>
        <w:tblInd w:w="0" w:type="dxa"/>
        <w:tblLayout w:type="fixed"/>
        <w:tblCellMar>
          <w:top w:w="28" w:type="dxa"/>
          <w:left w:w="28" w:type="dxa"/>
          <w:bottom w:w="28" w:type="dxa"/>
          <w:right w:w="28" w:type="dxa"/>
        </w:tblCellMar>
      </w:tblPr>
      <w:tblGrid>
        <w:gridCol w:w="124"/>
        <w:gridCol w:w="256"/>
        <w:gridCol w:w="9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laws and regulations and possible changes therein, including new environmental health and safety or other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global economic and political conditions that disrupt or introduce instability into our supply chain, impact our customers’ level of demand or our customers’ perception regarding demand or impair our ability to operate our facilities (including changes in the level of gross domestic product in various regions of the world, natural disasters, terrorist acts, global conflicts and public health crises such as COVID-19),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hazardous chemical leaks, natural disasters, fires, explosions, unscheduled or unplanned downtime, transportation interruptions, cyber-attacks and public health crises such as COVID-19);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disruption of our business or increases in the cost of doing business resulting from terrorist activities or global conflicts.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Operating Income Overview </w:t>
      </w:r>
    </w:p>
    <w:p>
      <w:pPr>
        <w:pStyle w:val="TextBody"/>
        <w:bidi w:val="0"/>
        <w:spacing w:before="120" w:after="0"/>
        <w:ind w:left="0" w:right="0" w:firstLine="720"/>
        <w:jc w:val="both"/>
        <w:rPr>
          <w:rFonts w:ascii="Times New Roman;Times;serif" w:hAnsi="Times New Roman;Times;serif"/>
          <w:sz w:val="20"/>
        </w:rPr>
      </w:pPr>
      <w:r>
        <w:rPr>
          <w:rFonts w:ascii="Times New Roman;Times;serif" w:hAnsi="Times New Roman;Times;serif"/>
          <w:sz w:val="20"/>
        </w:rPr>
        <w:t>In the third quarter of 2023 operating income increased to $6.6 million compared to $5.9 million in the third quarter of 2022. The increase in operating income in the third quarter of 2023 compared to 2022 is due to higher Security Products sales and improved gross margin percentages at both segments, partially offset by lower Marine Components sales. Operating income for the first nine months of 2023 was $18.0 million compared to $20.0 million in the first nine months of 2022. The decrease in operating income in the first nine months of 2023 compared to 2022 is primarily due to lower Marine Components sales and, to a lesser extent, lower Security Products sales somewhat offset by an improvement in Marine Components gross margin percentage.</w:t>
      </w:r>
    </w:p>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We sell a large number of products that have a wide variation in selling price and manufacturing cost, which results in certain practical limitations on our ability to quantify the impact of changes in individual product sales quantities and selling prices on our net sales, cost of sales and gross margin. In addition, small variations in period-to-period net sales, cost of sales and gross margin can result from changes in the relative mix of our products sold.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tbl>
      <w:tblPr>
        <w:tblW w:w="6747" w:type="dxa"/>
        <w:jc w:val="left"/>
        <w:tblInd w:w="0" w:type="dxa"/>
        <w:tblLayout w:type="fixed"/>
        <w:tblCellMar>
          <w:top w:w="0" w:type="dxa"/>
          <w:left w:w="0" w:type="dxa"/>
          <w:bottom w:w="0" w:type="dxa"/>
          <w:right w:w="0" w:type="dxa"/>
        </w:tblCellMar>
      </w:tblPr>
      <w:tblGrid>
        <w:gridCol w:w="2506"/>
        <w:gridCol w:w="326"/>
        <w:gridCol w:w="211"/>
        <w:gridCol w:w="676"/>
        <w:gridCol w:w="146"/>
        <w:gridCol w:w="571"/>
        <w:gridCol w:w="361"/>
        <w:gridCol w:w="211"/>
        <w:gridCol w:w="676"/>
        <w:gridCol w:w="14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591310" cy="175260"/>
                      <wp:effectExtent l="0" t="0" r="0" b="0"/>
                      <wp:wrapNone/>
                      <wp:docPr id="139" name="Frame139"/>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29260" cy="175260"/>
                      <wp:effectExtent l="0" t="0" r="0" b="0"/>
                      <wp:wrapNone/>
                      <wp:docPr id="142" name="Frame1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2710" cy="175260"/>
                      <wp:effectExtent l="0" t="0" r="0" b="0"/>
                      <wp:wrapNone/>
                      <wp:docPr id="143" name="Frame14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362585" cy="175260"/>
                      <wp:effectExtent l="0" t="0" r="0" b="0"/>
                      <wp:wrapNone/>
                      <wp:docPr id="144" name="Frame14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29235" cy="175260"/>
                      <wp:effectExtent l="0" t="0" r="0" b="0"/>
                      <wp:wrapNone/>
                      <wp:docPr id="145" name="Frame14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29260" cy="175260"/>
                      <wp:effectExtent l="0" t="0" r="0" b="0"/>
                      <wp:wrapNone/>
                      <wp:docPr id="147" name="Frame14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2710" cy="175260"/>
                      <wp:effectExtent l="0" t="0" r="0" b="0"/>
                      <wp:wrapNone/>
                      <wp:docPr id="148" name="Frame14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62585" cy="175260"/>
                      <wp:effectExtent l="0" t="0" r="0" b="0"/>
                      <wp:wrapNone/>
                      <wp:docPr id="149" name="Frame1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56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46"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r>
      <w:tr>
        <w:trPr/>
        <w:tc>
          <w:tcPr>
            <w:tcW w:w="674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6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42,864</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40,355</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30,928</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27,736</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68.7</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11,936</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12,619</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31.3</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6,016</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6,074</w:t>
            </w:r>
          </w:p>
        </w:tc>
        <w:tc>
          <w:tcPr>
            <w:tcW w:w="1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15.1</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5,920</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6,545</w:t>
            </w:r>
          </w:p>
        </w:tc>
        <w:tc>
          <w:tcPr>
            <w:tcW w:w="14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tbl>
      <w:tblPr>
        <w:tblW w:w="7317" w:type="dxa"/>
        <w:jc w:val="left"/>
        <w:tblInd w:w="0" w:type="dxa"/>
        <w:tblLayout w:type="fixed"/>
        <w:tblCellMar>
          <w:top w:w="0" w:type="dxa"/>
          <w:left w:w="0" w:type="dxa"/>
          <w:bottom w:w="0" w:type="dxa"/>
          <w:right w:w="0" w:type="dxa"/>
        </w:tblCellMar>
      </w:tblPr>
      <w:tblGrid>
        <w:gridCol w:w="2506"/>
        <w:gridCol w:w="326"/>
        <w:gridCol w:w="211"/>
        <w:gridCol w:w="781"/>
        <w:gridCol w:w="326"/>
        <w:gridCol w:w="571"/>
        <w:gridCol w:w="361"/>
        <w:gridCol w:w="211"/>
        <w:gridCol w:w="781"/>
        <w:gridCol w:w="326"/>
        <w:gridCol w:w="571"/>
        <w:gridCol w:w="3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591310" cy="175260"/>
                      <wp:effectExtent l="0" t="0" r="0" b="0"/>
                      <wp:wrapNone/>
                      <wp:docPr id="151" name="Frame15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95935" cy="175260"/>
                      <wp:effectExtent l="0" t="0" r="0" b="0"/>
                      <wp:wrapNone/>
                      <wp:docPr id="154" name="Frame1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62585" cy="175260"/>
                      <wp:effectExtent l="0" t="0" r="0" b="0"/>
                      <wp:wrapNone/>
                      <wp:docPr id="156" name="Frame15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29235" cy="175260"/>
                      <wp:effectExtent l="0" t="0" r="0" b="0"/>
                      <wp:wrapNone/>
                      <wp:docPr id="157" name="Frame15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8"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95935" cy="175260"/>
                      <wp:effectExtent l="0" t="0" r="0" b="0"/>
                      <wp:wrapNone/>
                      <wp:docPr id="159" name="Frame1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62585" cy="175260"/>
                      <wp:effectExtent l="0" t="0" r="0" b="0"/>
                      <wp:wrapNone/>
                      <wp:docPr id="161" name="Frame16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3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3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61"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w:t>
            </w:r>
          </w:p>
        </w:tc>
      </w:tr>
      <w:tr>
        <w:trPr/>
        <w:tc>
          <w:tcPr>
            <w:tcW w:w="7317"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39" w:type="dxa"/>
            <w:gridSpan w:val="9"/>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4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126,589</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118,122</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88,944</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82,526</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69.9</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37,645</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35,596</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30.1</w:t>
            </w:r>
          </w:p>
        </w:tc>
        <w:tc>
          <w:tcPr>
            <w:tcW w:w="346"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17,674</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17,644</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w:t>
            </w:r>
          </w:p>
        </w:tc>
        <w:tc>
          <w:tcPr>
            <w:tcW w:w="346"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19,971</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17,952</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Net sales decreased $2.6 million and $8.5 million in the third quarter and in the first nine months of 2023, respectively, compared to the same periods in 2022 due to lower Marine Components sales primarily to the towboat market, partially offset by higher Security Products sales in the third quarter of 2023. See segment discussion below.</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 xml:space="preserve">Cost of sales and gross margin. </w:t>
      </w:r>
      <w:r>
        <w:rPr>
          <w:rFonts w:ascii="Times New Roman;Times;serif" w:hAnsi="Times New Roman;Times;serif"/>
          <w:sz w:val="20"/>
        </w:rPr>
        <w:t xml:space="preserve">Cost of sales as a percentage of sales decreased 3.5% and .4% in the third quarter and for the first nine months of 2023, respectively, compared to the same periods in 2022. As a result, gross margin as a percentage of sales increased over the same periods. Gross margin percentage increased in the third quarter and for the first nine months of 2023 compared to the same periods in 2022 primarily due to higher gross margin percentages at both Security Products and Marine Components for the third quarter of 2023. Higher gross margin percentage at Marine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- 12 -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Components in the first quarter of 2023 also favorably impacted the nine-month comparative period. See segment discussion below.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Operating costs and expenses.</w:t>
      </w:r>
      <w:r>
        <w:rPr>
          <w:rFonts w:ascii="Times New Roman;Times;serif" w:hAnsi="Times New Roman;Times;serif"/>
          <w:sz w:val="20"/>
        </w:rPr>
        <w:t xml:space="preserve"> Operating costs and expenses consist primarily of sales and administrative-related personnel costs, sales commissions and advertising expenses directly related to product sales and administrative costs relating to business unit and corporate management activities, as well as any gains and losses on property and equipment. Operating costs and expenses for the third quarter and for the first nine months of 2023 were comparable to the same periods in 2022. Operating costs and expenses as a percentage of net sales increased for the third quarter and the first nine months of 2023 due to decreased coverage of operating costs and expenses as a result of lower sales.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Operating income.</w:t>
      </w:r>
      <w:r>
        <w:rPr>
          <w:rFonts w:ascii="Times New Roman;Times;serif" w:hAnsi="Times New Roman;Times;serif"/>
          <w:sz w:val="20"/>
        </w:rPr>
        <w:t xml:space="preserve"> As a percentage of net sales, operating income comparisons for the third quarter and first nine months compared to the same periods of 2022 were primarily impacted by the factors impacting sales, cost of sales, gross margin and operating costs. See segment discussion below.</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Interest income increased $.5 million and $1.9 million in the third quarter and for the first nine months of 2023, respectively, compared to the same periods in 2022 primarily due to higher average interest rates and increased investment balances, somewhat offset by lower average balances on the revolving promissory note receivable from Valhi. See Notes 3 and 10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Provision for income taxes.</w:t>
      </w:r>
      <w:r>
        <w:rPr>
          <w:rFonts w:ascii="Times New Roman;Times;serif" w:hAnsi="Times New Roman;Times;serif"/>
          <w:sz w:val="20"/>
        </w:rPr>
        <w:t xml:space="preserve"> A tabular reconciliation of our actual tax provision to the U.S. federal statutory income tax rate is included in Note 7 to the Condensed Consolidated Financial Statements. Our operations are wholly within the U.S. and therefore our effective income tax rate is primarily reflective of the U.S. federal statutory rate and applicable state taxes.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Segment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key performance indicator for our segments is operating income.</w:t>
      </w:r>
    </w:p>
    <w:tbl>
      <w:tblPr>
        <w:tblW w:w="10063" w:type="dxa"/>
        <w:jc w:val="left"/>
        <w:tblInd w:w="0" w:type="dxa"/>
        <w:tblLayout w:type="fixed"/>
        <w:tblCellMar>
          <w:top w:w="0" w:type="dxa"/>
          <w:left w:w="0" w:type="dxa"/>
          <w:bottom w:w="0" w:type="dxa"/>
          <w:right w:w="0" w:type="dxa"/>
        </w:tblCellMar>
      </w:tblPr>
      <w:tblGrid>
        <w:gridCol w:w="2506"/>
        <w:gridCol w:w="326"/>
        <w:gridCol w:w="211"/>
        <w:gridCol w:w="676"/>
        <w:gridCol w:w="361"/>
        <w:gridCol w:w="211"/>
        <w:gridCol w:w="676"/>
        <w:gridCol w:w="391"/>
        <w:gridCol w:w="751"/>
        <w:gridCol w:w="361"/>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591310" cy="175260"/>
                      <wp:effectExtent l="0" t="0" r="0" b="0"/>
                      <wp:wrapNone/>
                      <wp:docPr id="163" name="Frame163"/>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29260" cy="175260"/>
                      <wp:effectExtent l="0" t="0" r="0" b="0"/>
                      <wp:wrapNone/>
                      <wp:docPr id="166" name="Frame1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29235" cy="175260"/>
                      <wp:effectExtent l="0" t="0" r="0" b="0"/>
                      <wp:wrapNone/>
                      <wp:docPr id="167" name="Frame1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29260" cy="175260"/>
                      <wp:effectExtent l="0" t="0" r="0" b="0"/>
                      <wp:wrapNone/>
                      <wp:docPr id="169" name="Frame1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48285" cy="175260"/>
                      <wp:effectExtent l="0" t="0" r="0" b="0"/>
                      <wp:wrapNone/>
                      <wp:docPr id="170" name="Frame17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76885" cy="175260"/>
                      <wp:effectExtent l="0" t="0" r="0" b="0"/>
                      <wp:wrapNone/>
                      <wp:docPr id="171" name="Frame17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29235" cy="175260"/>
                      <wp:effectExtent l="0" t="0" r="0" b="0"/>
                      <wp:wrapNone/>
                      <wp:docPr id="172" name="Frame1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29235" cy="175260"/>
                      <wp:effectExtent l="0" t="0" r="0" b="0"/>
                      <wp:wrapNone/>
                      <wp:docPr id="175" name="Frame1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29260" cy="175260"/>
                      <wp:effectExtent l="0" t="0" r="0" b="0"/>
                      <wp:wrapNone/>
                      <wp:docPr id="177" name="Frame1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48285" cy="175260"/>
                      <wp:effectExtent l="0" t="0" r="0" b="0"/>
                      <wp:wrapNone/>
                      <wp:docPr id="178" name="Frame17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76885" cy="175260"/>
                      <wp:effectExtent l="0" t="0" r="0" b="0"/>
                      <wp:wrapNone/>
                      <wp:docPr id="179" name="Frame17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0660" cy="175260"/>
                      <wp:effectExtent l="0" t="0" r="0" b="0"/>
                      <wp:wrapNone/>
                      <wp:docPr id="180" name="Frame18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10063"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31,376</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86,911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84,390</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20,241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21,347</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59,629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58,475</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8,252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10,029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27,282</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25,915</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3,533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9,637</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9,906</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6,496</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17,645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16,009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32.0</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30.7</w:t>
            </w:r>
          </w:p>
        </w:tc>
        <w:tc>
          <w:tcPr>
            <w:tcW w:w="39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20.7</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Security Products</w:t>
      </w:r>
      <w:r>
        <w:rPr>
          <w:rFonts w:ascii="Times New Roman;Times;serif" w:hAnsi="Times New Roman;Times;serif"/>
          <w:sz w:val="20"/>
        </w:rPr>
        <w:t>. Security Products net sales increased 10% in the third quarter of 2023 compared to the same period in 2022. Relative to prior year, third quarter sales were $3.9 million higher to the government security market, partially offset by $.6 million lower sales to the office furniture market and $.4 million lower sales to the gas station security market. Security Products net sales decreased 3% in the first nine months of 2023 compared to the same period in 2022. Relative to prior year, sales for the first nine months were $1.4 million lower to the office furniture market, $1.1 million lower to the government security market, $.5 million lower to the gas station security market and $.4 million lower to the healthcare market, partially offset by $1.2 million higher sales to distributors.</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Gross margin as a percentage of net sales increased for the third quarter of 2023 compared to the same period in 2022 primarily due to increased sales volumes and lower cost of sales percentage as a result of lower raw materials, shipping and overtime costs. Operating income as a percentage of net sales increased in the third quarter of 2023 compared to the same period in 2022 due to the factors impacting gross margin, partially offset by increased operating costs and expenses, including higher employee salaries and benefits of $.2 million. Gross margin as a percentage of net sales for the first nine months of 2023 decreased as compared to the same period in 2022 primarily due to effects of lower sales and decreased coverage of fixed costs as a result of lower sales, partially offset by the favorable increase in gross margin during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- 13 -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third quarter as discussed above. Operating income as a percentage of net sales decreased in the first nine months of 2023 compared to the same period in 2022 due to the factors impacting gross margin, as well as increased operating costs and expenses including higher employee salaries and benefits of $.2 million noted above.</w:t>
      </w:r>
    </w:p>
    <w:tbl>
      <w:tblPr>
        <w:tblW w:w="9958" w:type="dxa"/>
        <w:jc w:val="left"/>
        <w:tblInd w:w="0" w:type="dxa"/>
        <w:tblLayout w:type="fixed"/>
        <w:tblCellMar>
          <w:top w:w="0" w:type="dxa"/>
          <w:left w:w="0" w:type="dxa"/>
          <w:bottom w:w="0" w:type="dxa"/>
          <w:right w:w="0" w:type="dxa"/>
        </w:tblCellMar>
      </w:tblPr>
      <w:tblGrid>
        <w:gridCol w:w="2506"/>
        <w:gridCol w:w="326"/>
        <w:gridCol w:w="211"/>
        <w:gridCol w:w="676"/>
        <w:gridCol w:w="361"/>
        <w:gridCol w:w="211"/>
        <w:gridCol w:w="571"/>
        <w:gridCol w:w="391"/>
        <w:gridCol w:w="751"/>
        <w:gridCol w:w="361"/>
        <w:gridCol w:w="211"/>
        <w:gridCol w:w="676"/>
        <w:gridCol w:w="361"/>
        <w:gridCol w:w="211"/>
        <w:gridCol w:w="676"/>
        <w:gridCol w:w="391"/>
        <w:gridCol w:w="75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591310" cy="175260"/>
                      <wp:effectExtent l="0" t="0" r="0" b="0"/>
                      <wp:wrapNone/>
                      <wp:docPr id="181" name="Frame18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29260" cy="175260"/>
                      <wp:effectExtent l="0" t="0" r="0" b="0"/>
                      <wp:wrapNone/>
                      <wp:docPr id="184" name="Frame1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29235" cy="175260"/>
                      <wp:effectExtent l="0" t="0" r="0" b="0"/>
                      <wp:wrapNone/>
                      <wp:docPr id="185" name="Frame18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62585" cy="175260"/>
                      <wp:effectExtent l="0" t="0" r="0" b="0"/>
                      <wp:wrapNone/>
                      <wp:docPr id="187" name="Frame18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48285" cy="175260"/>
                      <wp:effectExtent l="0" t="0" r="0" b="0"/>
                      <wp:wrapNone/>
                      <wp:docPr id="188" name="Frame18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76885" cy="175260"/>
                      <wp:effectExtent l="0" t="0" r="0" b="0"/>
                      <wp:wrapNone/>
                      <wp:docPr id="189" name="Frame18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29235" cy="175260"/>
                      <wp:effectExtent l="0" t="0" r="0" b="0"/>
                      <wp:wrapNone/>
                      <wp:docPr id="190" name="Frame19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29260" cy="175260"/>
                      <wp:effectExtent l="0" t="0" r="0" b="0"/>
                      <wp:wrapNone/>
                      <wp:docPr id="192" name="Frame1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29235" cy="175260"/>
                      <wp:effectExtent l="0" t="0" r="0" b="0"/>
                      <wp:wrapNone/>
                      <wp:docPr id="193" name="Frame19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29260" cy="175260"/>
                      <wp:effectExtent l="0" t="0" r="0" b="0"/>
                      <wp:wrapNone/>
                      <wp:docPr id="195" name="Frame1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48285" cy="175260"/>
                      <wp:effectExtent l="0" t="0" r="0" b="0"/>
                      <wp:wrapNone/>
                      <wp:docPr id="196" name="Frame19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76885" cy="175260"/>
                      <wp:effectExtent l="0" t="0" r="0" b="0"/>
                      <wp:wrapNone/>
                      <wp:docPr id="197" name="Frame197"/>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0660" cy="175260"/>
                      <wp:effectExtent l="0" t="0" r="0" b="0"/>
                      <wp:wrapNone/>
                      <wp:docPr id="198" name="Frame19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Nine months ended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91" w:type="dxa"/>
            <w:tcBorders/>
            <w:vAlign w:val="center"/>
          </w:tcPr>
          <w:p>
            <w:pPr>
              <w:pStyle w:val="TableContents"/>
              <w:bidi w:val="0"/>
              <w:spacing w:before="0" w:after="1"/>
              <w:ind w:left="0" w:right="0" w:hanging="0"/>
              <w:jc w:val="left"/>
              <w:rPr/>
            </w:pPr>
            <w:r>
              <w:rPr/>
              <w:t>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Change</w:t>
            </w:r>
          </w:p>
        </w:tc>
        <w:tc>
          <w:tcPr>
            <w:tcW w:w="316" w:type="dxa"/>
            <w:tcBorders/>
            <w:vAlign w:val="center"/>
          </w:tcPr>
          <w:p>
            <w:pPr>
              <w:pStyle w:val="TableContents"/>
              <w:bidi w:val="0"/>
              <w:spacing w:before="0" w:after="1"/>
              <w:ind w:left="0" w:right="0" w:hanging="0"/>
              <w:jc w:val="left"/>
              <w:rPr/>
            </w:pPr>
            <w:r>
              <w:rPr/>
              <w:t> </w:t>
            </w:r>
          </w:p>
        </w:tc>
      </w:tr>
      <w:tr>
        <w:trPr/>
        <w:tc>
          <w:tcPr>
            <w:tcW w:w="9958"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30"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35"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(Dollars in thousands)</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 </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14,371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8,979</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33,732</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10,687</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6,389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29,315</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24,051</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2,590</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10,363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9,681</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968</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897</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2,914</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2,728</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1,693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7,449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6,953</w:t>
            </w:r>
          </w:p>
        </w:tc>
        <w:tc>
          <w:tcPr>
            <w:tcW w:w="391"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28.8</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28.7</w:t>
            </w:r>
          </w:p>
        </w:tc>
        <w:tc>
          <w:tcPr>
            <w:tcW w:w="3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75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18.9</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20.6</w:t>
            </w:r>
          </w:p>
        </w:tc>
        <w:tc>
          <w:tcPr>
            <w:tcW w:w="391"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i/>
          <w:sz w:val="20"/>
        </w:rPr>
        <w:t>Marine Components</w:t>
      </w:r>
      <w:r>
        <w:rPr>
          <w:rFonts w:ascii="Times New Roman;Times;serif" w:hAnsi="Times New Roman;Times;serif"/>
          <w:sz w:val="20"/>
        </w:rPr>
        <w:t xml:space="preserve">. Marine Components net sales decreased 38% in the third quarter of 2023 compared to the same period in 2022. Relative to prior year, third quarter sales were $4.8 million lower to the towboat market and $.5 million lower to the engine builder market, partially offset by $.4 million higher sales to the center console boat market. Marine Components net sales decreased 15% in the first nine months of 2023 compared to the same period in 2022. Relative to prior year, sales for the first nine months were $7.7 million lower to the towboat market and $.8 million lower to the engine builder market, partially offset by $1.4 million higher sales to the industrial market, $.6 million higher sales to marine dealers and distributors and $.4 million higher sales to the center console boat market.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Gross margin as a percentage of sales increased in the third quarter and for the first nine months of 2023 compared to the same period in 2022 primarily due to lower raw material costs (primarily stainless steel and aluminum), lower shipping rates and lower labor costs from reduced employee overtime due to lower sales, partially offset by decreased coverage of fixed costs as a result of lower sales. Higher gross margin in the first quarter of 2023 also favorably impacted the nine-month comparative period. Operating income as a percentage of net sales in the third quarter of 2023 was comparable to the same period in 2022. Operating income as a percentage of net sales increased in the first nine months of 2023 compared to the same period in 2022 due to the factors impacting gross margin as well as reduced operating costs and expenses, including lower employee related administrative expenses of $.2 million.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i/>
          <w:sz w:val="20"/>
        </w:rPr>
        <w:t>Outlook.</w:t>
      </w:r>
      <w:r>
        <w:rPr>
          <w:rFonts w:ascii="Times New Roman;Times;serif" w:hAnsi="Times New Roman;Times;serif"/>
          <w:sz w:val="20"/>
        </w:rPr>
        <w:t xml:space="preserve"> During the third quarter, we benefited from increased sales to a customer in the government security market while demand in many of the other markets Security Products serves remained sluggish. At Marine Components, softening demand experienced in the first half of the year continued in the third quarter, primarily due to continued weakness in the towboat market. Labor markets have largely become favorable in each of the regions we operate, and material prices have either stabilized or, in the case of certain commodity raw materials, started to decline slightly. Our supply chains are stable and transportation and logistical delays are minimal, and the long lead times related to certain electronic and specialty components we previously experienced have begun to ease. We have adjusted our labor force and production rates at our facilities to reflect the stability of our raw material supplies and near-term demand levels. </w:t>
      </w:r>
    </w:p>
    <w:p>
      <w:pPr>
        <w:pStyle w:val="TextBody"/>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 xml:space="preserve">We expect Security Products will continue to benefit from increased sales to the government security market for the remainder of the year. We are in close contact with our key customers and believe reduced order rates will continue through the end of the year in many of the other Security Products markets. Overall, we expect the improved gross margins experienced by Security Products during the third quarter will continue in the fourth quarter as raw material costs have stabilized and higher cost inventory has worked its way through cost of sales. We expect Marine Components net sales for the remainder of the year will continue to be challenged compared to 2022, particularly in the towboat market, as marine demand faces strong headwinds due to higher interest rates and broader market weakness. Several original equipment boat manufacturers, including certain of our customers, have publicly announced reductions to production schedules for the remainder of 2023. We have been able to somewhat offset the towboat market sales declines with increased sales to industrial customers, but we do not expect increases in sales to the industrial market will fully offset weakened towboat demand. Overall, we expect Marine Components gross margin as a percentage of net sales for the full year of 2023 to be slightly favorable to 2022 primarily as a result of lower raw material costs. Despite increased sales to the government security market and higher gross margin percentage at both segments, due to broader market reduced demand, we expect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- 14 -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report slightly lower consolidated sales and operating income in 2023 compared to 2022. On the strength of higher interest income, we expect net income for the full year 2023 to be comparable to prior year. We are focused on managing inventory levels to align with anticipated near-term demand. With raw materials and other components more readily available, we believe we will be able to achieve additional operating efficiencies during the remainder of the year although the extent and impact of such efficiencies is not yet known.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Our expectations for our operations and the markets we serve are based on a number of factors outside our control. As noted above, we have experienced  some global and domestic supply chain challenges and any future impacts on our operations will depend on, among other things, any future disruption in our operations or our suppliers’ operations, the impact of economic conditions and geopolitical events on demand for our products or our customers’ and suppliers’ operations, all of which remain uncertain and cannot be predicted.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b/>
          <w:i/>
          <w:sz w:val="20"/>
        </w:rPr>
        <w:t>Consolidated cash flows</w:t>
      </w:r>
      <w:r>
        <w:rPr>
          <w:rFonts w:ascii="Times New Roman;Times;serif" w:hAnsi="Times New Roman;Times;serif"/>
          <w:sz w:val="20"/>
        </w:rPr>
        <w:t> –</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i/>
          <w:sz w:val="20"/>
        </w:rPr>
        <w:t>Operating activities</w:t>
      </w:r>
      <w:r>
        <w:rPr>
          <w:rFonts w:ascii="Times New Roman;Times;serif" w:hAnsi="Times New Roman;Times;serif"/>
          <w:sz w:val="20"/>
        </w:rPr>
        <w:t>. Trends in cash flows from operating activities, excluding changes in assets and liabilities, have generally been similar to the 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pStyle w:val="TextBody"/>
        <w:bidi w:val="0"/>
        <w:spacing w:before="0" w:after="120"/>
        <w:ind w:left="0" w:right="0" w:firstLine="720"/>
        <w:jc w:val="both"/>
        <w:rPr>
          <w:rFonts w:ascii="Times New Roman;Times;serif" w:hAnsi="Times New Roman;Times;serif"/>
          <w:sz w:val="20"/>
        </w:rPr>
      </w:pPr>
      <w:r>
        <w:rPr>
          <w:rFonts w:ascii="Times New Roman;Times;serif" w:hAnsi="Times New Roman;Times;serif"/>
          <w:sz w:val="20"/>
        </w:rPr>
        <w:t>Our net cash provided by operating activities for the first nine months of 2023 increased by $3.6 million as compared to the first nine months of 2022.  The increase in net cash provided is primarily due to the net effects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$4.3 million decrease in the amount of net cash used by relative changes in our inventories, receivables, prepaids, payables and non-tax related accruals in 2023,</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$2.0 million decrease in operating income in 2023,</w:t>
            </w:r>
          </w:p>
        </w:tc>
      </w:tr>
    </w:tbl>
    <w:tbl>
      <w:tblPr>
        <w:tblW w:w="9876" w:type="dxa"/>
        <w:jc w:val="left"/>
        <w:tblInd w:w="0" w:type="dxa"/>
        <w:tblLayout w:type="fixed"/>
        <w:tblCellMar>
          <w:top w:w="28" w:type="dxa"/>
          <w:left w:w="28" w:type="dxa"/>
          <w:bottom w:w="28" w:type="dxa"/>
          <w:right w:w="28" w:type="dxa"/>
        </w:tblCellMar>
      </w:tblPr>
      <w:tblGrid>
        <w:gridCol w:w="124"/>
        <w:gridCol w:w="256"/>
        <w:gridCol w:w="9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$.8 million decrease in cash paid for taxes in 2023 due to lower earnings and the relative timing of payments,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 million increase in interest received in 2023 due to higher interest rates and increased investment balances, partially offset by lower average balances on our loan to an affiliate.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working capital can have a significant effect on cash flows from operating activities. As shown below, the change in our average days sales outstanding from December 31, 2022 to September 30, 2023 varied by segment primarily as a result of relative changes in the timing of sales and collections relative to the end of the quarter. For comparative purposes, we have provided December 31, 2021 and September 30, 2022 numbers below.</w:t>
      </w:r>
    </w:p>
    <w:tbl>
      <w:tblPr>
        <w:tblW w:w="8824" w:type="dxa"/>
        <w:jc w:val="left"/>
        <w:tblInd w:w="0" w:type="dxa"/>
        <w:tblLayout w:type="fixed"/>
        <w:tblCellMar>
          <w:top w:w="0" w:type="dxa"/>
          <w:left w:w="0" w:type="dxa"/>
          <w:bottom w:w="0" w:type="dxa"/>
          <w:right w:w="0" w:type="dxa"/>
        </w:tblCellMar>
      </w:tblPr>
      <w:tblGrid>
        <w:gridCol w:w="2161"/>
        <w:gridCol w:w="326"/>
        <w:gridCol w:w="1306"/>
        <w:gridCol w:w="326"/>
        <w:gridCol w:w="1351"/>
        <w:gridCol w:w="326"/>
        <w:gridCol w:w="1306"/>
        <w:gridCol w:w="326"/>
        <w:gridCol w:w="1396"/>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72235" cy="175260"/>
                      <wp:effectExtent l="0" t="0" r="0" b="0"/>
                      <wp:wrapNone/>
                      <wp:docPr id="199" name="Frame199"/>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829310" cy="175260"/>
                      <wp:effectExtent l="0" t="0" r="0" b="0"/>
                      <wp:wrapNone/>
                      <wp:docPr id="201" name="Frame201"/>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857885" cy="175260"/>
                      <wp:effectExtent l="0" t="0" r="0" b="0"/>
                      <wp:wrapNone/>
                      <wp:docPr id="203" name="Frame20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829310" cy="175260"/>
                      <wp:effectExtent l="0" t="0" r="0" b="0"/>
                      <wp:wrapNone/>
                      <wp:docPr id="205" name="Frame205"/>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886460" cy="175260"/>
                      <wp:effectExtent l="0" t="0" r="0" b="0"/>
                      <wp:wrapNone/>
                      <wp:docPr id="207" name="Frame207"/>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39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r>
      <w:tr>
        <w:trPr/>
        <w:tc>
          <w:tcPr>
            <w:tcW w:w="21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Sales Outstanding:</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center"/>
              <w:rPr/>
            </w:pPr>
            <w:r>
              <w:rPr/>
              <w:t>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3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 Days</w:t>
            </w:r>
          </w:p>
        </w:tc>
        <w:tc>
          <w:tcPr>
            <w:tcW w:w="326"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48 Days</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 Days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32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 Days</w:t>
            </w:r>
          </w:p>
        </w:tc>
        <w:tc>
          <w:tcPr>
            <w:tcW w:w="326" w:type="dxa"/>
            <w:tcBorders/>
            <w:vAlign w:val="center"/>
          </w:tcPr>
          <w:p>
            <w:pPr>
              <w:pStyle w:val="TableContents"/>
              <w:bidi w:val="0"/>
              <w:spacing w:before="0" w:after="1"/>
              <w:ind w:left="0" w:right="0" w:hanging="0"/>
              <w:jc w:val="left"/>
              <w:rPr/>
            </w:pPr>
            <w:r>
              <w:rPr/>
              <w:t> </w:t>
            </w:r>
          </w:p>
        </w:tc>
        <w:tc>
          <w:tcPr>
            <w:tcW w:w="139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 Days</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 Days</w:t>
            </w:r>
          </w:p>
        </w:tc>
        <w:tc>
          <w:tcPr>
            <w:tcW w:w="326" w:type="dxa"/>
            <w:tcBorders/>
            <w:shd w:fill="CCEEFF" w:val="clear"/>
            <w:vAlign w:val="center"/>
          </w:tcPr>
          <w:p>
            <w:pPr>
              <w:pStyle w:val="TableContents"/>
              <w:bidi w:val="0"/>
              <w:spacing w:before="0" w:after="1"/>
              <w:ind w:left="0" w:right="0" w:hanging="0"/>
              <w:jc w:val="left"/>
              <w:rPr/>
            </w:pPr>
            <w:r>
              <w:rPr/>
              <w:t> </w:t>
            </w:r>
          </w:p>
        </w:tc>
        <w:tc>
          <w:tcPr>
            <w:tcW w:w="139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 Days</w:t>
            </w:r>
          </w:p>
        </w:tc>
      </w:tr>
    </w:tbl>
    <w:p>
      <w:pPr>
        <w:pStyle w:val="TextBody"/>
        <w:bidi w:val="0"/>
        <w:spacing w:before="120" w:after="240"/>
        <w:ind w:left="0" w:right="0" w:firstLine="720"/>
        <w:jc w:val="both"/>
        <w:rPr>
          <w:rFonts w:ascii="Times New Roman;Times;serif" w:hAnsi="Times New Roman;Times;serif"/>
          <w:sz w:val="20"/>
        </w:rPr>
      </w:pPr>
      <w:r>
        <w:rPr>
          <w:rFonts w:ascii="Times New Roman;Times;serif" w:hAnsi="Times New Roman;Times;serif"/>
          <w:sz w:val="20"/>
        </w:rPr>
        <w:t>Our average number of days in inventory increased from December 31, 2022 to September 30, 2023 primarily due to the increase at Marine Components due to lower sales and increased inventory balances as a result of prior orders of certain raw materials that had longer lead times that were delivered during the second and third quarters of 2023. Days in inventory for Security Products increased slightly due to the planned inventory build during the second quarter at Security Products to fulfill a purchase order that began shipping during the third quarter and is expected to continue shipping through the end of the year. Absent this order, Security Products inventory balances would have declined at the end of the third quarter in line with current demand. For comparative purposes, we have provided December 31, 2021 and September 30, 2022 numbers below.</w:t>
      </w:r>
    </w:p>
    <w:tbl>
      <w:tblPr>
        <w:tblW w:w="8663" w:type="dxa"/>
        <w:jc w:val="left"/>
        <w:tblInd w:w="0" w:type="dxa"/>
        <w:tblLayout w:type="fixed"/>
        <w:tblCellMar>
          <w:top w:w="0" w:type="dxa"/>
          <w:left w:w="0" w:type="dxa"/>
          <w:bottom w:w="0" w:type="dxa"/>
          <w:right w:w="0" w:type="dxa"/>
        </w:tblCellMar>
      </w:tblPr>
      <w:tblGrid>
        <w:gridCol w:w="1891"/>
        <w:gridCol w:w="326"/>
        <w:gridCol w:w="1306"/>
        <w:gridCol w:w="326"/>
        <w:gridCol w:w="1351"/>
        <w:gridCol w:w="326"/>
        <w:gridCol w:w="1306"/>
        <w:gridCol w:w="326"/>
        <w:gridCol w:w="1351"/>
        <w:gridCol w:w="154"/>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00785" cy="175260"/>
                      <wp:effectExtent l="0" t="0" r="0" b="0"/>
                      <wp:wrapNone/>
                      <wp:docPr id="208" name="Frame208"/>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829310" cy="175260"/>
                      <wp:effectExtent l="0" t="0" r="0" b="0"/>
                      <wp:wrapNone/>
                      <wp:docPr id="210" name="Frame21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857885" cy="175260"/>
                      <wp:effectExtent l="0" t="0" r="0" b="0"/>
                      <wp:wrapNone/>
                      <wp:docPr id="212" name="Frame212"/>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829310" cy="175260"/>
                      <wp:effectExtent l="0" t="0" r="0" b="0"/>
                      <wp:wrapNone/>
                      <wp:docPr id="214" name="Frame214"/>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857885" cy="175260"/>
                      <wp:effectExtent l="0" t="0" r="0" b="0"/>
                      <wp:wrapNone/>
                      <wp:docPr id="216" name="Frame216"/>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97790" cy="175260"/>
                      <wp:effectExtent l="0" t="0" r="0" b="0"/>
                      <wp:wrapNone/>
                      <wp:docPr id="217" name="Frame21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326" w:type="dxa"/>
            <w:tcBorders/>
            <w:vAlign w:val="center"/>
          </w:tcPr>
          <w:p>
            <w:pPr>
              <w:pStyle w:val="TableContents"/>
              <w:bidi w:val="0"/>
              <w:spacing w:before="0" w:after="1"/>
              <w:ind w:left="0" w:right="0" w:hanging="0"/>
              <w:jc w:val="center"/>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26" w:type="dxa"/>
            <w:tcBorders/>
            <w:vAlign w:val="center"/>
          </w:tcPr>
          <w:p>
            <w:pPr>
              <w:pStyle w:val="TableContents"/>
              <w:bidi w:val="0"/>
              <w:spacing w:before="0" w:after="1"/>
              <w:ind w:left="0" w:right="0" w:hanging="0"/>
              <w:jc w:val="center"/>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September 30, </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Days in Inventory:</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326" w:type="dxa"/>
            <w:tcBorders/>
            <w:vAlign w:val="center"/>
          </w:tcPr>
          <w:p>
            <w:pPr>
              <w:pStyle w:val="TableContents"/>
              <w:bidi w:val="0"/>
              <w:spacing w:before="0" w:after="1"/>
              <w:ind w:left="0" w:right="0" w:hanging="0"/>
              <w:jc w:val="center"/>
              <w:rPr/>
            </w:pPr>
            <w:r>
              <w:rPr/>
              <w:t>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3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26" w:type="dxa"/>
            <w:tcBorders/>
            <w:vAlign w:val="center"/>
          </w:tcPr>
          <w:p>
            <w:pPr>
              <w:pStyle w:val="TableContents"/>
              <w:bidi w:val="0"/>
              <w:spacing w:before="0" w:after="1"/>
              <w:ind w:left="0" w:right="0" w:hanging="0"/>
              <w:jc w:val="center"/>
              <w:rPr/>
            </w:pPr>
            <w:r>
              <w:rPr/>
              <w:t>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54" w:type="dxa"/>
            <w:tcBorders/>
            <w:vAlign w:val="center"/>
          </w:tcPr>
          <w:p>
            <w:pPr>
              <w:pStyle w:val="TableContents"/>
              <w:bidi w:val="0"/>
              <w:spacing w:before="0" w:after="1"/>
              <w:ind w:left="0" w:right="0" w:hanging="0"/>
              <w:jc w:val="center"/>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Products</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103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101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103 Days</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8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 Components</w:t>
            </w:r>
          </w:p>
        </w:tc>
        <w:tc>
          <w:tcPr>
            <w:tcW w:w="326" w:type="dxa"/>
            <w:tcBorders/>
            <w:vAlign w:val="center"/>
          </w:tcPr>
          <w:p>
            <w:pPr>
              <w:pStyle w:val="TableContents"/>
              <w:bidi w:val="0"/>
              <w:spacing w:before="0" w:after="1"/>
              <w:ind w:left="0" w:right="0" w:hanging="0"/>
              <w:jc w:val="left"/>
              <w:rPr/>
            </w:pPr>
            <w:r>
              <w:rPr/>
              <w:t> </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97 Days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89 Days</w:t>
            </w:r>
          </w:p>
        </w:tc>
        <w:tc>
          <w:tcPr>
            <w:tcW w:w="326" w:type="dxa"/>
            <w:tcBorders/>
            <w:vAlign w:val="center"/>
          </w:tcPr>
          <w:p>
            <w:pPr>
              <w:pStyle w:val="TableContents"/>
              <w:bidi w:val="0"/>
              <w:spacing w:before="0" w:after="1"/>
              <w:ind w:left="0" w:right="0" w:hanging="0"/>
              <w:jc w:val="left"/>
              <w:rPr/>
            </w:pPr>
            <w:r>
              <w:rPr/>
              <w:t>​</w:t>
            </w:r>
          </w:p>
        </w:tc>
        <w:tc>
          <w:tcPr>
            <w:tcW w:w="130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 Days</w:t>
            </w:r>
          </w:p>
        </w:tc>
        <w:tc>
          <w:tcPr>
            <w:tcW w:w="32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144 Days</w:t>
            </w:r>
          </w:p>
        </w:tc>
        <w:tc>
          <w:tcPr>
            <w:tcW w:w="154" w:type="dxa"/>
            <w:tcBorders/>
            <w:vAlign w:val="center"/>
          </w:tcPr>
          <w:p>
            <w:pPr>
              <w:pStyle w:val="TableContents"/>
              <w:bidi w:val="0"/>
              <w:spacing w:before="0" w:after="1"/>
              <w:ind w:left="0" w:right="0" w:hanging="0"/>
              <w:jc w:val="left"/>
              <w:rPr/>
            </w:pPr>
            <w:r>
              <w:rPr/>
              <w:t>​</w:t>
            </w:r>
          </w:p>
        </w:tc>
      </w:tr>
      <w:tr>
        <w:trPr/>
        <w:tc>
          <w:tcPr>
            <w:tcW w:w="18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Consolidated CompX</w:t>
            </w:r>
          </w:p>
        </w:tc>
        <w:tc>
          <w:tcPr>
            <w:tcW w:w="326" w:type="dxa"/>
            <w:tcBorders/>
            <w:shd w:fill="CCEEFF" w:val="clear"/>
            <w:vAlign w:val="center"/>
          </w:tcPr>
          <w:p>
            <w:pPr>
              <w:pStyle w:val="TableContents"/>
              <w:bidi w:val="0"/>
              <w:spacing w:before="0" w:after="1"/>
              <w:ind w:left="0" w:right="0" w:hanging="0"/>
              <w:jc w:val="left"/>
              <w:rPr/>
            </w:pPr>
            <w:r>
              <w:rPr/>
              <w:t> </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96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 Days</w:t>
            </w:r>
          </w:p>
        </w:tc>
        <w:tc>
          <w:tcPr>
            <w:tcW w:w="326" w:type="dxa"/>
            <w:tcBorders/>
            <w:shd w:fill="CCEEFF" w:val="clear"/>
            <w:vAlign w:val="center"/>
          </w:tcPr>
          <w:p>
            <w:pPr>
              <w:pStyle w:val="TableContents"/>
              <w:bidi w:val="0"/>
              <w:spacing w:before="0" w:after="1"/>
              <w:ind w:left="0" w:right="0" w:hanging="0"/>
              <w:jc w:val="left"/>
              <w:rPr/>
            </w:pPr>
            <w:r>
              <w:rPr/>
              <w:t>​</w:t>
            </w:r>
          </w:p>
        </w:tc>
        <w:tc>
          <w:tcPr>
            <w:tcW w:w="130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99 Days</w:t>
            </w:r>
          </w:p>
        </w:tc>
        <w:tc>
          <w:tcPr>
            <w:tcW w:w="32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112 Days</w:t>
            </w:r>
          </w:p>
        </w:tc>
        <w:tc>
          <w:tcPr>
            <w:tcW w:w="154"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- 15 -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Investing activities. </w:t>
      </w:r>
      <w:r>
        <w:rPr>
          <w:rFonts w:ascii="Times New Roman;Times;serif" w:hAnsi="Times New Roman;Times;serif"/>
          <w:sz w:val="20"/>
        </w:rPr>
        <w:t>Our capital expenditures were $.6 million and $3.0 million in the first nine months of 2023 and 2022, respectively. During the first nine months of 2023, Valhi repaid a net $1.2 million under the promissory note ($20.7 million of gross borrowings and $21.9 million of gross repayments). During the first nine months of 2022, Valhi repaid a net $4.0 million under the promissory note ($17.1 million of gross borrowings and $21.1 million of gross repayments). See Note 10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first nine months of 2023, we had gross purchases of U.S. treasury marketable securities aggregating $36.3 million and received gross proceeds totaling $24.0 million related to U.S. treasury bill maturities. See Note 3 to our Condensed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Financing activities. </w:t>
      </w:r>
      <w:r>
        <w:rPr>
          <w:rFonts w:ascii="Times New Roman;Times;serif" w:hAnsi="Times New Roman;Times;serif"/>
          <w:sz w:val="20"/>
        </w:rPr>
        <w:t>During the first nine months of 2023 and 2022, we paid aggregate quarterly dividends to CompX stockholders of $.75 per share. Additionally, in August 2022 our board of directors declared a special dividend on our Class A common stock of $1.75 per share ($21.5 million). The declaration and payment of future dividends and the amount thereof, if any, is discretionary and is dependent upon our results of operations, financial condition, cash requirements for our businesses, contractual requirements and restrictions and other factors deemed relevant by our board of directors. The amount and timing of past dividends is not necessarily indicative of the amount or timing of any future dividends which we might pay.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second quarter of 2022, we acquired 78,900 shares of our Class A common stock (8,900 shares from affiliates and 70,000 shares in a single market transaction) for an aggregate purchase price of $1.7 million. See Note 8 to our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Future cash requirements</w:t>
      </w:r>
      <w:r>
        <w:rPr>
          <w:rFonts w:ascii="Times New Roman;Times;serif" w:hAnsi="Times New Roman;Times;serif"/>
          <w:sz w:val="20"/>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Liquidity</w:t>
      </w:r>
      <w:r>
        <w:rPr>
          <w:rFonts w:ascii="Times New Roman;Times;serif" w:hAnsi="Times New Roman;Times;serif"/>
          <w:sz w:val="20"/>
        </w:rPr>
        <w:t>. Our primary source of liquidity on an ongoing basis is our cash flow from operating activities, which is generally used to (i) fund capital 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10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$64.4 million aggregate cash, cash equivalents and marketable securities at September 30, 2023 were held in the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Capital expenditures.</w:t>
      </w:r>
      <w:r>
        <w:rPr>
          <w:rFonts w:ascii="Times New Roman;Times;serif" w:hAnsi="Times New Roman;Times;serif"/>
          <w:sz w:val="20"/>
        </w:rPr>
        <w:t xml:space="preserve"> Firm purchase commitments for capital projects in process at September 30, 2023 totaled $.2 million. We expect our capital expenditures for 2023 will be approximately $2.0 million primarily to meet our existing customer demand and those required to properly maintain our facilities and technology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Stock repurchase program. </w:t>
      </w:r>
      <w:r>
        <w:rPr>
          <w:rFonts w:ascii="Times New Roman;Times;serif" w:hAnsi="Times New Roman;Times;serif"/>
          <w:sz w:val="20"/>
        </w:rPr>
        <w:t>At September 30, 2023, we have 523,647 shares available for repurchase under a stock repurchase program authorized by our board of directors. See Note 8 to our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- 16 -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Commitments and contingencies. </w:t>
      </w:r>
      <w:r>
        <w:rPr>
          <w:rFonts w:ascii="Times New Roman;Times;serif" w:hAnsi="Times New Roman;Times;serif"/>
          <w:sz w:val="20"/>
        </w:rPr>
        <w:t>There have been no material changes in our contractual obligations since we filed our 2022 Annual Report and we refer you to that report for a complete description of these commitments.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the first nine months of 2023 with respect to our critical accounting policies presented in Management’s Discussion and Analysis of Financial Condition and Results of Operations in our 2022 Annual Report.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832" w:name="ITEM3QUANTITATIVEANDQUALITATIVE_461712"/>
      <w:bookmarkStart w:id="833" w:name="_610b4536_9bd5_4860_b3ba_327bbfb073b6"/>
      <w:bookmarkEnd w:id="832"/>
      <w:bookmarkEnd w:id="833"/>
      <w:r>
        <w:rPr>
          <w:rFonts w:ascii="Times New Roman;Times;serif" w:hAnsi="Times New Roman;Times;serif"/>
          <w:b/>
          <w:i w:val="false"/>
          <w:caps w:val="false"/>
          <w:smallCaps w:val="false"/>
          <w:sz w:val="20"/>
        </w:rPr>
        <w:t>ITEM  3.</w:t>
      </w:r>
      <w:r>
        <w:rPr>
          <w:rFonts w:ascii="Times New Roman;Times;serif" w:hAnsi="Times New Roman;Times;serif"/>
          <w:b/>
          <w:sz w:val="20"/>
        </w:rPr>
        <w:t>QUANTITATIVE AND QUALITATIVE DISCLOSURES ABOUT MARKET RISK.</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are exposed to market risk from changes in interest rates and raw material prices. There have been no material changes in these market risks since we filed our 2022 Annual Report, and we refer you to Part I, Item 7A – “Quantitative and Qualitative Disclosure About Market Risk” in our 2022 Annual Report. See also Note 9 to the Condensed Consolidated Financial Statements.</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bookmarkStart w:id="834" w:name="ITEM4CONTROLSANDPROCEDURES_115866"/>
      <w:bookmarkStart w:id="835" w:name="_0f7c7b62_bff5_4ad7_a4dd_30a893628ff2"/>
      <w:bookmarkEnd w:id="834"/>
      <w:bookmarkEnd w:id="835"/>
      <w:r>
        <w:rPr>
          <w:rFonts w:ascii="Times New Roman;Times;serif" w:hAnsi="Times New Roman;Times;serif"/>
          <w:b/>
          <w:i w:val="false"/>
          <w:caps w:val="false"/>
          <w:smallCaps w:val="false"/>
          <w:sz w:val="20"/>
        </w:rPr>
        <w:t>ITEM  4.</w:t>
      </w:r>
      <w:r>
        <w:rPr>
          <w:rFonts w:ascii="Times New Roman;Times;serif" w:hAnsi="Times New Roman;Times;serif"/>
          <w:b/>
          <w:sz w:val="20"/>
        </w:rPr>
        <w:t>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Evaluation of Disclosure Controls and Procedures. </w:t>
      </w:r>
      <w:r>
        <w:rPr>
          <w:rFonts w:ascii="Times New Roman;Times;serif" w:hAnsi="Times New Roman;Times;serif"/>
          <w:sz w:val="20"/>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Amy A. Samford, our Executive Vice President and Chief Financial Officer, has evaluated the design and operating effectiveness of our disclosure controls and procedures as of September 30, 2023. Based upon their evaluation, these executive officers have concluded that our disclosure controls and procedures are effective as of the date of such evaluation.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Internal Control Over Financial Reporting</w:t>
      </w:r>
      <w:r>
        <w:rPr>
          <w:rFonts w:ascii="Times New Roman;Times;serif" w:hAnsi="Times New Roman;Times;serif"/>
          <w:sz w:val="20"/>
        </w:rPr>
        <w:t>. Our management is responsible for establishing and maintaining adequate internal control over 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Pertain to the maintenance of records that in reasonable detail accurately and fairly reflect the transactions and dispositions of our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reasonable assurance regarding prevention or timely detection of an unauthorized acquisition, use or disposition of our assets that could have a material effect on our Condensed Consolidated Financial Statements.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There have been no changes in our internal control over financial reporting during the quarter ended September 30,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- 17 -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36" w:name="PartIIOTHERINFORMATION_828529"/>
      <w:bookmarkStart w:id="837" w:name="_91173441_7099_4f85_ac52_588a31826fc7"/>
      <w:bookmarkEnd w:id="836"/>
      <w:bookmarkEnd w:id="837"/>
      <w:r>
        <w:rPr>
          <w:rFonts w:ascii="Times New Roman;Times;serif" w:hAnsi="Times New Roman;Times;serif"/>
          <w:b/>
          <w:sz w:val="20"/>
        </w:rPr>
        <w:t>Part II. OTHER INFORMATION</w:t>
      </w:r>
    </w:p>
    <w:p>
      <w:pPr>
        <w:pStyle w:val="TextBody"/>
        <w:pBdr/>
        <w:bidi w:val="0"/>
        <w:spacing w:before="0" w:after="240"/>
        <w:ind w:left="0" w:right="0" w:hanging="0"/>
        <w:jc w:val="left"/>
        <w:rPr>
          <w:rFonts w:ascii="Times New Roman;Times;serif" w:hAnsi="Times New Roman;Times;serif"/>
          <w:b/>
          <w:sz w:val="20"/>
        </w:rPr>
      </w:pPr>
      <w:bookmarkStart w:id="838" w:name="ITEM1ARiskFactors_841388"/>
      <w:bookmarkEnd w:id="838"/>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2022 Annual Report for a discussion of risk factors related to our businesses.</w:t>
      </w:r>
    </w:p>
    <w:p>
      <w:pPr>
        <w:pStyle w:val="TextBody"/>
        <w:pBdr/>
        <w:bidi w:val="0"/>
        <w:spacing w:before="0" w:after="240"/>
        <w:ind w:left="0" w:right="0" w:hanging="0"/>
        <w:jc w:val="left"/>
        <w:rPr>
          <w:rFonts w:ascii="Times New Roman;Times;serif" w:hAnsi="Times New Roman;Times;serif"/>
          <w:sz w:val="20"/>
        </w:rPr>
      </w:pPr>
      <w:bookmarkStart w:id="839" w:name="ITEM6Exhibits_812943"/>
      <w:bookmarkStart w:id="840" w:name="_b56683cf_27f5_43ae_bd7b_7563ffa04d5e"/>
      <w:bookmarkEnd w:id="839"/>
      <w:bookmarkEnd w:id="840"/>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tbl>
      <w:tblPr>
        <w:tblW w:w="10205" w:type="dxa"/>
        <w:jc w:val="left"/>
        <w:tblInd w:w="0" w:type="dxa"/>
        <w:tblLayout w:type="fixed"/>
        <w:tblCellMar>
          <w:top w:w="0" w:type="dxa"/>
          <w:left w:w="0" w:type="dxa"/>
          <w:bottom w:w="0" w:type="dxa"/>
          <w:right w:w="0" w:type="dxa"/>
        </w:tblCellMar>
      </w:tblPr>
      <w:tblGrid>
        <w:gridCol w:w="856"/>
        <w:gridCol w:w="326"/>
        <w:gridCol w:w="9023"/>
      </w:tblGrid>
      <w:tr>
        <w:trPr/>
        <w:tc>
          <w:tcPr>
            <w:tcW w:w="85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71780" cy="175260"/>
                      <wp:effectExtent l="0" t="0" r="0" b="0"/>
                      <wp:wrapNone/>
                      <wp:docPr id="218" name="Frame218"/>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3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03505" cy="175260"/>
                      <wp:effectExtent l="0" t="0" r="0" b="0"/>
                      <wp:wrapNone/>
                      <wp:docPr id="219" name="Frame219"/>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902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864485" cy="175260"/>
                      <wp:effectExtent l="0" t="0" r="0" b="0"/>
                      <wp:wrapNone/>
                      <wp:docPr id="220" name="Frame220"/>
                      <a:graphic xmlns:a="http://schemas.openxmlformats.org/drawingml/2006/main">
                        <a:graphicData uri="http://schemas.microsoft.com/office/word/2010/wordprocessingShape">
                          <wps:wsp>
                            <wps:cNvSpPr txBox="1"/>
                            <wps:spPr>
                              <a:xfrm>
                                <a:off x="0" y="0"/>
                                <a:ext cx="286448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856"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No.</w:t>
            </w:r>
          </w:p>
        </w:tc>
        <w:tc>
          <w:tcPr>
            <w:tcW w:w="326" w:type="dxa"/>
            <w:tcBorders>
              <w:bottom w:val="single" w:sz="2" w:space="0" w:color="000000"/>
            </w:tcBorders>
            <w:tcMar>
              <w:bottom w:w="28" w:type="dxa"/>
            </w:tcMar>
            <w:vAlign w:val="center"/>
          </w:tcPr>
          <w:p>
            <w:pPr>
              <w:pStyle w:val="TableHeading"/>
              <w:bidi w:val="0"/>
              <w:spacing w:before="0" w:after="0"/>
              <w:ind w:left="0" w:right="0" w:hanging="0"/>
              <w:jc w:val="left"/>
              <w:rPr/>
            </w:pPr>
            <w:r>
              <w:rPr/>
              <w:t>    </w:t>
            </w:r>
          </w:p>
        </w:tc>
        <w:tc>
          <w:tcPr>
            <w:tcW w:w="9023" w:type="dxa"/>
            <w:tcBorders>
              <w:bottom w:val="single" w:sz="2" w:space="0" w:color="000000"/>
            </w:tcBorders>
            <w:tcMar>
              <w:bottom w:w="28" w:type="dxa"/>
            </w:tcMar>
            <w:vAlign w:val="center"/>
          </w:tcPr>
          <w:p>
            <w:pPr>
              <w:pStyle w:val="TableHeading"/>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Exhibit Index</w:t>
            </w:r>
          </w:p>
        </w:tc>
      </w:tr>
      <w:tr>
        <w:trPr/>
        <w:tc>
          <w:tcPr>
            <w:tcW w:w="85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120"/>
              <w:ind w:left="0" w:right="0" w:hanging="0"/>
              <w:jc w:val="both"/>
              <w:rPr/>
            </w:pPr>
            <w:hyperlink r:id="rId2">
              <w:r>
                <w:rPr>
                  <w:rStyle w:val="InternetLink"/>
                  <w:rFonts w:ascii="Times New Roman;Times;serif" w:hAnsi="Times New Roman;Times;serif"/>
                  <w:b w:val="false"/>
                  <w:i w:val="false"/>
                  <w:caps w:val="false"/>
                  <w:smallCaps w:val="false"/>
                  <w:sz w:val="20"/>
                </w:rPr>
                <w:t>Amended and Restated Bylaws of CompX International Inc. (effective November 1, 2023) – incorporated by reference to Exhibit 3.1 of our Current Report on Form 8-K filed on November 1, 2023.</w:t>
              </w:r>
            </w:hyperlink>
          </w:p>
        </w:tc>
      </w:tr>
      <w:tr>
        <w:trPr/>
        <w:tc>
          <w:tcPr>
            <w:tcW w:w="8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120"/>
              <w:ind w:left="0" w:right="0" w:hanging="0"/>
              <w:jc w:val="both"/>
              <w:rPr/>
            </w:pPr>
            <w:hyperlink w:anchor="cix-20230930xex31d1.htm">
              <w:r>
                <w:rPr>
                  <w:rStyle w:val="InternetLink"/>
                  <w:rFonts w:ascii="Times New Roman;Times;serif" w:hAnsi="Times New Roman;Times;serif"/>
                  <w:b w:val="false"/>
                  <w:i w:val="false"/>
                  <w:caps w:val="false"/>
                  <w:smallCaps w:val="false"/>
                  <w:sz w:val="20"/>
                </w:rPr>
                <w:t>Certification</w:t>
              </w:r>
            </w:hyperlink>
          </w:p>
        </w:tc>
      </w:tr>
      <w:tr>
        <w:trPr/>
        <w:tc>
          <w:tcPr>
            <w:tcW w:w="85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120"/>
              <w:ind w:left="0" w:right="0" w:hanging="0"/>
              <w:jc w:val="both"/>
              <w:rPr/>
            </w:pPr>
            <w:hyperlink w:anchor="cix-20230930xex31d2.htm">
              <w:r>
                <w:rPr>
                  <w:rStyle w:val="InternetLink"/>
                  <w:rFonts w:ascii="Times New Roman;Times;serif" w:hAnsi="Times New Roman;Times;serif"/>
                  <w:b w:val="false"/>
                  <w:i w:val="false"/>
                  <w:caps w:val="false"/>
                  <w:smallCaps w:val="false"/>
                  <w:sz w:val="20"/>
                </w:rPr>
                <w:t>Certification</w:t>
              </w:r>
            </w:hyperlink>
          </w:p>
        </w:tc>
      </w:tr>
      <w:tr>
        <w:trPr/>
        <w:tc>
          <w:tcPr>
            <w:tcW w:w="85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120"/>
              <w:ind w:left="0" w:right="0" w:hanging="0"/>
              <w:jc w:val="both"/>
              <w:rPr/>
            </w:pPr>
            <w:hyperlink w:anchor="cix-20230930xex32d1.htm">
              <w:r>
                <w:rPr>
                  <w:rStyle w:val="InternetLink"/>
                  <w:rFonts w:ascii="Times New Roman;Times;serif" w:hAnsi="Times New Roman;Times;serif"/>
                  <w:b w:val="false"/>
                  <w:i w:val="false"/>
                  <w:caps w:val="false"/>
                  <w:smallCaps w:val="false"/>
                  <w:sz w:val="20"/>
                </w:rPr>
                <w:t>Certification</w:t>
              </w:r>
            </w:hyperlink>
          </w:p>
        </w:tc>
      </w:tr>
      <w:tr>
        <w:trPr/>
        <w:tc>
          <w:tcPr>
            <w:tcW w:w="85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5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Schema</w:t>
            </w:r>
          </w:p>
        </w:tc>
      </w:tr>
      <w:tr>
        <w:trPr/>
        <w:tc>
          <w:tcPr>
            <w:tcW w:w="85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w:t>
            </w:r>
          </w:p>
        </w:tc>
      </w:tr>
      <w:tr>
        <w:trPr/>
        <w:tc>
          <w:tcPr>
            <w:tcW w:w="85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w:t>
            </w:r>
          </w:p>
        </w:tc>
      </w:tr>
      <w:tr>
        <w:trPr/>
        <w:tc>
          <w:tcPr>
            <w:tcW w:w="85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w:t>
            </w:r>
          </w:p>
        </w:tc>
      </w:tr>
      <w:tr>
        <w:trPr/>
        <w:tc>
          <w:tcPr>
            <w:tcW w:w="856" w:type="dxa"/>
            <w:tcBorders/>
            <w:vAlign w:val="center"/>
          </w:tcPr>
          <w:p>
            <w:pPr>
              <w:pStyle w:val="TableContents"/>
              <w:bidi w:val="0"/>
              <w:spacing w:before="0" w:after="0"/>
              <w:ind w:left="0" w:right="0" w:hanging="0"/>
              <w:jc w:val="both"/>
              <w:rPr/>
            </w:pPr>
            <w:r>
              <w:rPr/>
              <w: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w:t>
            </w:r>
          </w:p>
        </w:tc>
      </w:tr>
      <w:tr>
        <w:trPr/>
        <w:tc>
          <w:tcPr>
            <w:tcW w:w="8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2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pPr>
      <w:bookmarkStart w:id="841" w:name="_dad2aaa7_0048_4b6c_b77e_fe6408b02184"/>
      <w:bookmarkEnd w:id="841"/>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- 18 -</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7319" w:type="dxa"/>
        <w:jc w:val="left"/>
        <w:tblInd w:w="0" w:type="dxa"/>
        <w:tblLayout w:type="fixed"/>
        <w:tblCellMar>
          <w:top w:w="0" w:type="dxa"/>
          <w:left w:w="0" w:type="dxa"/>
          <w:bottom w:w="0" w:type="dxa"/>
          <w:right w:w="0" w:type="dxa"/>
        </w:tblCellMar>
      </w:tblPr>
      <w:tblGrid>
        <w:gridCol w:w="2146"/>
        <w:gridCol w:w="326"/>
        <w:gridCol w:w="406"/>
        <w:gridCol w:w="444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62710" cy="175260"/>
                      <wp:effectExtent l="0" t="0" r="0" b="0"/>
                      <wp:wrapNone/>
                      <wp:docPr id="221" name="Frame221"/>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57810" cy="175260"/>
                      <wp:effectExtent l="0" t="0" r="0" b="0"/>
                      <wp:wrapNone/>
                      <wp:docPr id="222" name="Frame222"/>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820035" cy="175260"/>
                      <wp:effectExtent l="0" t="0" r="0" b="0"/>
                      <wp:wrapNone/>
                      <wp:docPr id="223" name="Frame223"/>
                      <a:graphic xmlns:a="http://schemas.openxmlformats.org/drawingml/2006/main">
                        <a:graphicData uri="http://schemas.microsoft.com/office/word/2010/wordprocessingShape">
                          <wps:wsp>
                            <wps:cNvSpPr txBox="1"/>
                            <wps:spPr>
                              <a:xfrm>
                                <a:off x="0" y="0"/>
                                <a:ext cx="2820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COMPX INTERNATIONAL INC.</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47" w:type="dxa"/>
            <w:gridSpan w:val="2"/>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 2023</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E. Ruf</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E. Ruf</w:t>
            </w:r>
          </w:p>
        </w:tc>
      </w:tr>
      <w:tr>
        <w:trPr/>
        <w:tc>
          <w:tcPr>
            <w:tcW w:w="2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Vice President and Controller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- 19 -</w:t>
      </w:r>
    </w:p>
    <w:p>
      <w:pPr>
        <w:pStyle w:val="TextBody"/>
        <w:bidi w:val="0"/>
        <w:spacing w:before="0" w:after="240"/>
        <w:ind w:left="0" w:right="0" w:hanging="0"/>
        <w:jc w:val="right"/>
        <w:rPr>
          <w:rFonts w:ascii="Times New Roman;Times;serif" w:hAnsi="Times New Roman;Times;serif"/>
          <w:b/>
          <w:sz w:val="20"/>
        </w:rPr>
      </w:pPr>
      <w:bookmarkStart w:id="842" w:name="cix-20230930xex31d1.htm"/>
      <w:bookmarkStart w:id="843" w:name="kscix20230930xex31d1"/>
      <w:bookmarkEnd w:id="842"/>
      <w:bookmarkEnd w:id="843"/>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Scott C. James,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November 1, 2023</w:t>
      </w:r>
    </w:p>
    <w:p>
      <w:pPr>
        <w:pStyle w:val="TextBody"/>
        <w:bidi w:val="0"/>
        <w:spacing w:before="0" w:after="0"/>
        <w:ind w:left="0" w:right="0" w:hanging="0"/>
        <w:jc w:val="left"/>
        <w:rPr/>
      </w:pPr>
      <w:r>
        <w:rPr/>
        <w:t>​</w:t>
      </w:r>
    </w:p>
    <w:tbl>
      <w:tblPr>
        <w:tblW w:w="3741" w:type="dxa"/>
        <w:jc w:val="center"/>
        <w:tblInd w:w="0" w:type="dxa"/>
        <w:tblLayout w:type="fixed"/>
        <w:tblCellMar>
          <w:top w:w="0" w:type="dxa"/>
          <w:left w:w="0" w:type="dxa"/>
          <w:bottom w:w="0" w:type="dxa"/>
          <w:right w:w="0" w:type="dxa"/>
        </w:tblCellMar>
      </w:tblPr>
      <w:tblGrid>
        <w:gridCol w:w="421"/>
        <w:gridCol w:w="3166"/>
        <w:gridCol w:w="154"/>
      </w:tblGrid>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44" w:name="cix-20230930xex31d2.htm"/>
      <w:bookmarkStart w:id="845" w:name="kscix20230930xex31d2"/>
      <w:bookmarkEnd w:id="844"/>
      <w:bookmarkEnd w:id="845"/>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Amy A. Samford, certify that:</w:t>
      </w:r>
    </w:p>
    <w:tbl>
      <w:tblPr>
        <w:tblW w:w="6685" w:type="dxa"/>
        <w:jc w:val="left"/>
        <w:tblInd w:w="0" w:type="dxa"/>
        <w:tblLayout w:type="fixed"/>
        <w:tblCellMar>
          <w:top w:w="0" w:type="dxa"/>
          <w:left w:w="0" w:type="dxa"/>
          <w:bottom w:w="0" w:type="dxa"/>
          <w:right w:w="0" w:type="dxa"/>
        </w:tblCellMar>
      </w:tblPr>
      <w:tblGrid>
        <w:gridCol w:w="185"/>
        <w:gridCol w:w="65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CompX International Inc.;</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 2023</w:t>
      </w:r>
    </w:p>
    <w:p>
      <w:pPr>
        <w:pStyle w:val="TextBody"/>
        <w:bidi w:val="0"/>
        <w:spacing w:before="0" w:after="0"/>
        <w:ind w:left="0" w:right="0" w:hanging="0"/>
        <w:jc w:val="left"/>
        <w:rPr/>
      </w:pPr>
      <w:r>
        <w:rPr/>
        <w:t>​</w:t>
      </w:r>
    </w:p>
    <w:tbl>
      <w:tblPr>
        <w:tblW w:w="4971" w:type="dxa"/>
        <w:jc w:val="center"/>
        <w:tblInd w:w="0" w:type="dxa"/>
        <w:tblLayout w:type="fixed"/>
        <w:tblCellMar>
          <w:top w:w="0" w:type="dxa"/>
          <w:left w:w="0" w:type="dxa"/>
          <w:bottom w:w="0" w:type="dxa"/>
          <w:right w:w="0" w:type="dxa"/>
        </w:tblCellMar>
      </w:tblPr>
      <w:tblGrid>
        <w:gridCol w:w="421"/>
        <w:gridCol w:w="439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67335" cy="175260"/>
                      <wp:effectExtent l="0" t="0" r="0" b="0"/>
                      <wp:wrapNone/>
                      <wp:docPr id="224" name="Frame22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791460" cy="175260"/>
                      <wp:effectExtent l="0" t="0" r="0" b="0"/>
                      <wp:wrapNone/>
                      <wp:docPr id="225" name="Frame225"/>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pPr>
            <w:r>
              <w:rPr/>
              <w:t>​</w:t>
            </w:r>
          </w:p>
        </w:tc>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846" w:name="cix-20230930xex32d1.htm"/>
      <w:bookmarkStart w:id="847" w:name="kscix20230930xex32d1"/>
      <w:bookmarkEnd w:id="846"/>
      <w:bookmarkEnd w:id="84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CompX International Inc. (the Company) on Form 10-Q for the period ending September 30, 2023, as filed with the Securities and Exchange Commission on the date hereof (the Report), I, Scott C. James, President and Chief Executive Officer of the Company and I, Amy A. Samford, Executive Vice President and Chief Financial Officer of the Company, certify, pursuant to 18 U.S.C. §1350, as adopted pursuant to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5"/>
        <w:gridCol w:w="9947"/>
      </w:tblGrid>
      <w:tr>
        <w:trPr/>
        <w:tc>
          <w:tcPr>
            <w:tcW w:w="2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pPr>
      <w:r>
        <w:rPr/>
        <w:t>​</w:t>
      </w:r>
    </w:p>
    <w:tbl>
      <w:tblPr>
        <w:tblW w:w="5016" w:type="dxa"/>
        <w:jc w:val="center"/>
        <w:tblInd w:w="0" w:type="dxa"/>
        <w:tblLayout w:type="fixed"/>
        <w:tblCellMar>
          <w:top w:w="0" w:type="dxa"/>
          <w:left w:w="0" w:type="dxa"/>
          <w:bottom w:w="0" w:type="dxa"/>
          <w:right w:w="0" w:type="dxa"/>
        </w:tblCellMar>
      </w:tblPr>
      <w:tblGrid>
        <w:gridCol w:w="421"/>
        <w:gridCol w:w="4441"/>
        <w:gridCol w:w="154"/>
      </w:tblGrid>
      <w:tr>
        <w:trPr/>
        <w:tc>
          <w:tcPr>
            <w:tcW w:w="421"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Scott C. James</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both"/>
              <w:rPr/>
            </w:pPr>
            <w:r>
              <w:rPr/>
              <w:t>​</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Amy A. Samford</w:t>
            </w:r>
          </w:p>
        </w:tc>
        <w:tc>
          <w:tcPr>
            <w:tcW w:w="154" w:type="dxa"/>
            <w:tcBorders/>
            <w:vAlign w:val="center"/>
          </w:tcPr>
          <w:p>
            <w:pPr>
              <w:pStyle w:val="TableContents"/>
              <w:bidi w:val="0"/>
              <w:spacing w:before="0" w:after="0"/>
              <w:ind w:left="0" w:right="0" w:hanging="0"/>
              <w:jc w:val="both"/>
              <w:rPr/>
            </w:pPr>
            <w:r>
              <w:rPr/>
              <w:t>​</w:t>
            </w:r>
          </w:p>
        </w:tc>
      </w:tr>
      <w:tr>
        <w:trPr/>
        <w:tc>
          <w:tcPr>
            <w:tcW w:w="421" w:type="dxa"/>
            <w:tcBorders/>
            <w:vAlign w:val="center"/>
          </w:tcPr>
          <w:p>
            <w:pPr>
              <w:pStyle w:val="TableContents"/>
              <w:bidi w:val="0"/>
              <w:spacing w:before="0" w:after="0"/>
              <w:ind w:left="0" w:right="0" w:hanging="0"/>
              <w:jc w:val="both"/>
              <w:rPr/>
            </w:pPr>
            <w:r>
              <w:rPr/>
              <w:t>​</w:t>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Executive Vice President and Chief Financial Officer </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Date: November 1, 2023</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9606/000104960623000027/cix-20231101xex3d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9149</Words>
  <Characters>49572</Characters>
  <CharactersWithSpaces>59948</CharactersWithSpaces>
  <Paragraphs>3673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