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50805x8k.htm"/>
      <w:bookmarkStart w:id="1" w:name="kscix20250805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f048409_c7a2_43bc_b088_0ca65384c5c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August 5, 2025</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rvvUFNcrbU-NWMb70SAAOg_5_2"/>
      <w:bookmarkStart w:id="4" w:name="Tc_KvCwvVa76k29rfdN9S82pA_5_0"/>
      <w:bookmarkStart w:id="5" w:name="Tc_77mOqFYWok6n6OKfLz_7vg_4_0"/>
      <w:bookmarkStart w:id="6" w:name="Tc_EUcYCx3tikW-RSmoECucsg_1_2"/>
      <w:bookmarkStart w:id="7" w:name="Tc_VqtSBUkz2k-H8MoDQzJYDA_1_1"/>
      <w:bookmarkStart w:id="8" w:name="Tc_BZQyvEnvhEO-pgoMFyPHwg_1_0"/>
      <w:bookmarkStart w:id="9" w:name="_b4f68095_e54f_4e44_947a_47c1ed4f140d"/>
      <w:bookmarkStart w:id="10" w:name="Tc_rvvUFNcrbU-NWMb70SAAOg_5_2"/>
      <w:bookmarkStart w:id="11" w:name="Tc_KvCwvVa76k29rfdN9S82pA_5_0"/>
      <w:bookmarkStart w:id="12" w:name="Tc_77mOqFYWok6n6OKfLz_7vg_4_0"/>
      <w:bookmarkStart w:id="13" w:name="Tc_EUcYCx3tikW-RSmoECucsg_1_2"/>
      <w:bookmarkStart w:id="14" w:name="Tc_VqtSBUkz2k-H8MoDQzJYDA_1_1"/>
      <w:bookmarkStart w:id="15" w:name="Tc_BZQyvEnvhEO-pgoMFyPHwg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N_-1f78fEUWBGyF3R-m3Yw_6_1"/>
      <w:bookmarkStart w:id="18" w:name="Tc_uNctrgVQj0Sn1ba_k_6gQw_4_1"/>
      <w:bookmarkStart w:id="19" w:name="Tc_ndl6i_MSTkijX53zPReydQ_2_1"/>
      <w:bookmarkStart w:id="20" w:name="Tc_IVxu9kQrdk2UdkyAOnjnlA_0_1"/>
      <w:bookmarkStart w:id="21" w:name="_03f466d9_c487_4fb9_bacb_2fc3efc44005"/>
      <w:bookmarkStart w:id="22" w:name="Tc_N_-1f78fEUWBGyF3R-m3Yw_6_1"/>
      <w:bookmarkStart w:id="23" w:name="Tc_uNctrgVQj0Sn1ba_k_6gQw_4_1"/>
      <w:bookmarkStart w:id="24" w:name="Tc_ndl6i_MSTkijX53zPReydQ_2_1"/>
      <w:bookmarkStart w:id="25" w:name="Tc_IVxu9kQrdk2UdkyAOnjnl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0" w:right="0" w:hanging="0"/>
        <w:jc w:val="left"/>
        <w:rPr>
          <w:sz w:val="4"/>
          <w:szCs w:val="4"/>
        </w:rPr>
      </w:pPr>
      <w:r>
        <w:rPr>
          <w:sz w:val="4"/>
          <w:szCs w:val="4"/>
        </w:rPr>
      </w:r>
      <w:bookmarkStart w:id="27" w:name="_6f88fe58_dda1_4d7e_a69f_81bb7d46e401"/>
      <w:bookmarkStart w:id="28" w:name="_6f88fe58_dda1_4d7e_a69f_81bb7d46e401"/>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Second Quarter 2025 Results” that the registrant issued on August 5, 2025,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29" w:name="_8929e400_f9a8_4ad7_9295_ae5147a79a7d"/>
      <w:bookmarkStart w:id="30" w:name="_8929e400_f9a8_4ad7_9295_ae5147a79a7d"/>
      <w:bookmarkEnd w:id="3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Announces a Special Dividend of $1.00 Per Share Payable in August 2025, and 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August 5, 2025,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0"/>
        <w:ind w:left="0" w:right="0" w:firstLine="720"/>
        <w:jc w:val="both"/>
        <w:rPr>
          <w:spacing w:val="-3"/>
        </w:rPr>
      </w:pPr>
      <w:r>
        <w:rPr>
          <w:spacing w:val="-3"/>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1" w:name="_a705adfb_b363_4369_93d4_e25a5400c1a2"/>
      <w:bookmarkStart w:id="32" w:name="_a705adfb_b363_4369_93d4_e25a5400c1a2"/>
      <w:bookmarkEnd w:id="3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14"/>
        <w:gridCol w:w="793"/>
        <w:gridCol w:w="109"/>
        <w:gridCol w:w="8989"/>
      </w:tblGrid>
      <w:tr>
        <w:trPr/>
        <w:tc>
          <w:tcPr>
            <w:tcW w:w="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89" w:type="dxa"/>
            <w:tcBorders/>
            <w:vAlign w:val="center"/>
          </w:tcPr>
          <w:p>
            <w:pPr>
              <w:pStyle w:val="TableContents"/>
              <w:bidi w:val="0"/>
              <w:spacing w:before="0" w:after="0"/>
              <w:ind w:left="0" w:right="0" w:hanging="0"/>
              <w:jc w:val="left"/>
              <w:rPr/>
            </w:pPr>
            <w:r>
              <w:rPr/>
              <w:t>​</w:t>
            </w:r>
          </w:p>
        </w:tc>
      </w:tr>
      <w:tr>
        <w:trPr/>
        <w:tc>
          <w:tcPr>
            <w:tcW w:w="314"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center"/>
              <w:rPr>
                <w:spacing w:val="-3"/>
              </w:rPr>
            </w:pPr>
            <w:r>
              <w:rPr>
                <w:spacing w:val="-3"/>
              </w:rPr>
              <w:t>​</w:t>
            </w:r>
          </w:p>
        </w:tc>
        <w:tc>
          <w:tcPr>
            <w:tcW w:w="793"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both"/>
              <w:rPr/>
            </w:pPr>
            <w:hyperlink w:anchor="cix-20250805xex99d1.htm">
              <w:r>
                <w:rPr>
                  <w:rStyle w:val="InternetLink"/>
                  <w:rFonts w:ascii="Times New Roman;Times;serif" w:hAnsi="Times New Roman;Times;serif"/>
                  <w:b w:val="false"/>
                  <w:i w:val="false"/>
                  <w:caps w:val="false"/>
                  <w:smallCaps w:val="false"/>
                  <w:sz w:val="20"/>
                </w:rPr>
                <w:t xml:space="preserve">Press release dated August 5, 2025 </w:t>
              </w:r>
            </w:hyperlink>
            <w:hyperlink w:anchor="cix-20250805xex99d1.htm">
              <w:r>
                <w:rPr>
                  <w:rStyle w:val="InternetLink"/>
                  <w:rFonts w:ascii="Times New Roman;Times;serif" w:hAnsi="Times New Roman;Times;serif"/>
                  <w:b w:val="false"/>
                  <w:i w:val="false"/>
                  <w:caps w:val="false"/>
                  <w:smallCaps w:val="false"/>
                  <w:spacing w:val="-3"/>
                  <w:sz w:val="20"/>
                </w:rPr>
                <w:t xml:space="preserve">entitled “CompX Reports Second Quarter 2025 Results” and </w:t>
              </w:r>
            </w:hyperlink>
            <w:hyperlink w:anchor="cix-20250805xex99d1.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pPr>
            <w:hyperlink w:anchor="cix-20250805xex99d2.htm">
              <w:r>
                <w:rPr>
                  <w:rStyle w:val="InternetLink"/>
                  <w:rFonts w:ascii="Times New Roman;Times;serif" w:hAnsi="Times New Roman;Times;serif"/>
                  <w:b w:val="false"/>
                  <w:i w:val="false"/>
                  <w:caps w:val="false"/>
                  <w:smallCaps w:val="false"/>
                  <w:sz w:val="20"/>
                </w:rPr>
                <w:t xml:space="preserve">Press release dated August 5, 2025 </w:t>
              </w:r>
            </w:hyperlink>
            <w:hyperlink w:anchor="cix-20250805xex99d2.htm">
              <w:r>
                <w:rPr>
                  <w:rStyle w:val="InternetLink"/>
                  <w:rFonts w:ascii="Times New Roman;Times;serif" w:hAnsi="Times New Roman;Times;serif"/>
                  <w:b w:val="false"/>
                  <w:i w:val="false"/>
                  <w:caps w:val="false"/>
                  <w:smallCaps w:val="false"/>
                  <w:spacing w:val="-3"/>
                  <w:sz w:val="20"/>
                </w:rPr>
                <w:t>entitled “</w:t>
              </w:r>
            </w:hyperlink>
            <w:hyperlink w:anchor="cix-20250805xex99d2.htm">
              <w:r>
                <w:rPr>
                  <w:rStyle w:val="InternetLink"/>
                  <w:rFonts w:ascii="Times New Roman;Times;serif" w:hAnsi="Times New Roman;Times;serif"/>
                  <w:b w:val="false"/>
                  <w:i w:val="false"/>
                  <w:caps w:val="false"/>
                  <w:smallCaps w:val="false"/>
                  <w:sz w:val="20"/>
                </w:rPr>
                <w:t>CompX Announces a Special Dividend of $1.00 Per Share Payable in August 2025, and Declares Regular Quarterly Dividend</w:t>
              </w:r>
            </w:hyperlink>
            <w:hyperlink w:anchor="cix-20250805xex99d2.htm">
              <w:r>
                <w:rPr>
                  <w:rStyle w:val="InternetLink"/>
                  <w:rFonts w:ascii="Times New Roman;Times;serif" w:hAnsi="Times New Roman;Times;serif"/>
                  <w:caps w:val="false"/>
                  <w:smallCaps w:val="false"/>
                  <w:spacing w:val="-3"/>
                  <w:sz w:val="20"/>
                </w:rPr>
                <w:t xml:space="preserve">” </w:t>
              </w:r>
            </w:hyperlink>
            <w:hyperlink w:anchor="cix-20250805xex99d2.htm">
              <w:r>
                <w:rPr>
                  <w:rStyle w:val="InternetLink"/>
                  <w:rFonts w:ascii="Times New Roman;Times;serif" w:hAnsi="Times New Roman;Times;serif"/>
                  <w:b w:val="false"/>
                  <w:i w:val="false"/>
                  <w:caps w:val="false"/>
                  <w:smallCaps w:val="false"/>
                  <w:spacing w:val="-3"/>
                  <w:sz w:val="20"/>
                </w:rPr>
                <w:t xml:space="preserve">and </w:t>
              </w:r>
            </w:hyperlink>
            <w:hyperlink w:anchor="cix-20250805xex99d2.htm">
              <w:r>
                <w:rPr>
                  <w:rStyle w:val="InternetLink"/>
                  <w:rFonts w:ascii="Times New Roman;Times;serif" w:hAnsi="Times New Roman;Times;serif"/>
                  <w:b w:val="false"/>
                  <w:i w:val="false"/>
                  <w:caps w:val="false"/>
                  <w:smallCaps w:val="false"/>
                  <w:sz w:val="20"/>
                </w:rPr>
                <w:t>issued by the registrant.</w:t>
              </w:r>
            </w:hyperlink>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spacing w:val="-3"/>
              </w:rPr>
            </w:pPr>
            <w:r>
              <w:rPr>
                <w:spacing w:val="-3"/>
              </w:rPr>
              <w:t>​</w:t>
            </w:r>
          </w:p>
        </w:tc>
      </w:tr>
      <w:tr>
        <w:trPr/>
        <w:tc>
          <w:tcPr>
            <w:tcW w:w="314" w:type="dxa"/>
            <w:tcBorders/>
            <w:vAlign w:val="center"/>
          </w:tcPr>
          <w:p>
            <w:pPr>
              <w:pStyle w:val="TableContents"/>
              <w:bidi w:val="0"/>
              <w:spacing w:before="0" w:after="0"/>
              <w:ind w:left="0" w:right="0" w:hanging="0"/>
              <w:jc w:val="left"/>
              <w:rPr>
                <w:spacing w:val="-3"/>
              </w:rPr>
            </w:pPr>
            <w:r>
              <w:rPr>
                <w:spacing w:val="-3"/>
              </w:rPr>
              <w:t>​</w:t>
            </w:r>
          </w:p>
        </w:tc>
        <w:tc>
          <w:tcPr>
            <w:tcW w:w="79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3" w:name="_fb517d3f_d9bf_4535_87e1_b6dc54d728ec"/>
      <w:bookmarkEnd w:id="3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253" w:type="dxa"/>
        <w:jc w:val="left"/>
        <w:tblInd w:w="0" w:type="dxa"/>
        <w:tblLayout w:type="fixed"/>
        <w:tblCellMar>
          <w:top w:w="0" w:type="dxa"/>
          <w:left w:w="0" w:type="dxa"/>
          <w:bottom w:w="0" w:type="dxa"/>
          <w:right w:w="0" w:type="dxa"/>
        </w:tblCellMar>
      </w:tblPr>
      <w:tblGrid>
        <w:gridCol w:w="1846"/>
        <w:gridCol w:w="406"/>
        <w:gridCol w:w="300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 w:name="cix-20250805xex99d1.htm"/>
      <w:bookmarkStart w:id="35" w:name="kscix20250805xex99d1"/>
      <w:bookmarkStart w:id="36" w:name="cix-20250805xex99d1.htm"/>
      <w:bookmarkStart w:id="37" w:name="kscix20250805xex99d1"/>
      <w:bookmarkEnd w:id="36"/>
      <w:bookmarkEnd w:id="3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SECOND QUARTER 2025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August 5, 2025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$40.3 million for the second quarter of 2025 compared to $35.9 million in the same period of 2024. Operating income was $6.3 million in the second quarter of 2025 compared to $5.1 million in the same period of 2024. Net income was $5.5 million, or $.44 per basic and diluted common share, for the second quarter of 2025 compared to $4.9 million, or $.39 per basic and diluted common share, in the same period of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six months ended June 30, 2025, net sales were $80.6 million compared to $73.9 million in the previous year. Operating income was $12.2 million for the first six months of 2025 compared to $8.8 million for the same period in 2024. Net income for the six months ended June 30, 2025, was $10.6 million, or $.86 per basic and diluted common share, compared to $8.6 million, or $.70 per basic and diluted common share, for the same period in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Second quarter and year-to-date 2025 net sales increased over the comparable 2024 periods due to higher Security Products sales primarily to the government security market and higher Marine Components sales to the government and towboat markets. Operating income increased in the second quarter and for the first six months of 2025 compared to the same periods in 2024 due to higher sales and gross margin at each of the Security Products and Marine Components segments.</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570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Changes in our raw material and other operating costs (such as zinc, brass, aluminum, steel and energy costs), including as a result of additional or changed tariffs on imported raw </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Potential difficulties in integrating future acquisitions;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12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9701" w:type="dxa"/>
        <w:jc w:val="left"/>
        <w:tblInd w:w="0" w:type="dxa"/>
        <w:tblLayout w:type="fixed"/>
        <w:tblCellMar>
          <w:top w:w="0" w:type="dxa"/>
          <w:left w:w="0" w:type="dxa"/>
          <w:bottom w:w="0" w:type="dxa"/>
          <w:right w:w="0" w:type="dxa"/>
        </w:tblCellMar>
      </w:tblPr>
      <w:tblGrid>
        <w:gridCol w:w="5221"/>
        <w:gridCol w:w="272"/>
        <w:gridCol w:w="634"/>
        <w:gridCol w:w="392"/>
        <w:gridCol w:w="272"/>
        <w:gridCol w:w="634"/>
        <w:gridCol w:w="326"/>
        <w:gridCol w:w="226"/>
        <w:gridCol w:w="526"/>
        <w:gridCol w:w="326"/>
        <w:gridCol w:w="226"/>
        <w:gridCol w:w="64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720" cy="175260"/>
                      <wp:effectExtent l="0" t="0" r="0" b="0"/>
                      <wp:wrapNone/>
                      <wp:docPr id="3" name="Frame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2590" cy="175260"/>
                      <wp:effectExtent l="0" t="0" r="0" b="0"/>
                      <wp:wrapNone/>
                      <wp:docPr id="4" name="Frame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8920" cy="175260"/>
                      <wp:effectExtent l="0" t="0" r="0" b="0"/>
                      <wp:wrapNone/>
                      <wp:docPr id="5" name="Frame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2720" cy="175260"/>
                      <wp:effectExtent l="0" t="0" r="0" b="0"/>
                      <wp:wrapNone/>
                      <wp:docPr id="6"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2590" cy="175260"/>
                      <wp:effectExtent l="0" t="0" r="0" b="0"/>
                      <wp:wrapNone/>
                      <wp:docPr id="7" name="Frame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10" name="Frame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2"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10210" cy="175260"/>
                      <wp:effectExtent l="0" t="0" r="0" b="0"/>
                      <wp:wrapNone/>
                      <wp:docPr id="13" name="Frame1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26" w:type="dxa"/>
            <w:tcBorders/>
            <w:vAlign w:val="center"/>
          </w:tcPr>
          <w:p>
            <w:pPr>
              <w:pStyle w:val="TableContents"/>
              <w:bidi w:val="0"/>
              <w:spacing w:before="0" w:after="0"/>
              <w:ind w:left="0" w:right="0" w:hanging="0"/>
              <w:jc w:val="left"/>
              <w:rPr/>
            </w:pPr>
            <w:r>
              <w:rPr/>
              <w:t>    </w:t>
            </w:r>
          </w:p>
        </w:tc>
        <w:tc>
          <w:tcPr>
            <w:tcW w:w="195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Six months ended</w: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c>
          <w:tcPr>
            <w:tcW w:w="326" w:type="dxa"/>
            <w:tcBorders/>
            <w:vAlign w:val="center"/>
          </w:tcPr>
          <w:p>
            <w:pPr>
              <w:pStyle w:val="TableContents"/>
              <w:bidi w:val="0"/>
              <w:spacing w:before="0" w:after="0"/>
              <w:ind w:left="0" w:right="0" w:hanging="0"/>
              <w:jc w:val="left"/>
              <w:rPr/>
            </w:pPr>
            <w:r>
              <w:rPr/>
              <w:t>​</w:t>
            </w:r>
          </w:p>
        </w:tc>
        <w:tc>
          <w:tcPr>
            <w:tcW w:w="19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r>
      <w:tr>
        <w:trPr/>
        <w:tc>
          <w:tcPr>
            <w:tcW w:w="5221" w:type="dxa"/>
            <w:tcBorders/>
            <w:vAlign w:val="center"/>
          </w:tcPr>
          <w:p>
            <w:pPr>
              <w:pStyle w:val="TableContents"/>
              <w:bidi w:val="0"/>
              <w:spacing w:before="0" w:after="0"/>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92" w:type="dxa"/>
            <w:tcBorders/>
            <w:vAlign w:val="center"/>
          </w:tcPr>
          <w:p>
            <w:pPr>
              <w:pStyle w:val="TableContents"/>
              <w:bidi w:val="0"/>
              <w:spacing w:before="0" w:after="0"/>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r>
      <w:tr>
        <w:trPr/>
        <w:tc>
          <w:tcPr>
            <w:tcW w:w="970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4480" w:type="dxa"/>
            <w:gridSpan w:val="11"/>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35.9</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73.9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80.6</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24.8</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27.4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53.1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55.5</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11.1</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25.1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6.0</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12.9</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5.1</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1.7</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6.4</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4.9</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10.6</w:t>
            </w:r>
          </w:p>
        </w:tc>
      </w:tr>
      <w:tr>
        <w:trPr/>
        <w:tc>
          <w:tcPr>
            <w:tcW w:w="522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.86</w:t>
            </w:r>
          </w:p>
        </w:tc>
      </w:tr>
      <w:tr>
        <w:trPr/>
        <w:tc>
          <w:tcPr>
            <w:tcW w:w="5221" w:type="dxa"/>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bookmarkStart w:id="38" w:name="cix-20250805xex99d2.htm"/>
      <w:bookmarkStart w:id="39" w:name="kscix20250805xex99d2"/>
      <w:bookmarkEnd w:id="38"/>
      <w:bookmarkEnd w:id="3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ANNOUNCES A SPECIAL DIVIDEND OF $1.00 PER SHARE</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PAYABLE IN AUGUST 2025, AND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August 5, 2025 . . . CompX International Inc. (NYSE American:  CIX) announced today that its board of directors has declared a special cash dividend of one dollar ($1.00) per share and a regular quarterly dividend of thirty cents ($0.30) per share, in each case on its class A common stock. The special cash dividend is payable on August 27, 2025 to stockholders of record at the close of business on August 18, 2025.  The regular quarterly dividend of $0.30 per share is payable on September 16, 2025 to stockholders of record at the close of business on September 5,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committed to balancing investment in the growth of its business with stockholder distributions. CompX’s strategy focused on generating consistent healthy cash flow through all cycles along with its strong balance sheet and disciplined approach to capital investment has provided this opportunity to return additional cash to our stockholders in 2025 while maintaining financial strength and flexibility to continue to invest in our business over the long term.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1910</Words>
  <Characters>10342</Characters>
  <CharactersWithSpaces>12423</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