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No.16)</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CompX International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A 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20563P101</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2017</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20563P101</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LP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289,300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289,300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11.92%</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320"/>
        <w:spacing w:after="0"/>
        <w:rPr>
          <w:sz w:val="20"/>
          <w:szCs w:val="20"/>
          <w:color w:val="auto"/>
        </w:rPr>
      </w:pPr>
      <w:r>
        <w:rPr>
          <w:rFonts w:ascii="Courier New" w:cs="Courier New" w:eastAsia="Courier New" w:hAnsi="Courier New"/>
          <w:sz w:val="18"/>
          <w:szCs w:val="18"/>
          <w:color w:val="auto"/>
        </w:rPr>
        <w:t>IA</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20563P101</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CompX International Inc.</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Office of the Secretary</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20"/>
                <w:szCs w:val="20"/>
                <w:color w:val="auto"/>
              </w:rPr>
            </w:pPr>
            <w:r>
              <w:rPr>
                <w:rFonts w:ascii="Courier New" w:cs="Courier New" w:eastAsia="Courier New" w:hAnsi="Courier New"/>
                <w:sz w:val="18"/>
                <w:szCs w:val="18"/>
                <w:color w:val="auto"/>
              </w:rPr>
              <w:t>5430</w:t>
            </w:r>
          </w:p>
        </w:tc>
        <w:tc>
          <w:tcPr>
            <w:tcW w:w="7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LBJ Freeway</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Dallas, TX</w:t>
            </w: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75240</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2(a)</w:t>
            </w: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 Persons Filing:</w:t>
            </w:r>
          </w:p>
        </w:tc>
      </w:tr>
      <w:tr>
        <w:trPr>
          <w:trHeight w:val="203"/>
        </w:trPr>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Royce &amp; Associates, LP</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2(b)</w:t>
            </w: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203"/>
        </w:trPr>
        <w:tc>
          <w:tcPr>
            <w:tcW w:w="480" w:type="dxa"/>
            <w:vAlign w:val="bottom"/>
          </w:tcPr>
          <w:p>
            <w:pPr>
              <w:spacing w:after="0"/>
              <w:rPr>
                <w:sz w:val="17"/>
                <w:szCs w:val="17"/>
                <w:color w:val="auto"/>
              </w:rPr>
            </w:pPr>
          </w:p>
        </w:tc>
        <w:tc>
          <w:tcPr>
            <w:tcW w:w="7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2(c)</w:t>
            </w: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2(d)</w:t>
            </w: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Class A Common Stock</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2(e)</w:t>
            </w: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20563P101</w:t>
            </w:r>
          </w:p>
        </w:tc>
        <w:tc>
          <w:tcPr>
            <w:tcW w:w="6580" w:type="dxa"/>
            <w:vAlign w:val="bottom"/>
          </w:tcPr>
          <w:p>
            <w:pPr>
              <w:spacing w:after="0"/>
              <w:rPr>
                <w:sz w:val="17"/>
                <w:szCs w:val="17"/>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3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If this statement is filed pursuant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2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rules 13d-1(b), or 13d-</w:t>
            </w:r>
          </w:p>
        </w:tc>
      </w:tr>
      <w:tr>
        <w:trPr>
          <w:trHeight w:val="203"/>
        </w:trPr>
        <w:tc>
          <w:tcPr>
            <w:tcW w:w="900" w:type="dxa"/>
            <w:vAlign w:val="bottom"/>
          </w:tcPr>
          <w:p>
            <w:pPr>
              <w:spacing w:after="0"/>
              <w:rPr>
                <w:sz w:val="17"/>
                <w:szCs w:val="17"/>
                <w:color w:val="auto"/>
              </w:rPr>
            </w:pP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2(b), check whether</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the person filing</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is a:</w:t>
            </w:r>
          </w:p>
        </w:tc>
        <w:tc>
          <w:tcPr>
            <w:tcW w:w="1860" w:type="dxa"/>
            <w:vAlign w:val="bottom"/>
          </w:tcPr>
          <w:p>
            <w:pPr>
              <w:spacing w:after="0"/>
              <w:rPr>
                <w:sz w:val="17"/>
                <w:szCs w:val="17"/>
                <w:color w:val="auto"/>
              </w:rPr>
            </w:pP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w:t>
            </w:r>
          </w:p>
        </w:tc>
        <w:tc>
          <w:tcPr>
            <w:tcW w:w="40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9"/>
              </w:rPr>
              <w:t>[ ] Broker or Dealer registered under</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 of the Act</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Bank as defined</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in Section 3(a)(6)</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3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 Insurance Company as defined in</w:t>
            </w:r>
          </w:p>
        </w:tc>
        <w:tc>
          <w:tcPr>
            <w:tcW w:w="29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7"/>
              </w:rPr>
              <w:t>Section 3(a)(19) of the Act</w:t>
            </w:r>
          </w:p>
        </w:tc>
      </w:tr>
    </w:tbl>
    <w:p>
      <w:pPr>
        <w:sectPr>
          <w:pgSz w:w="11900" w:h="16855" w:orient="portrait"/>
          <w:cols w:equalWidth="0" w:num="1">
            <w:col w:w="10219"/>
          </w:cols>
          <w:pgMar w:left="240" w:top="244" w:right="1440" w:bottom="0" w:gutter="0" w:footer="0" w:header="0"/>
        </w:sectPr>
      </w:pPr>
    </w:p>
    <w:bookmarkStart w:id="1" w:name="page2"/>
    <w:bookmarkEnd w:id="1"/>
    <w:p>
      <w:pPr>
        <w:ind w:left="1380" w:right="3779" w:hanging="845"/>
        <w:spacing w:after="0" w:line="235" w:lineRule="auto"/>
        <w:tabs>
          <w:tab w:leader="none" w:pos="95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380" w:right="3579" w:hanging="845"/>
        <w:spacing w:after="0" w:line="235" w:lineRule="auto"/>
        <w:tabs>
          <w:tab w:leader="none" w:pos="95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20563P101</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289,300</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11.92%</w:t>
      </w:r>
    </w:p>
    <w:p>
      <w:pPr>
        <w:ind w:left="1380" w:hanging="845"/>
        <w:spacing w:after="0" w:line="237" w:lineRule="auto"/>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2"/>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289,300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line="238" w:lineRule="auto"/>
        <w:tabs>
          <w:tab w:leader="none" w:pos="18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289,300</w:t>
            </w:r>
          </w:p>
        </w:tc>
      </w:tr>
    </w:tbl>
    <w:p>
      <w:pPr>
        <w:ind w:left="1800" w:hanging="844"/>
        <w:spacing w:after="0" w:line="238" w:lineRule="auto"/>
        <w:tabs>
          <w:tab w:leader="none" w:pos="18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3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3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Behalf of Another Person .</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LP, have the right to receive or the power to direct the receipt of dividends from, or the proceeds from the sale of shares of the issuer.</w:t>
      </w:r>
    </w:p>
    <w:p>
      <w:pPr>
        <w:spacing w:after="0" w:line="207" w:lineRule="exact"/>
        <w:rPr>
          <w:sz w:val="20"/>
          <w:szCs w:val="20"/>
          <w:color w:val="auto"/>
        </w:rPr>
      </w:pPr>
    </w:p>
    <w:p>
      <w:pPr>
        <w:ind w:left="1380" w:right="2619"/>
        <w:spacing w:after="0" w:line="275" w:lineRule="auto"/>
        <w:rPr>
          <w:sz w:val="20"/>
          <w:szCs w:val="20"/>
          <w:color w:val="auto"/>
        </w:rPr>
      </w:pPr>
      <w:r>
        <w:rPr>
          <w:rFonts w:ascii="Courier New" w:cs="Courier New" w:eastAsia="Courier New" w:hAnsi="Courier New"/>
          <w:sz w:val="16"/>
          <w:szCs w:val="16"/>
          <w:color w:val="auto"/>
        </w:rPr>
        <w:t>The interest of one account, Royce Value Trust, Inc an investment company registered under the Investment Company Act of 1940 and managed by Royce &amp; Associates, LP, amounted to 211,000 shares or 8.70%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20563P101   13G</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2"/>
      <w:numFmt w:val="bullet"/>
      <w:start w:val="1"/>
    </w:lvl>
    <w:lvl w:ilvl="1">
      <w:lvlJc w:val="left"/>
      <w:lvlText w:val="(%2)"/>
      <w:numFmt w:val="lowerLetter"/>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decimal"/>
      <w:start w:val="11"/>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2019-12-06T11:18:22Z</dcterms:created>
  <dcterms:modified xsi:type="dcterms:W3CDTF">2019-12-06T11:18:22Z</dcterms:modified>
</cp:coreProperties>
</file>