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August 9, 2022</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00" w:type="dxa"/>
            <w:vAlign w:val="bottom"/>
          </w:tcPr>
          <w:p>
            <w:pPr>
              <w:jc w:val="center"/>
              <w:ind w:right="36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640" w:type="dxa"/>
            <w:vAlign w:val="bottom"/>
          </w:tcPr>
          <w:p>
            <w:pPr>
              <w:jc w:val="center"/>
              <w:ind w:left="1203"/>
              <w:spacing w:after="0"/>
              <w:rPr>
                <w:sz w:val="20"/>
                <w:szCs w:val="20"/>
                <w:color w:val="auto"/>
              </w:rPr>
            </w:pPr>
            <w:r>
              <w:rPr>
                <w:rFonts w:ascii="Times New Roman" w:cs="Times New Roman" w:eastAsia="Times New Roman" w:hAnsi="Times New Roman"/>
                <w:sz w:val="22"/>
                <w:szCs w:val="22"/>
                <w:b w:val="1"/>
                <w:bCs w:val="1"/>
                <w:color w:val="auto"/>
                <w:w w:val="99"/>
              </w:rPr>
              <w:t>57-0981653</w:t>
            </w:r>
          </w:p>
        </w:tc>
      </w:tr>
      <w:tr>
        <w:trPr>
          <w:trHeight w:val="216"/>
        </w:trPr>
        <w:tc>
          <w:tcPr>
            <w:tcW w:w="4000" w:type="dxa"/>
            <w:vAlign w:val="bottom"/>
          </w:tcPr>
          <w:p>
            <w:pPr>
              <w:jc w:val="center"/>
              <w:ind w:right="741"/>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364"/>
              <w:spacing w:after="0"/>
              <w:rPr>
                <w:sz w:val="20"/>
                <w:szCs w:val="20"/>
                <w:color w:val="auto"/>
              </w:rPr>
            </w:pPr>
            <w:r>
              <w:rPr>
                <w:rFonts w:ascii="Times New Roman" w:cs="Times New Roman" w:eastAsia="Times New Roman" w:hAnsi="Times New Roman"/>
                <w:sz w:val="18"/>
                <w:szCs w:val="18"/>
                <w:color w:val="auto"/>
                <w:w w:val="98"/>
              </w:rPr>
              <w:t>(Commission</w:t>
            </w:r>
          </w:p>
        </w:tc>
        <w:tc>
          <w:tcPr>
            <w:tcW w:w="2640" w:type="dxa"/>
            <w:vAlign w:val="bottom"/>
          </w:tcPr>
          <w:p>
            <w:pPr>
              <w:jc w:val="center"/>
              <w:ind w:left="120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0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7100" w:type="dxa"/>
            <w:vAlign w:val="bottom"/>
            <w:gridSpan w:val="2"/>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640" w:type="dxa"/>
            <w:vAlign w:val="bottom"/>
          </w:tcPr>
          <w:p>
            <w:pPr>
              <w:jc w:val="center"/>
              <w:ind w:left="122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7100" w:type="dxa"/>
            <w:vAlign w:val="bottom"/>
            <w:gridSpan w:val="2"/>
          </w:tcPr>
          <w:p>
            <w:pPr>
              <w:jc w:val="center"/>
              <w:ind w:right="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40" w:type="dxa"/>
            <w:vAlign w:val="bottom"/>
          </w:tcPr>
          <w:p>
            <w:pPr>
              <w:jc w:val="center"/>
              <w:ind w:left="1223"/>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201295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5" w:right="339" w:bottom="1440" w:gutter="0" w:footer="0" w:header="0"/>
        </w:sectPr>
      </w:pPr>
    </w:p>
    <w:p>
      <w:pPr>
        <w:spacing w:after="0" w:line="14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5" w:right="339" w:bottom="1440" w:gutter="0" w:footer="0" w:header="0"/>
          <w:type w:val="continuous"/>
        </w:sect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Class A Common Stock</w:t>
            </w:r>
          </w:p>
        </w:tc>
        <w:tc>
          <w:tcPr>
            <w:tcW w:w="12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CIX</w:t>
            </w:r>
          </w:p>
        </w:tc>
        <w:tc>
          <w:tcPr>
            <w:tcW w:w="120" w:type="dxa"/>
            <w:vAlign w:val="bottom"/>
          </w:tcPr>
          <w:p>
            <w:pPr>
              <w:spacing w:after="0"/>
              <w:rPr>
                <w:sz w:val="10"/>
                <w:szCs w:val="10"/>
                <w:color w:val="auto"/>
              </w:rPr>
            </w:pPr>
          </w:p>
        </w:tc>
        <w:tc>
          <w:tcPr>
            <w:tcW w:w="5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 par value per share)</w:t>
            </w:r>
          </w:p>
        </w:tc>
        <w:tc>
          <w:tcPr>
            <w:tcW w:w="1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4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registrant hereby furnishes the information set forth in its press release issued on August 9, 2022, a copy of which is attached as Exhibit 99.1 and incorporated herein by reference.</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information, including exhibit 99.1, the registrant furnishes in this current report under this Item 7.01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Exhibits</w:t>
            </w:r>
          </w:p>
        </w:tc>
        <w:tc>
          <w:tcPr>
            <w:tcW w:w="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680" w:type="dxa"/>
            <w:vAlign w:val="bottom"/>
          </w:tcPr>
          <w:p>
            <w:pPr>
              <w:spacing w:after="0"/>
              <w:rPr>
                <w:sz w:val="24"/>
                <w:szCs w:val="24"/>
                <w:color w:val="auto"/>
              </w:rPr>
            </w:pPr>
          </w:p>
        </w:tc>
        <w:tc>
          <w:tcPr>
            <w:tcW w:w="22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2"/>
                <w:szCs w:val="22"/>
                <w:b w:val="1"/>
                <w:bCs w:val="1"/>
                <w:color w:val="auto"/>
              </w:rPr>
              <w:t>Item No.</w:t>
            </w:r>
          </w:p>
        </w:tc>
        <w:tc>
          <w:tcPr>
            <w:tcW w:w="300" w:type="dxa"/>
            <w:vAlign w:val="bottom"/>
          </w:tcPr>
          <w:p>
            <w:pPr>
              <w:spacing w:after="0"/>
              <w:rPr>
                <w:sz w:val="24"/>
                <w:szCs w:val="24"/>
                <w:color w:val="auto"/>
              </w:rPr>
            </w:pPr>
          </w:p>
        </w:tc>
        <w:tc>
          <w:tcPr>
            <w:tcW w:w="8000" w:type="dxa"/>
            <w:vAlign w:val="bottom"/>
            <w:tcBorders>
              <w:bottom w:val="single" w:sz="8" w:color="auto"/>
            </w:tcBorders>
            <w:gridSpan w:val="2"/>
          </w:tcPr>
          <w:p>
            <w:pPr>
              <w:ind w:left="3380"/>
              <w:spacing w:after="0"/>
              <w:rPr>
                <w:sz w:val="20"/>
                <w:szCs w:val="20"/>
                <w:color w:val="auto"/>
              </w:rPr>
            </w:pPr>
            <w:r>
              <w:rPr>
                <w:rFonts w:ascii="Times New Roman" w:cs="Times New Roman" w:eastAsia="Times New Roman" w:hAnsi="Times New Roman"/>
                <w:sz w:val="22"/>
                <w:szCs w:val="22"/>
                <w:b w:val="1"/>
                <w:bCs w:val="1"/>
                <w:color w:val="auto"/>
              </w:rPr>
              <w:t>Exhibit Index</w:t>
            </w: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30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2"/>
                <w:szCs w:val="22"/>
                <w:color w:val="0000EE"/>
              </w:rPr>
              <w:t>Press release dated August 9, 2022 issued by the registrant</w:t>
            </w:r>
            <w:r>
              <w:rPr>
                <w:rFonts w:ascii="Times New Roman" w:cs="Times New Roman" w:eastAsia="Times New Roman" w:hAnsi="Times New Roman"/>
                <w:sz w:val="22"/>
                <w:szCs w:val="22"/>
                <w:color w:val="000000"/>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104</w:t>
            </w:r>
          </w:p>
        </w:tc>
        <w:tc>
          <w:tcPr>
            <w:tcW w:w="30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80" w:type="dxa"/>
            <w:vAlign w:val="bottom"/>
          </w:tcPr>
          <w:p>
            <w:pPr>
              <w:spacing w:after="0"/>
              <w:rPr>
                <w:sz w:val="23"/>
                <w:szCs w:val="23"/>
                <w:color w:val="auto"/>
              </w:rPr>
            </w:pPr>
          </w:p>
        </w:tc>
        <w:tc>
          <w:tcPr>
            <w:tcW w:w="226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c>
          <w:tcPr>
            <w:tcW w:w="0" w:type="dxa"/>
            <w:vAlign w:val="bottom"/>
          </w:tcPr>
          <w:p>
            <w:pPr>
              <w:spacing w:after="0"/>
              <w:rPr>
                <w:sz w:val="1"/>
                <w:szCs w:val="1"/>
                <w:color w:val="auto"/>
              </w:rPr>
            </w:pPr>
          </w:p>
        </w:tc>
      </w:tr>
      <w:tr>
        <w:trPr>
          <w:trHeight w:val="656"/>
        </w:trPr>
        <w:tc>
          <w:tcPr>
            <w:tcW w:w="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980" w:type="dxa"/>
            <w:vAlign w:val="bottom"/>
            <w:gridSpan w:val="2"/>
          </w:tcPr>
          <w:p>
            <w:pPr>
              <w:ind w:left="5580"/>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 Jane Grimm</w:t>
            </w:r>
          </w:p>
        </w:tc>
      </w:tr>
      <w:tr>
        <w:trPr>
          <w:trHeight w:val="212"/>
        </w:trPr>
        <w:tc>
          <w:tcPr>
            <w:tcW w:w="5580" w:type="dxa"/>
            <w:vAlign w:val="bottom"/>
          </w:tcPr>
          <w:p>
            <w:pPr>
              <w:spacing w:after="0" w:line="211" w:lineRule="exact"/>
              <w:rPr>
                <w:sz w:val="20"/>
                <w:szCs w:val="20"/>
                <w:color w:val="auto"/>
              </w:rPr>
            </w:pPr>
            <w:r>
              <w:rPr>
                <w:rFonts w:ascii="Times New Roman" w:cs="Times New Roman" w:eastAsia="Times New Roman" w:hAnsi="Times New Roman"/>
                <w:sz w:val="22"/>
                <w:szCs w:val="22"/>
                <w:color w:val="auto"/>
              </w:rPr>
              <w:t>Date: August 9, 2022</w:t>
            </w:r>
          </w:p>
        </w:tc>
        <w:tc>
          <w:tcPr>
            <w:tcW w:w="400" w:type="dxa"/>
            <w:vAlign w:val="bottom"/>
            <w:tcBorders>
              <w:top w:val="single" w:sz="8" w:color="auto"/>
            </w:tcBorders>
          </w:tcPr>
          <w:p>
            <w:pPr>
              <w:spacing w:after="0"/>
              <w:rPr>
                <w:sz w:val="18"/>
                <w:szCs w:val="18"/>
                <w:color w:val="auto"/>
              </w:rPr>
            </w:pPr>
          </w:p>
        </w:tc>
        <w:tc>
          <w:tcPr>
            <w:tcW w:w="5260" w:type="dxa"/>
            <w:vAlign w:val="bottom"/>
            <w:tcBorders>
              <w:top w:val="single" w:sz="8" w:color="auto"/>
            </w:tcBorders>
          </w:tcPr>
          <w:p>
            <w:pPr>
              <w:ind w:left="80"/>
              <w:spacing w:after="0" w:line="211" w:lineRule="exact"/>
              <w:rPr>
                <w:sz w:val="20"/>
                <w:szCs w:val="20"/>
                <w:color w:val="auto"/>
              </w:rPr>
            </w:pPr>
            <w:r>
              <w:rPr>
                <w:rFonts w:ascii="Times New Roman" w:cs="Times New Roman" w:eastAsia="Times New Roman" w:hAnsi="Times New Roman"/>
                <w:sz w:val="22"/>
                <w:szCs w:val="22"/>
                <w:i w:val="1"/>
                <w:iCs w:val="1"/>
                <w:color w:val="auto"/>
              </w:rPr>
              <w:t>Jane Grimm</w:t>
            </w:r>
          </w:p>
        </w:tc>
      </w:tr>
      <w:tr>
        <w:trPr>
          <w:trHeight w:val="243"/>
        </w:trPr>
        <w:tc>
          <w:tcPr>
            <w:tcW w:w="5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Vice President, General Counsel and</w:t>
            </w:r>
          </w:p>
        </w:tc>
      </w:tr>
      <w:tr>
        <w:trPr>
          <w:trHeight w:val="286"/>
        </w:trPr>
        <w:tc>
          <w:tcPr>
            <w:tcW w:w="5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Secretary</w:t>
            </w:r>
          </w:p>
        </w:tc>
      </w:tr>
    </w:tbl>
    <w:p>
      <w:pPr>
        <w:sectPr>
          <w:pgSz w:w="11900" w:h="16838" w:orient="portrait"/>
          <w:cols w:equalWidth="0" w:num="1">
            <w:col w:w="11240"/>
          </w:cols>
          <w:pgMar w:left="320" w:top="5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1480"/>
                    </a:xfrm>
                    <a:prstGeom prst="rect">
                      <a:avLst/>
                    </a:prstGeom>
                    <a:noFill/>
                  </pic:spPr>
                </pic:pic>
              </a:graphicData>
            </a:graphic>
          </wp:anchor>
        </w:drawing>
        <w:t>PRESS RELEASE</w:t>
      </w:r>
    </w:p>
    <w:p>
      <w:pPr>
        <w:sectPr>
          <w:pgSz w:w="11900" w:h="16838" w:orient="portrait"/>
          <w:cols w:equalWidth="0" w:num="1">
            <w:col w:w="11240"/>
          </w:cols>
          <w:pgMar w:left="320" w:top="1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CONTACT:</w:t>
      </w:r>
    </w:p>
    <w:p>
      <w:pPr>
        <w:spacing w:after="0" w:line="200" w:lineRule="exact"/>
        <w:rPr>
          <w:sz w:val="20"/>
          <w:szCs w:val="20"/>
          <w:color w:val="auto"/>
        </w:rPr>
      </w:pPr>
    </w:p>
    <w:p>
      <w:pPr>
        <w:sectPr>
          <w:pgSz w:w="11900" w:h="16838" w:orient="portrait"/>
          <w:cols w:equalWidth="0" w:num="2">
            <w:col w:w="6060" w:space="720"/>
            <w:col w:w="4460"/>
          </w:cols>
          <w:pgMar w:left="320" w:top="1226"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CompX International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Three Lincoln Centre</w:t>
      </w:r>
    </w:p>
    <w:p>
      <w:pPr>
        <w:spacing w:after="0"/>
        <w:rPr>
          <w:sz w:val="20"/>
          <w:szCs w:val="20"/>
          <w:color w:val="auto"/>
        </w:rPr>
      </w:pPr>
      <w:r>
        <w:rPr>
          <w:rFonts w:ascii="Times New Roman" w:cs="Times New Roman" w:eastAsia="Times New Roman" w:hAnsi="Times New Roman"/>
          <w:sz w:val="21"/>
          <w:szCs w:val="21"/>
          <w:color w:val="auto"/>
        </w:rPr>
        <w:t>5430 LBJ Freeway, Suite 1700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 75240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Janet G. Keckeisen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rPr>
          <w:sz w:val="20"/>
          <w:szCs w:val="20"/>
          <w:color w:val="auto"/>
        </w:rPr>
      </w:pPr>
      <w:r>
        <w:rPr>
          <w:rFonts w:ascii="Times New Roman" w:cs="Times New Roman" w:eastAsia="Times New Roman" w:hAnsi="Times New Roman"/>
          <w:sz w:val="22"/>
          <w:szCs w:val="22"/>
          <w:color w:val="auto"/>
        </w:rPr>
        <w:t>Tel. 972-233-1700</w:t>
      </w:r>
    </w:p>
    <w:p>
      <w:pPr>
        <w:spacing w:after="0" w:line="443" w:lineRule="exact"/>
        <w:rPr>
          <w:sz w:val="20"/>
          <w:szCs w:val="20"/>
          <w:color w:val="auto"/>
        </w:rPr>
      </w:pPr>
    </w:p>
    <w:p>
      <w:pPr>
        <w:sectPr>
          <w:pgSz w:w="11900" w:h="16838" w:orient="portrait"/>
          <w:cols w:equalWidth="0" w:num="2">
            <w:col w:w="6060" w:space="720"/>
            <w:col w:w="4460"/>
          </w:cols>
          <w:pgMar w:left="320" w:top="1226" w:right="339"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COMPX ANNOUNCES A SPECIAL DIVIDEND OF $1.75 PER SHARE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PAYABLE IN AUGUST 2022</w:t>
      </w: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DALLAS, TEXAS . . . August 9, 2022 . . . CompX International Inc. (NYSE American: CIX) announced today that its board of directors has declared a special cash dividend of $1.75 per share on its class A common stock, payable on August 30, 2022 to stockholders of record at the close of business on August 22, 2022. This special dividend is in addition to CompX’s previously announced regular quarterly cash dividend of $0.25 per share that is payable on September 13, 2022 to stockholders of record at the close of business on September 1, 2022.</w:t>
      </w:r>
    </w:p>
    <w:p>
      <w:pPr>
        <w:spacing w:after="0" w:line="20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CompX is committed to balancing investment in the growth of its business with stockholder distributions. CompX’s strong balance sheet, healthy cash flow and disciplined capital investment strategy has provided this opportunity to return additional cash to our stockholders in 2022 while maintaining financial strength and flexibility to continue to invest in our business over the long term.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CompX is a leading manufacturer of security products and recreational marine components.</w:t>
      </w:r>
    </w:p>
    <w:sectPr>
      <w:pgSz w:w="11900" w:h="16838" w:orient="portrait"/>
      <w:cols w:equalWidth="0" w:num="1">
        <w:col w:w="11240"/>
      </w:cols>
      <w:pgMar w:left="320" w:top="122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2022-08-09T17:22:40Z</dcterms:created>
  <dcterms:modified xsi:type="dcterms:W3CDTF">2022-08-09T17:22:40Z</dcterms:modified>
</cp:coreProperties>
</file>