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7, 2018</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issued on May 7, 2018, a copy of which is attached hereto as Exhibit 99.1 and incorporated herein by reference.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including the exhibit, the registrant furnishes in this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20" w:type="dxa"/>
            <w:vAlign w:val="bottom"/>
          </w:tcPr>
          <w:p>
            <w:pPr>
              <w:spacing w:after="0"/>
              <w:rPr>
                <w:sz w:val="20"/>
                <w:szCs w:val="20"/>
                <w:color w:val="auto"/>
              </w:rPr>
            </w:pPr>
          </w:p>
        </w:tc>
        <w:tc>
          <w:tcPr>
            <w:tcW w:w="8160" w:type="dxa"/>
            <w:vAlign w:val="bottom"/>
            <w:tcBorders>
              <w:bottom w:val="single" w:sz="8" w:color="auto"/>
            </w:tcBorders>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68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99.1</w:t>
            </w:r>
          </w:p>
        </w:tc>
        <w:tc>
          <w:tcPr>
            <w:tcW w:w="8480" w:type="dxa"/>
            <w:vAlign w:val="bottom"/>
            <w:gridSpan w:val="2"/>
          </w:tcPr>
          <w:p>
            <w:pPr>
              <w:ind w:left="320"/>
              <w:spacing w:after="0"/>
              <w:rPr>
                <w:sz w:val="20"/>
                <w:szCs w:val="20"/>
                <w:color w:val="auto"/>
              </w:rPr>
            </w:pPr>
            <w:r>
              <w:rPr>
                <w:rFonts w:ascii="Arial" w:cs="Arial" w:eastAsia="Arial" w:hAnsi="Arial"/>
                <w:sz w:val="18"/>
                <w:szCs w:val="18"/>
                <w:color w:val="auto"/>
              </w:rPr>
              <w:t>Press release dated May 7, 2018 issued by the registrant.</w:t>
            </w:r>
          </w:p>
        </w:tc>
      </w:tr>
      <w:tr>
        <w:trPr>
          <w:trHeight w:val="912"/>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May 7, 2018</w:t>
            </w:r>
          </w:p>
        </w:tc>
        <w:tc>
          <w:tcPr>
            <w:tcW w:w="360" w:type="dxa"/>
            <w:vAlign w:val="bottom"/>
          </w:tcPr>
          <w:p>
            <w:pPr>
              <w:spacing w:after="0"/>
              <w:rPr>
                <w:sz w:val="17"/>
                <w:szCs w:val="17"/>
                <w:color w:val="auto"/>
              </w:rPr>
            </w:pPr>
          </w:p>
        </w:tc>
        <w:tc>
          <w:tcPr>
            <w:tcW w:w="5360" w:type="dxa"/>
            <w:vAlign w:val="bottom"/>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r>
        <w:trPr>
          <w:trHeight w:val="426"/>
        </w:trPr>
        <w:tc>
          <w:tcPr>
            <w:tcW w:w="5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20" w:type="dxa"/>
            <w:vAlign w:val="bottom"/>
          </w:tcPr>
          <w:p>
            <w:pPr>
              <w:spacing w:after="0"/>
              <w:rPr>
                <w:sz w:val="20"/>
                <w:szCs w:val="20"/>
                <w:color w:val="auto"/>
              </w:rPr>
            </w:pPr>
          </w:p>
        </w:tc>
        <w:tc>
          <w:tcPr>
            <w:tcW w:w="8160" w:type="dxa"/>
            <w:vAlign w:val="bottom"/>
            <w:tcBorders>
              <w:bottom w:val="single" w:sz="8" w:color="auto"/>
            </w:tcBorders>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260" w:type="dxa"/>
            <w:vAlign w:val="bottom"/>
          </w:tcPr>
          <w:p>
            <w:pPr>
              <w:jc w:val="right"/>
              <w:ind w:right="890"/>
              <w:spacing w:after="0"/>
              <w:rPr>
                <w:sz w:val="20"/>
                <w:szCs w:val="20"/>
                <w:color w:val="auto"/>
              </w:rPr>
            </w:pPr>
            <w:r>
              <w:rPr>
                <w:rFonts w:ascii="Arial" w:cs="Arial" w:eastAsia="Arial" w:hAnsi="Arial"/>
                <w:sz w:val="18"/>
                <w:szCs w:val="18"/>
                <w:color w:val="auto"/>
              </w:rPr>
              <w:t>99.1</w:t>
            </w:r>
          </w:p>
        </w:tc>
        <w:tc>
          <w:tcPr>
            <w:tcW w:w="8480" w:type="dxa"/>
            <w:vAlign w:val="bottom"/>
            <w:gridSpan w:val="2"/>
          </w:tcPr>
          <w:p>
            <w:pPr>
              <w:ind w:left="320"/>
              <w:spacing w:after="0"/>
              <w:rPr>
                <w:sz w:val="20"/>
                <w:szCs w:val="20"/>
                <w:color w:val="auto"/>
              </w:rPr>
            </w:pPr>
            <w:r>
              <w:rPr>
                <w:rFonts w:ascii="Arial" w:cs="Arial" w:eastAsia="Arial" w:hAnsi="Arial"/>
                <w:sz w:val="18"/>
                <w:szCs w:val="18"/>
                <w:color w:val="auto"/>
              </w:rPr>
              <w:t>Press release dated May 7, 2018 issued by the registrant.</w:t>
            </w: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FIRST QUARTER 2018 RESULTS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DALLAS, TEXAS … May 7, 2018 … CompX International Inc. (NYSE American: CIX) announced today sales of $28.4 million for the first quarter of 2018 compared to $29.9 million in the same period of 2017. Operating income was $4.4 million in the first quarter of 2018 compared to $4.5 million in the same period of 2017. Net income was $3.7 million, or $0.30 per basic and diluted common share, for the first quarter of 2018 compared to $3.1 million, or $0.25 per basic and diluted common share, in the same period of 2017.</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Net sales decreased primarily due to lower Security Products sales volumes to existing government security customers and to a lesser extent lower sales to an original equipment manufacturer of recreational transportation products, partially offset by higher Marine Components sales for the quarter. Operating income decreased primarily due to lower Security Products sales.</w:t>
      </w:r>
    </w:p>
    <w:p>
      <w:pPr>
        <w:spacing w:after="0" w:line="20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500 people.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 w:name="page6"/>
    <w:bookmarkEnd w:id="5"/>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tax reform,</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170"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40" w:type="dxa"/>
            <w:vAlign w:val="bottom"/>
            <w:gridSpan w:val="5"/>
          </w:tcPr>
          <w:p>
            <w:pPr>
              <w:jc w:val="right"/>
              <w:ind w:right="17"/>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6120" w:type="dxa"/>
            <w:vAlign w:val="bottom"/>
          </w:tcPr>
          <w:p>
            <w:pPr>
              <w:spacing w:after="0"/>
              <w:rPr>
                <w:sz w:val="24"/>
                <w:szCs w:val="24"/>
                <w:color w:val="auto"/>
              </w:rPr>
            </w:pPr>
          </w:p>
        </w:tc>
        <w:tc>
          <w:tcPr>
            <w:tcW w:w="34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40" w:type="dxa"/>
            <w:vAlign w:val="bottom"/>
            <w:gridSpan w:val="2"/>
            <w:shd w:val="clear" w:color="auto" w:fill="CCEEFF"/>
          </w:tcPr>
          <w:p>
            <w:pPr>
              <w:jc w:val="right"/>
              <w:ind w:right="59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90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Cost of goods sold</w:t>
            </w:r>
          </w:p>
        </w:tc>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6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spacing w:after="0"/>
              <w:rPr>
                <w:sz w:val="18"/>
                <w:szCs w:val="18"/>
                <w:color w:val="auto"/>
              </w:rPr>
            </w:pPr>
          </w:p>
        </w:tc>
        <w:tc>
          <w:tcPr>
            <w:tcW w:w="344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344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90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0.30</w:t>
            </w:r>
          </w:p>
        </w:tc>
        <w:tc>
          <w:tcPr>
            <w:tcW w:w="0" w:type="dxa"/>
            <w:vAlign w:val="bottom"/>
          </w:tcPr>
          <w:p>
            <w:pPr>
              <w:spacing w:after="0"/>
              <w:rPr>
                <w:sz w:val="1"/>
                <w:szCs w:val="1"/>
                <w:color w:val="auto"/>
              </w:rPr>
            </w:pPr>
          </w:p>
        </w:tc>
      </w:tr>
      <w:tr>
        <w:trPr>
          <w:trHeight w:val="21"/>
        </w:trPr>
        <w:tc>
          <w:tcPr>
            <w:tcW w:w="61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 average diluted common</w:t>
            </w:r>
          </w:p>
        </w:tc>
        <w:tc>
          <w:tcPr>
            <w:tcW w:w="2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26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1121"/>
        </w:trPr>
        <w:tc>
          <w:tcPr>
            <w:tcW w:w="20" w:type="dxa"/>
            <w:vAlign w:val="bottom"/>
          </w:tcPr>
          <w:p>
            <w:pPr>
              <w:spacing w:after="0"/>
              <w:rPr>
                <w:sz w:val="24"/>
                <w:szCs w:val="24"/>
                <w:color w:val="auto"/>
              </w:rPr>
            </w:pPr>
          </w:p>
        </w:tc>
        <w:tc>
          <w:tcPr>
            <w:tcW w:w="6120" w:type="dxa"/>
            <w:vAlign w:val="bottom"/>
            <w:tcBorders>
              <w:top w:val="single" w:sz="8" w:color="CCEEFF"/>
              <w:bottom w:val="single" w:sz="8" w:color="auto"/>
            </w:tcBorders>
          </w:tcPr>
          <w:p>
            <w:pPr>
              <w:spacing w:after="0"/>
              <w:rPr>
                <w:sz w:val="24"/>
                <w:szCs w:val="24"/>
                <w:color w:val="auto"/>
              </w:rPr>
            </w:pPr>
          </w:p>
        </w:tc>
        <w:tc>
          <w:tcPr>
            <w:tcW w:w="26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 w:name="page8"/>
    <w:bookmarkEnd w:id="7"/>
    <w:p>
      <w:pPr>
        <w:ind w:left="4160"/>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2019-12-06T10:25:06Z</dcterms:created>
  <dcterms:modified xsi:type="dcterms:W3CDTF">2019-12-06T10:25:06Z</dcterms:modified>
</cp:coreProperties>
</file>