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8280" w:right="0" w:hanging="0"/>
        <w:jc w:val="left"/>
        <w:rPr/>
      </w:pPr>
      <w:hyperlink w:anchor="TOC">
        <w:bookmarkStart w:id="0" w:name="cix-20260331x10q.htm"/>
        <w:bookmarkStart w:id="1" w:name="kscix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f4df59ff_9755_450d_bc45_7c17274b5f24"/>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Washington, D.C. 20549</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left"/>
        <w:rPr/>
      </w:pPr>
      <w:r>
        <w:rPr>
          <w:caps w:val="false"/>
          <w:smallCaps w:val="false"/>
        </w:rPr>
        <w:t>☒</w:t>
      </w:r>
      <w:r>
        <w:rPr>
          <w:rFonts w:ascii="Times New Roman;Times;serif" w:hAnsi="Times New Roman;Times;serif"/>
          <w:b/>
          <w:sz w:val="24"/>
        </w:rPr>
        <w:t>QUARTERLY REPORT PURSUANT TO SECTION 13 OR 15(d) OF</w:t>
      </w:r>
    </w:p>
    <w:p>
      <w:pPr>
        <w:pStyle w:val="TextBody"/>
        <w:bidi w:val="0"/>
        <w:spacing w:before="0" w:after="8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For the quarter ended March 31, 2026</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0"/>
        <w:ind w:left="0" w:right="0" w:hanging="0"/>
        <w:jc w:val="left"/>
        <w:rPr/>
      </w:pPr>
      <w:r>
        <w:rPr>
          <w:caps w:val="false"/>
          <w:smallCaps w:val="false"/>
        </w:rPr>
        <w:t>☐</w:t>
      </w:r>
      <w:r>
        <w:rPr>
          <w:rFonts w:ascii="Times New Roman;Times;serif" w:hAnsi="Times New Roman;Times;serif"/>
          <w:b/>
          <w:sz w:val="24"/>
        </w:rPr>
        <w:t xml:space="preserve">TRANSITION REPORT PURSUANT TO SECTION 13 OR 15(d) OF </w:t>
      </w:r>
    </w:p>
    <w:p>
      <w:pPr>
        <w:pStyle w:val="TextBody"/>
        <w:bidi w:val="0"/>
        <w:spacing w:before="0" w:after="8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_________ to _________</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Commission file number 1-13905</w:t>
      </w:r>
    </w:p>
    <w:p>
      <w:pPr>
        <w:pStyle w:val="TextBody"/>
        <w:bidi w:val="0"/>
        <w:spacing w:before="0" w:after="80"/>
        <w:ind w:left="0" w:right="0" w:hanging="0"/>
        <w:jc w:val="center"/>
        <w:rPr>
          <w:rFonts w:ascii="Times New Roman;Times;serif" w:hAnsi="Times New Roman;Times;serif"/>
          <w:sz w:val="40"/>
        </w:rPr>
      </w:pPr>
      <w:r>
        <w:rPr>
          <w:rFonts w:ascii="Times New Roman;Times;serif" w:hAnsi="Times New Roman;Times;serif"/>
          <w:b/>
          <w:sz w:val="40"/>
        </w:rPr>
        <w:t>COMPX INTERNATIONAL INC.</w:t>
      </w:r>
      <w:r>
        <w:rPr>
          <w:rFonts w:ascii="Times New Roman;Times;serif" w:hAnsi="Times New Roman;Times;serif"/>
          <w:sz w:val="4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vXm1NGkLfkewpf-wWiE-rw_2_2"/>
      <w:bookmarkStart w:id="4" w:name="Tc_xb3ax5ZDkE-Sg-sQWRBewg_2_0"/>
      <w:bookmarkStart w:id="5" w:name="_a40d4d57_0eb2_4f36_a2f1_bba16ad752a1"/>
      <w:bookmarkStart w:id="6" w:name="Tc_vXm1NGkLfkewpf-wWiE-rw_2_2"/>
      <w:bookmarkStart w:id="7" w:name="Tc_xb3ax5ZDkE-Sg-sQWRBewg_2_0"/>
      <w:bookmarkStart w:id="8" w:name="_a40d4d57_0eb2_4f36_a2f1_bba16ad752a1"/>
      <w:bookmarkEnd w:id="6"/>
      <w:bookmarkEnd w:id="7"/>
      <w:bookmarkEnd w:id="8"/>
    </w:p>
    <w:tbl>
      <w:tblPr>
        <w:tblW w:w="4773" w:type="dxa"/>
        <w:jc w:val="left"/>
        <w:tblInd w:w="0" w:type="dxa"/>
        <w:tblLayout w:type="fixed"/>
        <w:tblCellMar>
          <w:top w:w="0" w:type="dxa"/>
          <w:left w:w="0" w:type="dxa"/>
          <w:bottom w:w="0" w:type="dxa"/>
          <w:right w:w="0" w:type="dxa"/>
        </w:tblCellMar>
      </w:tblPr>
      <w:tblGrid>
        <w:gridCol w:w="2746"/>
        <w:gridCol w:w="346"/>
        <w:gridCol w:w="1681"/>
      </w:tblGrid>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346" w:type="dxa"/>
            <w:tcBorders/>
            <w:vAlign w:val="center"/>
          </w:tcPr>
          <w:p>
            <w:pPr>
              <w:pStyle w:val="TableContents"/>
              <w:bidi w:val="0"/>
              <w:spacing w:before="0" w:after="0"/>
              <w:ind w:left="0" w:right="0" w:hanging="0"/>
              <w:jc w:val="left"/>
              <w:rPr/>
            </w:pPr>
            <w:r>
              <w:rPr/>
              <w:t>  ​ ​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57-0981653</w:t>
            </w:r>
          </w:p>
        </w:tc>
      </w:tr>
      <w:tr>
        <w:trPr/>
        <w:tc>
          <w:tcPr>
            <w:tcW w:w="27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w:t>
              <w:br/>
              <w:t>incorporation or organization)</w:t>
            </w:r>
          </w:p>
        </w:tc>
        <w:tc>
          <w:tcPr>
            <w:tcW w:w="346" w:type="dxa"/>
            <w:tcBorders/>
            <w:vAlign w:val="center"/>
          </w:tcPr>
          <w:p>
            <w:pPr>
              <w:pStyle w:val="TableContents"/>
              <w:bidi w:val="0"/>
              <w:spacing w:before="0" w:after="24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100" w:after="0"/>
        <w:ind w:left="0" w:right="0" w:hanging="0"/>
        <w:jc w:val="center"/>
        <w:rPr>
          <w:rFonts w:ascii="Times New Roman;Times;serif" w:hAnsi="Times New Roman;Times;serif"/>
          <w:b/>
          <w:sz w:val="20"/>
        </w:rPr>
      </w:pPr>
      <w:r>
        <w:rPr>
          <w:rFonts w:ascii="Times New Roman;Times;serif" w:hAnsi="Times New Roman;Times;serif"/>
          <w:b/>
          <w:sz w:val="20"/>
        </w:rPr>
        <w:t>5430 LBJ Freeway, Suite 1700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Dallas, Texas</w:t>
      </w:r>
      <w:r>
        <w:rPr>
          <w:rFonts w:ascii="Times New Roman;Times;serif" w:hAnsi="Times New Roman;Times;serif"/>
          <w:sz w:val="20"/>
        </w:rPr>
        <w:t xml:space="preserve"> </w:t>
      </w:r>
      <w:r>
        <w:rPr>
          <w:rFonts w:ascii="Times New Roman;Times;serif" w:hAnsi="Times New Roman;Times;serif"/>
          <w:b/>
          <w:sz w:val="20"/>
        </w:rPr>
        <w:t>75240-2620</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(972) 448-1400</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 w:name="Tc_-BiFLBdVkU6cvQlMaRK9zw_1_4"/>
      <w:bookmarkStart w:id="10" w:name="Tc_vLVb-a2Oe06fQb-VKM7fAw_1_2"/>
      <w:bookmarkStart w:id="11" w:name="Tc_mH96y4Ax4EeoD6Nap53_TQ_1_0"/>
      <w:bookmarkStart w:id="12" w:name="_ddacf02a_c048_46db_91e7_8b7b902951e5"/>
      <w:bookmarkStart w:id="13" w:name="Tc_-BiFLBdVkU6cvQlMaRK9zw_1_4"/>
      <w:bookmarkStart w:id="14" w:name="Tc_vLVb-a2Oe06fQb-VKM7fAw_1_2"/>
      <w:bookmarkStart w:id="15" w:name="Tc_mH96y4Ax4EeoD6Nap53_TQ_1_0"/>
      <w:bookmarkStart w:id="16" w:name="_ddacf02a_c048_46db_91e7_8b7b902951e5"/>
      <w:bookmarkEnd w:id="13"/>
      <w:bookmarkEnd w:id="14"/>
      <w:bookmarkEnd w:id="15"/>
      <w:bookmarkEnd w:id="16"/>
    </w:p>
    <w:tbl>
      <w:tblPr>
        <w:tblW w:w="7505" w:type="dxa"/>
        <w:jc w:val="left"/>
        <w:tblInd w:w="0" w:type="dxa"/>
        <w:tblLayout w:type="fixed"/>
        <w:tblCellMar>
          <w:top w:w="0" w:type="dxa"/>
          <w:left w:w="0" w:type="dxa"/>
          <w:bottom w:w="0" w:type="dxa"/>
          <w:right w:w="0" w:type="dxa"/>
        </w:tblCellMar>
      </w:tblPr>
      <w:tblGrid>
        <w:gridCol w:w="1771"/>
        <w:gridCol w:w="346"/>
        <w:gridCol w:w="1561"/>
        <w:gridCol w:w="346"/>
        <w:gridCol w:w="3481"/>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17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17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Class A common stock</w:t>
            </w:r>
          </w:p>
        </w:tc>
        <w:tc>
          <w:tcPr>
            <w:tcW w:w="346" w:type="dxa"/>
            <w:tcBorders/>
            <w:vAlign w:val="center"/>
          </w:tcPr>
          <w:p>
            <w:pPr>
              <w:pStyle w:val="TableContents"/>
              <w:bidi w:val="0"/>
              <w:spacing w:before="0" w:after="240"/>
              <w:ind w:left="0" w:right="0" w:hanging="0"/>
              <w:jc w:val="left"/>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CIX</w:t>
            </w:r>
          </w:p>
        </w:tc>
        <w:tc>
          <w:tcPr>
            <w:tcW w:w="346" w:type="dxa"/>
            <w:tcBorders/>
            <w:vAlign w:val="center"/>
          </w:tcPr>
          <w:p>
            <w:pPr>
              <w:pStyle w:val="TableContents"/>
              <w:bidi w:val="0"/>
              <w:spacing w:before="0" w:after="240"/>
              <w:ind w:left="0" w:right="0" w:hanging="0"/>
              <w:jc w:val="left"/>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NYSE American</w:t>
            </w:r>
          </w:p>
        </w:tc>
      </w:tr>
    </w:tbl>
    <w:p>
      <w:pPr>
        <w:pStyle w:val="TextBody"/>
        <w:bidi w:val="0"/>
        <w:spacing w:before="0" w:after="0"/>
        <w:ind w:left="0" w:right="0" w:hanging="0"/>
        <w:jc w:val="left"/>
        <w:rPr/>
      </w:pPr>
      <w:r>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b/>
          <w:sz w:val="20"/>
        </w:rPr>
        <w:t>Indicate by check mark whether the registrant (1) has filed all reports required to be filed by Section 13 or 15(d) of the Securities Exchange Act of 1934 during the preceding 12 months and (2) has been subject to such filing requirements for the past 90 days.   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b/>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17" w:name="Tc_soEaQoj5ZUWQv4MXjXaPmw_3_0"/>
      <w:bookmarkStart w:id="18" w:name="Tc_SxZFnasGn0Sb7nxbfBvc5A_2_2"/>
      <w:bookmarkStart w:id="19" w:name="Tc_YaOw-tf2lUSAr_pOy3mDqQ_2_1"/>
      <w:bookmarkStart w:id="20" w:name="Tc_s3MXCG5_jEq2yuAr-s_0_g_2_0"/>
      <w:bookmarkStart w:id="21" w:name="Tc_2QNXzbWMakiqu9kJb54jKg_1_3"/>
      <w:bookmarkStart w:id="22" w:name="Tc_Ka1LUblNH0KFI71XcYboHA_1_2"/>
      <w:bookmarkStart w:id="23" w:name="Tc_L4ATtCBMGUq9FDgOqRzVZg_1_1"/>
      <w:bookmarkStart w:id="24" w:name="Tc_iqlatoxyhUqziW0D-0ywuA_1_0"/>
      <w:bookmarkStart w:id="25" w:name="_7b004ce5_21ad_4ec9_aae1_43d24f130c2c"/>
      <w:bookmarkStart w:id="26" w:name="Tc_soEaQoj5ZUWQv4MXjXaPmw_3_0"/>
      <w:bookmarkStart w:id="27" w:name="Tc_SxZFnasGn0Sb7nxbfBvc5A_2_2"/>
      <w:bookmarkStart w:id="28" w:name="Tc_YaOw-tf2lUSAr_pOy3mDqQ_2_1"/>
      <w:bookmarkStart w:id="29" w:name="Tc_s3MXCG5_jEq2yuAr-s_0_g_2_0"/>
      <w:bookmarkStart w:id="30" w:name="Tc_2QNXzbWMakiqu9kJb54jKg_1_3"/>
      <w:bookmarkStart w:id="31" w:name="Tc_Ka1LUblNH0KFI71XcYboHA_1_2"/>
      <w:bookmarkStart w:id="32" w:name="Tc_L4ATtCBMGUq9FDgOqRzVZg_1_1"/>
      <w:bookmarkStart w:id="33" w:name="Tc_iqlatoxyhUqziW0D-0ywuA_1_0"/>
      <w:bookmarkStart w:id="34" w:name="_7b004ce5_21ad_4ec9_aae1_43d24f130c2c"/>
      <w:bookmarkEnd w:id="26"/>
      <w:bookmarkEnd w:id="27"/>
      <w:bookmarkEnd w:id="28"/>
      <w:bookmarkEnd w:id="29"/>
      <w:bookmarkEnd w:id="30"/>
      <w:bookmarkEnd w:id="31"/>
      <w:bookmarkEnd w:id="32"/>
      <w:bookmarkEnd w:id="33"/>
      <w:bookmarkEnd w:id="34"/>
    </w:p>
    <w:tbl>
      <w:tblPr>
        <w:tblW w:w="5839" w:type="dxa"/>
        <w:jc w:val="left"/>
        <w:tblInd w:w="0" w:type="dxa"/>
        <w:tblLayout w:type="fixed"/>
        <w:tblCellMar>
          <w:top w:w="0" w:type="dxa"/>
          <w:left w:w="0" w:type="dxa"/>
          <w:bottom w:w="0" w:type="dxa"/>
          <w:right w:w="0" w:type="dxa"/>
        </w:tblCellMar>
      </w:tblPr>
      <w:tblGrid>
        <w:gridCol w:w="2536"/>
        <w:gridCol w:w="316"/>
        <w:gridCol w:w="2626"/>
        <w:gridCol w:w="361"/>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610360" cy="175260"/>
                      <wp:effectExtent l="0" t="0" r="0" b="0"/>
                      <wp:wrapNone/>
                      <wp:docPr id="1" name="Frame1"/>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0660" cy="175260"/>
                      <wp:effectExtent l="0" t="0" r="0" b="0"/>
                      <wp:wrapNone/>
                      <wp:docPr id="2" name="Frame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667510" cy="175260"/>
                      <wp:effectExtent l="0" t="0" r="0" b="0"/>
                      <wp:wrapNone/>
                      <wp:docPr id="3" name="Frame3"/>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29235" cy="175260"/>
                      <wp:effectExtent l="0" t="0" r="0" b="0"/>
                      <wp:wrapNone/>
                      <wp:docPr id="4" name="Frame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Large accelerated filer </w:t>
            </w:r>
          </w:p>
        </w:tc>
        <w:tc>
          <w:tcPr>
            <w:tcW w:w="316" w:type="dxa"/>
            <w:tcBorders/>
            <w:vAlign w:val="center"/>
          </w:tcPr>
          <w:p>
            <w:pPr>
              <w:pStyle w:val="TableContents"/>
              <w:bidi w:val="0"/>
              <w:spacing w:before="0" w:after="0"/>
              <w:ind w:left="0" w:right="0" w:hanging="0"/>
              <w:jc w:val="both"/>
              <w:rPr/>
            </w:pPr>
            <w:r>
              <w:rPr/>
              <w:t>☐</w:t>
            </w:r>
          </w:p>
        </w:tc>
        <w:tc>
          <w:tcPr>
            <w:tcW w:w="26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Accelerated filer</w:t>
            </w:r>
          </w:p>
        </w:tc>
        <w:tc>
          <w:tcPr>
            <w:tcW w:w="361" w:type="dxa"/>
            <w:tcBorders/>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Non-accelerated filer</w:t>
            </w:r>
            <w:r>
              <w:rPr>
                <w:rFonts w:ascii="Times New Roman;Times;serif" w:hAnsi="Times New Roman;Times;serif"/>
                <w:sz w:val="20"/>
              </w:rPr>
              <w:t xml:space="preserve"> </w:t>
            </w:r>
          </w:p>
        </w:tc>
        <w:tc>
          <w:tcPr>
            <w:tcW w:w="316" w:type="dxa"/>
            <w:tcBorders/>
            <w:vAlign w:val="center"/>
          </w:tcPr>
          <w:p>
            <w:pPr>
              <w:pStyle w:val="TableContents"/>
              <w:bidi w:val="0"/>
              <w:spacing w:before="0" w:after="0"/>
              <w:ind w:left="0" w:right="0" w:hanging="0"/>
              <w:jc w:val="both"/>
              <w:rPr/>
            </w:pPr>
            <w:r>
              <w:rPr/>
              <w:t>☒</w:t>
            </w:r>
          </w:p>
        </w:tc>
        <w:tc>
          <w:tcPr>
            <w:tcW w:w="2626" w:type="dxa"/>
            <w:tcBorders/>
            <w:vAlign w:val="center"/>
          </w:tcPr>
          <w:p>
            <w:pPr>
              <w:pStyle w:val="TableContents"/>
              <w:bidi w:val="0"/>
              <w:spacing w:before="0" w:after="0"/>
              <w:ind w:left="0" w:right="0" w:hanging="0"/>
              <w:jc w:val="right"/>
              <w:rPr/>
            </w:pPr>
            <w:r>
              <w:rPr/>
              <w:t>  ​</w:t>
            </w:r>
            <w:r>
              <w:rPr>
                <w:rFonts w:ascii="Times New Roman;Times;serif" w:hAnsi="Times New Roman;Times;serif"/>
                <w:b/>
                <w:sz w:val="20"/>
              </w:rPr>
              <w:t xml:space="preserve">Smaller reporting company </w:t>
            </w:r>
          </w:p>
        </w:tc>
        <w:tc>
          <w:tcPr>
            <w:tcW w:w="361" w:type="dxa"/>
            <w:tcBorders/>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Emerging growth company  </w:t>
            </w:r>
          </w:p>
        </w:tc>
        <w:tc>
          <w:tcPr>
            <w:tcW w:w="316" w:type="dxa"/>
            <w:tcBorders/>
            <w:vAlign w:val="center"/>
          </w:tcPr>
          <w:p>
            <w:pPr>
              <w:pStyle w:val="TableContents"/>
              <w:bidi w:val="0"/>
              <w:spacing w:before="0" w:after="0"/>
              <w:ind w:left="0" w:right="0" w:hanging="0"/>
              <w:jc w:val="both"/>
              <w:rPr/>
            </w:pPr>
            <w:r>
              <w:rPr/>
              <w:t>☐</w:t>
            </w:r>
          </w:p>
        </w:tc>
        <w:tc>
          <w:tcPr>
            <w:tcW w:w="2626" w:type="dxa"/>
            <w:tcBorders/>
            <w:vAlign w:val="center"/>
          </w:tcPr>
          <w:p>
            <w:pPr>
              <w:pStyle w:val="TableContents"/>
              <w:bidi w:val="0"/>
              <w:spacing w:before="0" w:after="240"/>
              <w:ind w:left="0" w:right="0" w:hanging="0"/>
              <w:jc w:val="right"/>
              <w:rPr/>
            </w:pPr>
            <w:r>
              <w:rPr/>
              <w:t>​</w:t>
            </w:r>
          </w:p>
        </w:tc>
        <w:tc>
          <w:tcPr>
            <w:tcW w:w="361" w:type="dxa"/>
            <w:tcBorders/>
            <w:vAlign w:val="center"/>
          </w:tcPr>
          <w:p>
            <w:pPr>
              <w:pStyle w:val="TableContents"/>
              <w:bidi w:val="0"/>
              <w:spacing w:before="0" w:after="240"/>
              <w:ind w:left="0" w:right="0" w:hanging="0"/>
              <w:jc w:val="right"/>
              <w:rPr/>
            </w:pPr>
            <w:r>
              <w:rPr/>
              <w:t>​</w:t>
            </w:r>
          </w:p>
        </w:tc>
      </w:tr>
    </w:tbl>
    <w:p>
      <w:pPr>
        <w:pStyle w:val="TextBody"/>
        <w:bidi w:val="0"/>
        <w:spacing w:before="0" w:after="240"/>
        <w:ind w:left="0" w:right="0" w:hanging="0"/>
        <w:jc w:val="both"/>
        <w:rPr/>
      </w:pPr>
      <w:r>
        <w:rPr/>
        <w:t>​</w:t>
      </w:r>
    </w:p>
    <w:p>
      <w:pPr>
        <w:pStyle w:val="TextBody"/>
        <w:bidi w:val="0"/>
        <w:spacing w:before="0" w:after="140"/>
        <w:ind w:left="0" w:right="0" w:hanging="0"/>
        <w:jc w:val="both"/>
        <w:rPr>
          <w:rFonts w:ascii="Times New Roman;Times;serif" w:hAnsi="Times New Roman;Times;serif"/>
          <w:sz w:val="18"/>
        </w:rPr>
      </w:pPr>
      <w:r>
        <w:rPr>
          <w:rFonts w:ascii="Times New Roman;Times;serif" w:hAnsi="Times New Roman;Times;serif"/>
          <w:b/>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8"/>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b/>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b/>
          <w:sz w:val="18"/>
        </w:rPr>
        <w:t>No  </w:t>
      </w:r>
      <w:r>
        <w:rPr>
          <w:rFonts w:ascii="Times New Roman;Times;serif" w:hAnsi="Times New Roman;Times;serif"/>
          <w:sz w:val="20"/>
        </w:rPr>
        <w:t>☒</w:t>
      </w:r>
      <w:r>
        <w:rPr>
          <w:rFonts w:ascii="Times New Roman;Times;serif" w:hAnsi="Times New Roman;Times;serif"/>
          <w:b/>
          <w:sz w:val="18"/>
        </w:rPr>
        <w:t>.</w:t>
      </w:r>
    </w:p>
    <w:p>
      <w:pPr>
        <w:pStyle w:val="TextBody"/>
        <w:bidi w:val="0"/>
        <w:spacing w:before="0" w:after="140"/>
        <w:ind w:left="0" w:right="0" w:hanging="0"/>
        <w:jc w:val="both"/>
        <w:rPr>
          <w:rFonts w:ascii="Times New Roman;Times;serif" w:hAnsi="Times New Roman;Times;serif"/>
          <w:sz w:val="18"/>
        </w:rPr>
      </w:pPr>
      <w:r>
        <w:rPr>
          <w:rFonts w:ascii="Times New Roman;Times;serif" w:hAnsi="Times New Roman;Times;serif"/>
          <w:b/>
          <w:sz w:val="18"/>
        </w:rPr>
        <w:t>As of April 30, 2026, the registrant had 12,323,057</w:t>
      </w:r>
      <w:r>
        <w:rPr>
          <w:rFonts w:ascii="Times New Roman;Times;serif" w:hAnsi="Times New Roman;Times;serif"/>
          <w:sz w:val="18"/>
        </w:rPr>
        <w:t xml:space="preserve"> </w:t>
      </w:r>
      <w:r>
        <w:rPr>
          <w:rFonts w:ascii="Times New Roman;Times;serif" w:hAnsi="Times New Roman;Times;serif"/>
          <w:b/>
          <w:sz w:val="18"/>
        </w:rPr>
        <w:t>shares of Class A common stock, $.01 par value per share, outstanding.</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lineRule="atLeast" w:line="142"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5" w:name="_9ae362f4_a56b_45cf_a759_2cad1b09e9be"/>
      <w:bookmarkEnd w:id="35"/>
      <w:r>
        <w:rPr>
          <w:rFonts w:ascii="Times New Roman;Times;serif" w:hAnsi="Times New Roman;Times;serif"/>
          <w:b/>
          <w:sz w:val="20"/>
        </w:rPr>
        <w:t>COMPX INTERNATIONAL INC.</w:t>
      </w:r>
    </w:p>
    <w:p>
      <w:pPr>
        <w:pStyle w:val="TextBody"/>
        <w:bidi w:val="0"/>
        <w:spacing w:before="0" w:after="0"/>
        <w:ind w:left="0" w:right="0" w:hanging="0"/>
        <w:jc w:val="center"/>
        <w:rPr>
          <w:rFonts w:ascii="Times New Roman;Times;serif" w:hAnsi="Times New Roman;Times;serif"/>
          <w:b/>
          <w:sz w:val="20"/>
        </w:rPr>
      </w:pPr>
      <w:bookmarkStart w:id="36" w:name="TOC"/>
      <w:bookmarkEnd w:id="36"/>
      <w:r>
        <w:rPr>
          <w:rFonts w:ascii="Times New Roman;Times;serif" w:hAnsi="Times New Roman;Times;serif"/>
          <w:b/>
          <w:sz w:val="20"/>
        </w:rPr>
        <w:t>Index</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11"/>
        <w:gridCol w:w="346"/>
        <w:gridCol w:w="8488"/>
        <w:gridCol w:w="560"/>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14985" cy="175260"/>
                      <wp:effectExtent l="0" t="0" r="0" b="0"/>
                      <wp:wrapNone/>
                      <wp:docPr id="5" name="Frame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389880" cy="175260"/>
                      <wp:effectExtent l="0" t="0" r="0" b="0"/>
                      <wp:wrapNone/>
                      <wp:docPr id="7" name="Frame7"/>
                      <a:graphic xmlns:a="http://schemas.openxmlformats.org/drawingml/2006/main">
                        <a:graphicData uri="http://schemas.microsoft.com/office/word/2010/wordprocessingShape">
                          <wps:wsp>
                            <wps:cNvSpPr txBox="1"/>
                            <wps:spPr>
                              <a:xfrm>
                                <a:off x="0" y="0"/>
                                <a:ext cx="5389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55600" cy="175260"/>
                      <wp:effectExtent l="0" t="0" r="0" b="0"/>
                      <wp:wrapNone/>
                      <wp:docPr id="8" name="Frame8"/>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488" w:type="dxa"/>
            <w:tcBorders/>
            <w:vAlign w:val="center"/>
          </w:tcPr>
          <w:p>
            <w:pPr>
              <w:pStyle w:val="TableContents"/>
              <w:bidi w:val="0"/>
              <w:spacing w:before="0" w:after="0"/>
              <w:ind w:left="0" w:right="0" w:hanging="0"/>
              <w:jc w:val="left"/>
              <w:rPr/>
            </w:pPr>
            <w:r>
              <w:rPr/>
              <w:t>​</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1" w:type="dxa"/>
            <w:tcBorders/>
            <w:vAlign w:val="center"/>
          </w:tcPr>
          <w:p>
            <w:pPr>
              <w:pStyle w:val="TableContents"/>
              <w:bidi w:val="0"/>
              <w:spacing w:before="0" w:after="20"/>
              <w:ind w:left="0" w:right="0" w:hanging="0"/>
              <w:jc w:val="left"/>
              <w:rPr>
                <w:rFonts w:ascii="Times New Roman;Times;serif" w:hAnsi="Times New Roman;Times;serif"/>
                <w:b/>
                <w:sz w:val="20"/>
              </w:rPr>
            </w:pPr>
            <w:r>
              <w:rPr>
                <w:rFonts w:ascii="Times New Roman;Times;serif" w:hAnsi="Times New Roman;Times;serif"/>
                <w:b/>
                <w:sz w:val="20"/>
              </w:rPr>
              <w:t>Part I.</w:t>
            </w:r>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INFORMATION</w:t>
            </w:r>
          </w:p>
        </w:tc>
        <w:tc>
          <w:tcPr>
            <w:tcW w:w="560"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pBdr/>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c>
          <w:tcPr>
            <w:tcW w:w="560"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pBdr/>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pBdr/>
              <w:bidi w:val="0"/>
              <w:spacing w:before="0" w:after="0"/>
              <w:ind w:left="0" w:right="0" w:hanging="0"/>
              <w:jc w:val="left"/>
              <w:rPr/>
            </w:pPr>
            <w:hyperlink w:anchor="CONDENSEDCONSOLIDATEDBALANCESHEETS_68281">
              <w:r>
                <w:rPr>
                  <w:rStyle w:val="InternetLink"/>
                  <w:rFonts w:ascii="Times New Roman;Times;serif" w:hAnsi="Times New Roman;Times;serif"/>
                  <w:b w:val="false"/>
                  <w:i w:val="false"/>
                  <w:caps w:val="false"/>
                  <w:smallCaps w:val="false"/>
                  <w:sz w:val="20"/>
                </w:rPr>
                <w:t>Condensed Consolidated Balance Sheets – December 31, 2025 and March 31, 2026 (unaudited)</w:t>
              </w:r>
            </w:hyperlink>
          </w:p>
        </w:tc>
        <w:tc>
          <w:tcPr>
            <w:tcW w:w="5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- 3 -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pBdr/>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pBdr/>
              <w:bidi w:val="0"/>
              <w:spacing w:before="0" w:after="0"/>
              <w:ind w:left="0" w:right="0" w:hanging="0"/>
              <w:jc w:val="left"/>
              <w:rPr/>
            </w:pPr>
            <w:hyperlink w:anchor="CONDENSEDCONSOLIDATEDSTATEMENTSOFINCOME_">
              <w:r>
                <w:rPr>
                  <w:rStyle w:val="InternetLink"/>
                  <w:rFonts w:ascii="Times New Roman;Times;serif" w:hAnsi="Times New Roman;Times;serif"/>
                  <w:b w:val="false"/>
                  <w:i w:val="false"/>
                  <w:caps w:val="false"/>
                  <w:smallCaps w:val="false"/>
                  <w:sz w:val="20"/>
                </w:rPr>
                <w:t>Condensed Consolidated Statements of Income (unaudited) – Three months ended March 31, 2025 and 2026</w:t>
              </w:r>
            </w:hyperlink>
            <w:r>
              <w:rPr>
                <w:rFonts w:ascii="Times New Roman;Times;serif" w:hAnsi="Times New Roman;Times;serif"/>
                <w:sz w:val="20"/>
              </w:rPr>
              <w:t xml:space="preserve"> </w:t>
            </w:r>
          </w:p>
        </w:tc>
        <w:tc>
          <w:tcPr>
            <w:tcW w:w="5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- 4 -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pBdr/>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pBdr/>
              <w:bidi w:val="0"/>
              <w:spacing w:before="0" w:after="0"/>
              <w:ind w:left="0" w:right="0" w:hanging="0"/>
              <w:jc w:val="left"/>
              <w:rPr/>
            </w:pPr>
            <w:hyperlink w:anchor="CONDENSEDCONSOLIDATEDSTATEMENTOFEQUITY">
              <w:r>
                <w:rPr>
                  <w:rStyle w:val="InternetLink"/>
                  <w:rFonts w:ascii="Times New Roman;Times;serif" w:hAnsi="Times New Roman;Times;serif"/>
                  <w:b w:val="false"/>
                  <w:i w:val="false"/>
                  <w:caps w:val="false"/>
                  <w:smallCaps w:val="false"/>
                  <w:sz w:val="20"/>
                </w:rPr>
                <w:t xml:space="preserve">Condensed Consolidated Statements of Stockholders’ Equity (unaudited) – Three months ended </w:t>
              </w:r>
            </w:hyperlink>
            <w:r>
              <w:rPr>
                <w:rFonts w:ascii="Times New Roman;Times;serif" w:hAnsi="Times New Roman;Times;serif"/>
                <w:sz w:val="20"/>
              </w:rPr>
              <w:t xml:space="preserve">March 31, 2025 and 2026 </w:t>
            </w:r>
          </w:p>
        </w:tc>
        <w:tc>
          <w:tcPr>
            <w:tcW w:w="5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- 5 -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pBdr/>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pBdr/>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 xml:space="preserve">Condensed Consolidated Statements of Cash Flows (unaudited) –Three months ended March 31, 2025 and 2026 </w:t>
              </w:r>
            </w:hyperlink>
          </w:p>
        </w:tc>
        <w:tc>
          <w:tcPr>
            <w:tcW w:w="5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- 6 -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pBdr/>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pBdr/>
              <w:bidi w:val="0"/>
              <w:spacing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- 7 -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pBdr/>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2MANAGEMENTSDISCUSSIONANDANALYSIS_62">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pBdr/>
              <w:bidi w:val="0"/>
              <w:spacing w:before="0" w:after="0"/>
              <w:ind w:left="0" w:right="0" w:hanging="0"/>
              <w:jc w:val="left"/>
              <w:rPr/>
            </w:pPr>
            <w:hyperlink w:anchor="ITEM2MANAGEMENTSDISCUSSIONANDANALYSIS_6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- 11 -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pBdr/>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3QUANTITATIVEANDQUALITATIVE_461712">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pBdr/>
              <w:bidi w:val="0"/>
              <w:spacing w:before="0" w:after="0"/>
              <w:ind w:left="0" w:right="0" w:hanging="0"/>
              <w:jc w:val="left"/>
              <w:rPr/>
            </w:pPr>
            <w:hyperlink w:anchor="ITEM3QUANTITATIVEANDQUALITATIVE_46171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- 17 -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pBdr/>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4CONTROLSANDPROCEDURES_115866">
              <w:r>
                <w:rPr>
                  <w:rStyle w:val="InternetLink"/>
                  <w:rFonts w:ascii="Times New Roman;Times;serif" w:hAnsi="Times New Roman;Times;serif"/>
                  <w:b w:val="false"/>
                  <w:i w:val="false"/>
                  <w:caps w:val="false"/>
                  <w:smallCaps w:val="false"/>
                  <w:sz w:val="20"/>
                </w:rPr>
                <w:t>Item 4.</w:t>
              </w:r>
            </w:hyperlink>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pBdr/>
              <w:bidi w:val="0"/>
              <w:spacing w:before="0" w:after="0"/>
              <w:ind w:left="0" w:right="0" w:hanging="0"/>
              <w:jc w:val="left"/>
              <w:rPr/>
            </w:pPr>
            <w:hyperlink w:anchor="ITEM4CONTROLSANDPROCEDURES_115866">
              <w:r>
                <w:rPr>
                  <w:rStyle w:val="InternetLink"/>
                  <w:rFonts w:ascii="Times New Roman;Times;serif" w:hAnsi="Times New Roman;Times;serif"/>
                  <w:b w:val="false"/>
                  <w:i w:val="false"/>
                  <w:caps w:val="false"/>
                  <w:smallCaps w:val="false"/>
                  <w:sz w:val="20"/>
                </w:rPr>
                <w:t>Controls and Procedures</w:t>
              </w:r>
            </w:hyperlink>
          </w:p>
        </w:tc>
        <w:tc>
          <w:tcPr>
            <w:tcW w:w="5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- 17 -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pBdr/>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PartIIOTHERINFORMATION_828529">
              <w:r>
                <w:rPr>
                  <w:rStyle w:val="InternetLink"/>
                  <w:rFonts w:ascii="Times New Roman;Times;serif" w:hAnsi="Times New Roman;Times;serif"/>
                  <w:b/>
                  <w:i w:val="false"/>
                  <w:caps w:val="false"/>
                  <w:smallCaps w:val="false"/>
                  <w:sz w:val="20"/>
                </w:rPr>
                <w:t>Part II.</w:t>
              </w:r>
            </w:hyperlink>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pBdr/>
              <w:bidi w:val="0"/>
              <w:spacing w:before="0" w:after="0"/>
              <w:ind w:left="0" w:right="0" w:hanging="0"/>
              <w:jc w:val="left"/>
              <w:rPr/>
            </w:pPr>
            <w:hyperlink w:anchor="PartIIOTHERINFORMATION_828529">
              <w:r>
                <w:rPr>
                  <w:rStyle w:val="InternetLink"/>
                  <w:rFonts w:ascii="Times New Roman;Times;serif" w:hAnsi="Times New Roman;Times;serif"/>
                  <w:b/>
                  <w:i w:val="false"/>
                  <w:caps w:val="false"/>
                  <w:smallCaps w:val="false"/>
                  <w:sz w:val="20"/>
                </w:rPr>
                <w:t>OTHER INFORMATION</w:t>
              </w:r>
            </w:hyperlink>
          </w:p>
        </w:tc>
        <w:tc>
          <w:tcPr>
            <w:tcW w:w="560"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pBdr/>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Item 1.</w:t>
              </w:r>
            </w:hyperlink>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pBdr/>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Legal Proceedings</w:t>
              </w:r>
            </w:hyperlink>
          </w:p>
        </w:tc>
        <w:tc>
          <w:tcPr>
            <w:tcW w:w="5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- 18 -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pBdr/>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1ARiskFactors_841388">
              <w:r>
                <w:rPr>
                  <w:rStyle w:val="InternetLink"/>
                  <w:rFonts w:ascii="Times New Roman;Times;serif" w:hAnsi="Times New Roman;Times;serif"/>
                  <w:b w:val="false"/>
                  <w:i w:val="false"/>
                  <w:caps w:val="false"/>
                  <w:smallCaps w:val="false"/>
                  <w:sz w:val="20"/>
                </w:rPr>
                <w:t>Item 1A.</w:t>
              </w:r>
            </w:hyperlink>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pBdr/>
              <w:bidi w:val="0"/>
              <w:spacing w:before="0" w:after="0"/>
              <w:ind w:left="0" w:right="0" w:hanging="0"/>
              <w:jc w:val="left"/>
              <w:rPr/>
            </w:pPr>
            <w:hyperlink w:anchor="ITEM1ARiskFactors_841388">
              <w:r>
                <w:rPr>
                  <w:rStyle w:val="InternetLink"/>
                  <w:rFonts w:ascii="Times New Roman;Times;serif" w:hAnsi="Times New Roman;Times;serif"/>
                  <w:b w:val="false"/>
                  <w:i w:val="false"/>
                  <w:caps w:val="false"/>
                  <w:smallCaps w:val="false"/>
                  <w:sz w:val="20"/>
                </w:rPr>
                <w:t>Risk Factors</w:t>
              </w:r>
            </w:hyperlink>
          </w:p>
        </w:tc>
        <w:tc>
          <w:tcPr>
            <w:tcW w:w="5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- 18 -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pBdr/>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6Exhibits_812943">
              <w:r>
                <w:rPr>
                  <w:rStyle w:val="InternetLink"/>
                  <w:rFonts w:ascii="Times New Roman;Times;serif" w:hAnsi="Times New Roman;Times;serif"/>
                  <w:b w:val="false"/>
                  <w:i w:val="false"/>
                  <w:caps w:val="false"/>
                  <w:smallCaps w:val="false"/>
                  <w:sz w:val="20"/>
                </w:rPr>
                <w:t>Item 6.</w:t>
              </w:r>
            </w:hyperlink>
          </w:p>
        </w:tc>
        <w:tc>
          <w:tcPr>
            <w:tcW w:w="346" w:type="dxa"/>
            <w:tcBorders/>
            <w:vAlign w:val="center"/>
          </w:tcPr>
          <w:p>
            <w:pPr>
              <w:pStyle w:val="TableContents"/>
              <w:bidi w:val="0"/>
              <w:spacing w:before="0" w:after="0"/>
              <w:ind w:left="0" w:right="0" w:hanging="0"/>
              <w:jc w:val="left"/>
              <w:rPr/>
            </w:pPr>
            <w:r>
              <w:rPr/>
              <w:t>​</w:t>
            </w:r>
          </w:p>
        </w:tc>
        <w:tc>
          <w:tcPr>
            <w:tcW w:w="8488" w:type="dxa"/>
            <w:tcBorders/>
            <w:vAlign w:val="center"/>
          </w:tcPr>
          <w:p>
            <w:pPr>
              <w:pStyle w:val="TableContents"/>
              <w:pBdr/>
              <w:bidi w:val="0"/>
              <w:spacing w:before="0" w:after="0"/>
              <w:ind w:left="0" w:right="0" w:hanging="0"/>
              <w:jc w:val="left"/>
              <w:rPr/>
            </w:pPr>
            <w:hyperlink w:anchor="ITEM6Exhibits_812943">
              <w:r>
                <w:rPr>
                  <w:rStyle w:val="InternetLink"/>
                  <w:rFonts w:ascii="Times New Roman;Times;serif" w:hAnsi="Times New Roman;Times;serif"/>
                  <w:b w:val="false"/>
                  <w:i w:val="false"/>
                  <w:caps w:val="false"/>
                  <w:smallCaps w:val="false"/>
                  <w:sz w:val="20"/>
                </w:rPr>
                <w:t>Exhibits</w:t>
              </w:r>
            </w:hyperlink>
          </w:p>
        </w:tc>
        <w:tc>
          <w:tcPr>
            <w:tcW w:w="5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- 18 -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Items 2, 3, 4 and 5 of Part II are omitted because there is no information to report.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bookmarkStart w:id="37" w:name="_39a3728b_6ff4_48b2_a7e9_3a9533f89144"/>
      <w:bookmarkEnd w:id="37"/>
      <w:r>
        <w:rPr>
          <w:rFonts w:ascii="Times New Roman;Times;serif" w:hAnsi="Times New Roman;Times;serif"/>
          <w:b/>
          <w:sz w:val="20"/>
        </w:rPr>
        <w:t>COMPX INTERNATIONAL INC.</w:t>
      </w:r>
    </w:p>
    <w:p>
      <w:pPr>
        <w:pStyle w:val="TextBody"/>
        <w:bidi w:val="0"/>
        <w:spacing w:before="0" w:after="60"/>
        <w:ind w:left="0" w:right="0" w:hanging="0"/>
        <w:jc w:val="center"/>
        <w:rPr>
          <w:rFonts w:ascii="Times New Roman;Times;serif" w:hAnsi="Times New Roman;Times;serif"/>
          <w:b/>
          <w:sz w:val="20"/>
        </w:rPr>
      </w:pPr>
      <w:bookmarkStart w:id="38" w:name="CONDENSEDCONSOLIDATEDBALANCESHEETS_68281"/>
      <w:bookmarkEnd w:id="38"/>
      <w:r>
        <w:rPr>
          <w:rFonts w:ascii="Times New Roman;Times;serif" w:hAnsi="Times New Roman;Times;serif"/>
          <w:b/>
          <w:sz w:val="20"/>
        </w:rPr>
        <w:t>CONDENSED CONSOLIDATED BALANCE SHEETS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39" w:name="Tc_JLVNo9MoaEu_VfMsNCqsoA_47_5"/>
      <w:bookmarkStart w:id="40" w:name="Tc_dJi9xzjicU-2nWx9MtySVA_47_2"/>
      <w:bookmarkStart w:id="41" w:name="Tc_ueGec_zaNEGWtX9FXjgRhQ_47_0"/>
      <w:bookmarkStart w:id="42" w:name="Tc_OpVt9lx9CkKJx5OJ81TzMQ_46_0"/>
      <w:bookmarkStart w:id="43" w:name="Tc_KRodJ_sj20eeViYfvm2Dlw_45_0"/>
      <w:bookmarkStart w:id="44" w:name="Tc_KZC0hooHbUyeMrOIfB-1Fg_44_0"/>
      <w:bookmarkStart w:id="45" w:name="Tc_IsJ1XjQsDEe3qJo9va79cQ_43_0"/>
      <w:bookmarkStart w:id="46" w:name="Tc_4JLBcQZ1s0O8Wqr7H3VgVw_42_0"/>
      <w:bookmarkStart w:id="47" w:name="Tc_KgpriYKQHUGLGtaRdcjTqA_41_0"/>
      <w:bookmarkStart w:id="48" w:name="Tc_heuQx0P1_kKDNljRe4gXCw_39_0"/>
      <w:bookmarkStart w:id="49" w:name="Tc_pt9ajQ4-30qRLvQqi7Cuog_38_0"/>
      <w:bookmarkStart w:id="50" w:name="Tc_APEOrjAppUyLCYmxAoDfAQ_37_3"/>
      <w:bookmarkStart w:id="51" w:name="Tc__7hlBMgZ1kCMbAykjCEgmw_37_0"/>
      <w:bookmarkStart w:id="52" w:name="Tc_NhW7BSaEgkuGgLis3-DQZA_36_0"/>
      <w:bookmarkStart w:id="53" w:name="Tc_tHJgYVkZI027VMI1AbbwNQ_35_0"/>
      <w:bookmarkStart w:id="54" w:name="Tc_dmEP0MBvgUOotNLAjrdtRQ_33_0"/>
      <w:bookmarkStart w:id="55" w:name="Tc_tJ_kRDyTn022KTmFmBFUNA_32_0"/>
      <w:bookmarkStart w:id="56" w:name="Tc_kjVn5ceeX060P5nAnCk9pQ_31_3"/>
      <w:bookmarkStart w:id="57" w:name="Tc_XkfU8DIzNE-vSSAw-lgl0w_31_0"/>
      <w:bookmarkStart w:id="58" w:name="Tc_syH3KnxKJUCkS5Ee5mXTFw_30_5"/>
      <w:bookmarkStart w:id="59" w:name="Tc_bp3ECz12XUGhbQlUsZHW1g_30_2"/>
      <w:bookmarkStart w:id="60" w:name="Tc_LeS5E5ffkUyAd6pgAAv67A_30_0"/>
      <w:bookmarkStart w:id="61" w:name="Tc_IzLikz0Vykq_JqwdLIJFwg_29_0"/>
      <w:bookmarkStart w:id="62" w:name="Tc_33TS7PRgqUyqKva3eaaxHg_28_0"/>
      <w:bookmarkStart w:id="63" w:name="Tc_lLhKItyZ3ESB5EyPTG_clQ_26_5"/>
      <w:bookmarkStart w:id="64" w:name="Tc_WIDsPhoGCUCA0NulSjc3HA_26_2"/>
      <w:bookmarkStart w:id="65" w:name="Tc_9nruYMyLKUCJg9Glczkh6Q_26_0"/>
      <w:bookmarkStart w:id="66" w:name="Tc_IjRSUYXc70iwSwSepElbzg_25_0"/>
      <w:bookmarkStart w:id="67" w:name="Tc_gS8gsU0HK06xlvv8WBR78Q_24_0"/>
      <w:bookmarkStart w:id="68" w:name="Tc_ZhPceGJxSkmql_wqXg7sFQ_22_0"/>
      <w:bookmarkStart w:id="69" w:name="Tc_SD9mTtNMQUSDISHR7K28lw_21_0"/>
      <w:bookmarkStart w:id="70" w:name="Tc_89rpqWFMwUCOYAoOcm5fgw_20_0"/>
      <w:bookmarkStart w:id="71" w:name="Tc_kMDuqMd1A0GG84rKwp6-QQ_19_0"/>
      <w:bookmarkStart w:id="72" w:name="Tc_J7PZseTuqkuJmEnpa0wKEg_18_0"/>
      <w:bookmarkStart w:id="73" w:name="Tc_OyHzdTDDjUiTnpubt5wqAQ_16_0"/>
      <w:bookmarkStart w:id="74" w:name="Tc_65lKicc4q0eGFfaK-VIseA_15_0"/>
      <w:bookmarkStart w:id="75" w:name="Tc_o47CvHdsOE2Kw-Qu2O_2Gg_14_3"/>
      <w:bookmarkStart w:id="76" w:name="Tc_AtBidv-DJ0W0A6pE7jgJcQ_14_0"/>
      <w:bookmarkStart w:id="77" w:name="Tc_ewqEEzlSmUOBEtc0BPAs2A_13_0"/>
      <w:bookmarkStart w:id="78" w:name="Tc_y1xNLJgj906vk2HFtes8qQ_12_0"/>
      <w:bookmarkStart w:id="79" w:name="Tc_WlVd4FiENka7no-tiyQIzg_11_0"/>
      <w:bookmarkStart w:id="80" w:name="Tc_P5NiYKaN80y-PoVrmzVCSA_9_0"/>
      <w:bookmarkStart w:id="81" w:name="Tc_m7rkwbvH4ESuV2kF_jU03w_8_0"/>
      <w:bookmarkStart w:id="82" w:name="Tc_V-xcO3ddm0ymVNGR4Lt7Aw_7_0"/>
      <w:bookmarkStart w:id="83" w:name="Tc_DI7-RYlun02Enven7XJZZg_6_0"/>
      <w:bookmarkStart w:id="84" w:name="Tc_j3sjr9SFg0SP6p6skSRyLA_5_5"/>
      <w:bookmarkStart w:id="85" w:name="Tc_7mZtYEl1-EG3NqSCQ50hWg_5_2"/>
      <w:bookmarkStart w:id="86" w:name="Tc_YqQ8y3hjxEmlmL1ccqjyow_5_0"/>
      <w:bookmarkStart w:id="87" w:name="Tc_Ri5qCUvhVE-Xvk43Pt0--g_4_0"/>
      <w:bookmarkStart w:id="88" w:name="Tc_Q77t3ARvVk-3lA6fjkpqxg_3_5"/>
      <w:bookmarkStart w:id="89" w:name="Tc_OYwb_tESzEayAWQ4l_amFA_2_5"/>
      <w:bookmarkStart w:id="90" w:name="Tc_nwJsHV8eQEmC_Dko5TUkjw_2_2"/>
      <w:bookmarkStart w:id="91" w:name="Tc__S7Vrm1jRE-xxtuq-YNvVQ_2_0"/>
      <w:bookmarkStart w:id="92" w:name="Tc_Vo9q-CNNuk2_b264acgjxQ_1_5"/>
      <w:bookmarkStart w:id="93" w:name="Tc_49GpN4deY0WeWT0-YGA_Gw_1_2"/>
      <w:bookmarkStart w:id="94" w:name="_2c34fea5_ee40_4591_9eee_afce93baf5f9"/>
      <w:bookmarkStart w:id="95" w:name="Tc_JLVNo9MoaEu_VfMsNCqsoA_47_5"/>
      <w:bookmarkStart w:id="96" w:name="Tc_dJi9xzjicU-2nWx9MtySVA_47_2"/>
      <w:bookmarkStart w:id="97" w:name="Tc_ueGec_zaNEGWtX9FXjgRhQ_47_0"/>
      <w:bookmarkStart w:id="98" w:name="Tc_OpVt9lx9CkKJx5OJ81TzMQ_46_0"/>
      <w:bookmarkStart w:id="99" w:name="Tc_KRodJ_sj20eeViYfvm2Dlw_45_0"/>
      <w:bookmarkStart w:id="100" w:name="Tc_KZC0hooHbUyeMrOIfB-1Fg_44_0"/>
      <w:bookmarkStart w:id="101" w:name="Tc_IsJ1XjQsDEe3qJo9va79cQ_43_0"/>
      <w:bookmarkStart w:id="102" w:name="Tc_4JLBcQZ1s0O8Wqr7H3VgVw_42_0"/>
      <w:bookmarkStart w:id="103" w:name="Tc_KgpriYKQHUGLGtaRdcjTqA_41_0"/>
      <w:bookmarkStart w:id="104" w:name="Tc_heuQx0P1_kKDNljRe4gXCw_39_0"/>
      <w:bookmarkStart w:id="105" w:name="Tc_pt9ajQ4-30qRLvQqi7Cuog_38_0"/>
      <w:bookmarkStart w:id="106" w:name="Tc_APEOrjAppUyLCYmxAoDfAQ_37_3"/>
      <w:bookmarkStart w:id="107" w:name="Tc__7hlBMgZ1kCMbAykjCEgmw_37_0"/>
      <w:bookmarkStart w:id="108" w:name="Tc_NhW7BSaEgkuGgLis3-DQZA_36_0"/>
      <w:bookmarkStart w:id="109" w:name="Tc_tHJgYVkZI027VMI1AbbwNQ_35_0"/>
      <w:bookmarkStart w:id="110" w:name="Tc_dmEP0MBvgUOotNLAjrdtRQ_33_0"/>
      <w:bookmarkStart w:id="111" w:name="Tc_tJ_kRDyTn022KTmFmBFUNA_32_0"/>
      <w:bookmarkStart w:id="112" w:name="Tc_kjVn5ceeX060P5nAnCk9pQ_31_3"/>
      <w:bookmarkStart w:id="113" w:name="Tc_XkfU8DIzNE-vSSAw-lgl0w_31_0"/>
      <w:bookmarkStart w:id="114" w:name="Tc_syH3KnxKJUCkS5Ee5mXTFw_30_5"/>
      <w:bookmarkStart w:id="115" w:name="Tc_bp3ECz12XUGhbQlUsZHW1g_30_2"/>
      <w:bookmarkStart w:id="116" w:name="Tc_LeS5E5ffkUyAd6pgAAv67A_30_0"/>
      <w:bookmarkStart w:id="117" w:name="Tc_IzLikz0Vykq_JqwdLIJFwg_29_0"/>
      <w:bookmarkStart w:id="118" w:name="Tc_33TS7PRgqUyqKva3eaaxHg_28_0"/>
      <w:bookmarkStart w:id="119" w:name="Tc_lLhKItyZ3ESB5EyPTG_clQ_26_5"/>
      <w:bookmarkStart w:id="120" w:name="Tc_WIDsPhoGCUCA0NulSjc3HA_26_2"/>
      <w:bookmarkStart w:id="121" w:name="Tc_9nruYMyLKUCJg9Glczkh6Q_26_0"/>
      <w:bookmarkStart w:id="122" w:name="Tc_IjRSUYXc70iwSwSepElbzg_25_0"/>
      <w:bookmarkStart w:id="123" w:name="Tc_gS8gsU0HK06xlvv8WBR78Q_24_0"/>
      <w:bookmarkStart w:id="124" w:name="Tc_ZhPceGJxSkmql_wqXg7sFQ_22_0"/>
      <w:bookmarkStart w:id="125" w:name="Tc_SD9mTtNMQUSDISHR7K28lw_21_0"/>
      <w:bookmarkStart w:id="126" w:name="Tc_89rpqWFMwUCOYAoOcm5fgw_20_0"/>
      <w:bookmarkStart w:id="127" w:name="Tc_kMDuqMd1A0GG84rKwp6-QQ_19_0"/>
      <w:bookmarkStart w:id="128" w:name="Tc_J7PZseTuqkuJmEnpa0wKEg_18_0"/>
      <w:bookmarkStart w:id="129" w:name="Tc_OyHzdTDDjUiTnpubt5wqAQ_16_0"/>
      <w:bookmarkStart w:id="130" w:name="Tc_65lKicc4q0eGFfaK-VIseA_15_0"/>
      <w:bookmarkStart w:id="131" w:name="Tc_o47CvHdsOE2Kw-Qu2O_2Gg_14_3"/>
      <w:bookmarkStart w:id="132" w:name="Tc_AtBidv-DJ0W0A6pE7jgJcQ_14_0"/>
      <w:bookmarkStart w:id="133" w:name="Tc_ewqEEzlSmUOBEtc0BPAs2A_13_0"/>
      <w:bookmarkStart w:id="134" w:name="Tc_y1xNLJgj906vk2HFtes8qQ_12_0"/>
      <w:bookmarkStart w:id="135" w:name="Tc_WlVd4FiENka7no-tiyQIzg_11_0"/>
      <w:bookmarkStart w:id="136" w:name="Tc_P5NiYKaN80y-PoVrmzVCSA_9_0"/>
      <w:bookmarkStart w:id="137" w:name="Tc_m7rkwbvH4ESuV2kF_jU03w_8_0"/>
      <w:bookmarkStart w:id="138" w:name="Tc_V-xcO3ddm0ymVNGR4Lt7Aw_7_0"/>
      <w:bookmarkStart w:id="139" w:name="Tc_DI7-RYlun02Enven7XJZZg_6_0"/>
      <w:bookmarkStart w:id="140" w:name="Tc_j3sjr9SFg0SP6p6skSRyLA_5_5"/>
      <w:bookmarkStart w:id="141" w:name="Tc_7mZtYEl1-EG3NqSCQ50hWg_5_2"/>
      <w:bookmarkStart w:id="142" w:name="Tc_YqQ8y3hjxEmlmL1ccqjyow_5_0"/>
      <w:bookmarkStart w:id="143" w:name="Tc_Ri5qCUvhVE-Xvk43Pt0--g_4_0"/>
      <w:bookmarkStart w:id="144" w:name="Tc_Q77t3ARvVk-3lA6fjkpqxg_3_5"/>
      <w:bookmarkStart w:id="145" w:name="Tc_OYwb_tESzEayAWQ4l_amFA_2_5"/>
      <w:bookmarkStart w:id="146" w:name="Tc_nwJsHV8eQEmC_Dko5TUkjw_2_2"/>
      <w:bookmarkStart w:id="147" w:name="Tc__S7Vrm1jRE-xxtuq-YNvVQ_2_0"/>
      <w:bookmarkStart w:id="148" w:name="Tc_Vo9q-CNNuk2_b264acgjxQ_1_5"/>
      <w:bookmarkStart w:id="149" w:name="Tc_49GpN4deY0WeWT0-YGA_Gw_1_2"/>
      <w:bookmarkStart w:id="150" w:name="_2c34fea5_ee40_4591_9eee_afce93baf5f9"/>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tbl>
      <w:tblPr>
        <w:tblW w:w="6991" w:type="dxa"/>
        <w:jc w:val="left"/>
        <w:tblInd w:w="0" w:type="dxa"/>
        <w:tblLayout w:type="fixed"/>
        <w:tblCellMar>
          <w:top w:w="0" w:type="dxa"/>
          <w:left w:w="0" w:type="dxa"/>
          <w:bottom w:w="0" w:type="dxa"/>
          <w:right w:w="0" w:type="dxa"/>
        </w:tblCellMar>
      </w:tblPr>
      <w:tblGrid>
        <w:gridCol w:w="4321"/>
        <w:gridCol w:w="146"/>
        <w:gridCol w:w="277"/>
        <w:gridCol w:w="1028"/>
        <w:gridCol w:w="109"/>
        <w:gridCol w:w="213"/>
        <w:gridCol w:w="897"/>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743835" cy="175260"/>
                      <wp:effectExtent l="0" t="0" r="0" b="0"/>
                      <wp:wrapNone/>
                      <wp:docPr id="9" name="Frame9"/>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92710" cy="175260"/>
                      <wp:effectExtent l="0" t="0" r="0" b="0"/>
                      <wp:wrapNone/>
                      <wp:docPr id="10" name="Frame1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75895" cy="175260"/>
                      <wp:effectExtent l="0" t="0" r="0" b="0"/>
                      <wp:wrapNone/>
                      <wp:docPr id="11" name="Frame11"/>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52780" cy="175260"/>
                      <wp:effectExtent l="0" t="0" r="0" b="0"/>
                      <wp:wrapNone/>
                      <wp:docPr id="12" name="Frame12"/>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175260"/>
                      <wp:effectExtent l="0" t="0" r="0" b="0"/>
                      <wp:wrapNone/>
                      <wp:docPr id="13" name="Frame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5255" cy="175260"/>
                      <wp:effectExtent l="0" t="0" r="0" b="0"/>
                      <wp:wrapNone/>
                      <wp:docPr id="14" name="Frame14"/>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69595" cy="175260"/>
                      <wp:effectExtent l="0" t="0" r="0" b="0"/>
                      <wp:wrapNone/>
                      <wp:docPr id="15" name="Frame15"/>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109"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43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46" w:type="dxa"/>
            <w:tcBorders/>
            <w:vAlign w:val="center"/>
          </w:tcPr>
          <w:p>
            <w:pPr>
              <w:pStyle w:val="TableContents"/>
              <w:bidi w:val="0"/>
              <w:spacing w:before="0" w:after="1"/>
              <w:ind w:left="0" w:right="0" w:hanging="0"/>
              <w:jc w:val="center"/>
              <w:rPr/>
            </w:pPr>
            <w:r>
              <w:rPr/>
              <w:t>​</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1"/>
              <w:ind w:left="0" w:right="0" w:hanging="0"/>
              <w:jc w:val="center"/>
              <w:rPr/>
            </w:pPr>
            <w:r>
              <w:rPr/>
              <w:t>​</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32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277" w:type="dxa"/>
            <w:tcBorders/>
            <w:vAlign w:val="center"/>
          </w:tcPr>
          <w:p>
            <w:pPr>
              <w:pStyle w:val="TableContents"/>
              <w:bidi w:val="0"/>
              <w:spacing w:before="0" w:after="1"/>
              <w:ind w:left="0" w:right="0" w:hanging="0"/>
              <w:jc w:val="center"/>
              <w:rPr/>
            </w:pPr>
            <w:r>
              <w:rPr/>
              <w:t>​</w:t>
            </w:r>
          </w:p>
        </w:tc>
        <w:tc>
          <w:tcPr>
            <w:tcW w:w="102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146" w:type="dxa"/>
            <w:tcBorders/>
            <w:shd w:fill="CCEEFF" w:val="clear"/>
            <w:vAlign w:val="center"/>
          </w:tcPr>
          <w:p>
            <w:pPr>
              <w:pStyle w:val="TableContents"/>
              <w:bidi w:val="0"/>
              <w:spacing w:before="0" w:after="1"/>
              <w:ind w:left="0" w:right="0" w:hanging="0"/>
              <w:jc w:val="left"/>
              <w:rPr/>
            </w:pPr>
            <w:r>
              <w:rPr/>
              <w:t> </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54,096</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49,438</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13,766</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18,959</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30,410</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30,070</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1,826</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1,607</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100,098</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100,074</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pPr>
            <w:r>
              <w:rPr/>
              <w:t>  ​</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receivable from affiliate</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8,000</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7,400</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23,742</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23,742</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1,014</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1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679</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32,387</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32,835</w:t>
            </w:r>
          </w:p>
        </w:tc>
      </w:tr>
      <w:tr>
        <w:trPr/>
        <w:tc>
          <w:tcPr>
            <w:tcW w:w="432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5,390</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5,390</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23,634</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23,634</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Equipment</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78,021</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78,137</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937</w:t>
            </w:r>
          </w:p>
        </w:tc>
      </w:tr>
      <w:tr>
        <w:trPr/>
        <w:tc>
          <w:tcPr>
            <w:tcW w:w="432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107,522</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108,098</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83,813</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84,645</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property and equipment</w:t>
            </w:r>
          </w:p>
        </w:tc>
        <w:tc>
          <w:tcPr>
            <w:tcW w:w="1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23,709</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23,453</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156,194</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156,362</w:t>
            </w:r>
          </w:p>
        </w:tc>
      </w:tr>
      <w:tr>
        <w:trPr/>
        <w:tc>
          <w:tcPr>
            <w:tcW w:w="432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pPr>
            <w:r>
              <w:rPr/>
              <w:t>​</w:t>
            </w:r>
          </w:p>
        </w:tc>
      </w:tr>
      <w:tr>
        <w:trPr/>
        <w:tc>
          <w:tcPr>
            <w:tcW w:w="4321"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46" w:type="dxa"/>
            <w:tcBorders/>
            <w:shd w:fill="CCEEFF" w:val="clear"/>
            <w:vAlign w:val="center"/>
          </w:tcPr>
          <w:p>
            <w:pPr>
              <w:pStyle w:val="TableContents"/>
              <w:bidi w:val="0"/>
              <w:spacing w:before="0" w:after="1"/>
              <w:ind w:left="0" w:right="0" w:hanging="0"/>
              <w:jc w:val="center"/>
              <w:rPr/>
            </w:pPr>
            <w:r>
              <w:rPr/>
              <w:t>​</w:t>
            </w:r>
          </w:p>
        </w:tc>
        <w:tc>
          <w:tcPr>
            <w:tcW w:w="277" w:type="dxa"/>
            <w:tcBorders/>
            <w:shd w:fill="CCEEFF" w:val="clear"/>
            <w:vAlign w:val="center"/>
          </w:tcPr>
          <w:p>
            <w:pPr>
              <w:pStyle w:val="TableContents"/>
              <w:bidi w:val="0"/>
              <w:spacing w:before="0" w:after="1"/>
              <w:ind w:left="0" w:right="0" w:hanging="0"/>
              <w:jc w:val="center"/>
              <w:rPr/>
            </w:pPr>
            <w:r>
              <w:rPr/>
              <w:t>​</w:t>
            </w:r>
          </w:p>
        </w:tc>
        <w:tc>
          <w:tcPr>
            <w:tcW w:w="1028"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3" w:type="dxa"/>
            <w:tcBorders/>
            <w:shd w:fill="CCEEFF" w:val="clear"/>
            <w:vAlign w:val="center"/>
          </w:tcPr>
          <w:p>
            <w:pPr>
              <w:pStyle w:val="TableContents"/>
              <w:bidi w:val="0"/>
              <w:spacing w:before="0" w:after="1"/>
              <w:ind w:left="0" w:right="0" w:hanging="0"/>
              <w:jc w:val="center"/>
              <w:rPr/>
            </w:pPr>
            <w:r>
              <w:rPr/>
              <w:t>​</w:t>
            </w:r>
          </w:p>
        </w:tc>
        <w:tc>
          <w:tcPr>
            <w:tcW w:w="897" w:type="dxa"/>
            <w:tcBorders/>
            <w:shd w:fill="CCEEFF" w:val="clear"/>
            <w:vAlign w:val="center"/>
          </w:tcPr>
          <w:p>
            <w:pPr>
              <w:pStyle w:val="TableContents"/>
              <w:bidi w:val="0"/>
              <w:spacing w:before="0" w:after="1"/>
              <w:ind w:left="0" w:right="0" w:hanging="0"/>
              <w:jc w:val="center"/>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146" w:type="dxa"/>
            <w:tcBorders/>
            <w:vAlign w:val="center"/>
          </w:tcPr>
          <w:p>
            <w:pPr>
              <w:pStyle w:val="TableContents"/>
              <w:bidi w:val="0"/>
              <w:spacing w:before="0" w:after="1"/>
              <w:ind w:left="0" w:right="0" w:hanging="0"/>
              <w:jc w:val="left"/>
              <w:rPr/>
            </w:pPr>
            <w:r>
              <w:rPr/>
              <w:t> </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15,320</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10,424</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88</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 payable to affiliate</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1,726</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3,795</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17,046</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14,307</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Noncurrent liabilities: </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243</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926</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101</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noncurrent liabilities</w:t>
            </w:r>
          </w:p>
        </w:tc>
        <w:tc>
          <w:tcPr>
            <w:tcW w:w="1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1,270</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pPr>
            <w:r>
              <w:rPr/>
              <w:t>  ​</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Class A common stock</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53,513</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53,513</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1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84,994</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87,149</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138,630</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140,785</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146" w:type="dxa"/>
            <w:tcBorders/>
            <w:vAlign w:val="center"/>
          </w:tcPr>
          <w:p>
            <w:pPr>
              <w:pStyle w:val="TableContents"/>
              <w:bidi w:val="0"/>
              <w:spacing w:before="0" w:after="1"/>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156,194</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156,362</w:t>
            </w:r>
          </w:p>
        </w:tc>
      </w:tr>
    </w:tbl>
    <w:p>
      <w:pPr>
        <w:pStyle w:val="TextBody"/>
        <w:bidi w:val="0"/>
        <w:spacing w:before="160" w:after="0"/>
        <w:ind w:left="0" w:right="0" w:hanging="0"/>
        <w:jc w:val="both"/>
        <w:rPr>
          <w:rFonts w:ascii="Times New Roman;Times;serif" w:hAnsi="Times New Roman;Times;serif"/>
          <w:sz w:val="20"/>
        </w:rPr>
      </w:pPr>
      <w:r>
        <w:rPr>
          <w:rFonts w:ascii="Times New Roman;Times;serif" w:hAnsi="Times New Roman;Times;serif"/>
          <w:sz w:val="20"/>
        </w:rPr>
        <w:t>Commitments and contingencies (Note 8)</w:t>
      </w:r>
    </w:p>
    <w:p>
      <w:pPr>
        <w:pStyle w:val="TextBody"/>
        <w:bidi w:val="0"/>
        <w:spacing w:before="0" w:after="240"/>
        <w:ind w:left="0" w:right="0" w:hanging="0"/>
        <w:jc w:val="both"/>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51" w:name="_126df94e_c8ee_4821_acbf_aca07b71fda0"/>
      <w:bookmarkEnd w:id="151"/>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152" w:name="CONDENSEDCONSOLIDATEDSTATEMENTSOFINCOME_"/>
      <w:bookmarkEnd w:id="152"/>
      <w:r>
        <w:rPr>
          <w:rFonts w:ascii="Times New Roman;Times;serif" w:hAnsi="Times New Roman;Times;serif"/>
          <w:b/>
          <w:sz w:val="20"/>
        </w:rPr>
        <w:t>CONDENSED CONSOLIDATED STATEMENTS OF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3" w:name="Tc_VV6SGIZhg0uK54Htpyxqfw_17_0"/>
      <w:bookmarkStart w:id="154" w:name="Tc_fJPoJBC1k0KTlhGBV3gBpA_15_5"/>
      <w:bookmarkStart w:id="155" w:name="Tc_zcV1GhZWj0qzNRJ-kMdB2g_15_2"/>
      <w:bookmarkStart w:id="156" w:name="Tc_-2OkDo7kT0ap2hxo5hDAiQ_15_0"/>
      <w:bookmarkStart w:id="157" w:name="Tc_VTKHb4CWo0OvJ_D1jTSLYA_13_5"/>
      <w:bookmarkStart w:id="158" w:name="Tc_sBfQrrzDqEy83C46mPJZbg_13_2"/>
      <w:bookmarkStart w:id="159" w:name="Tc_IGt0rWBRCkK-rAsoQdBrag_13_0"/>
      <w:bookmarkStart w:id="160" w:name="Tc_vx0ZX-aOj0GTqsVCfNzMEA_12_0"/>
      <w:bookmarkStart w:id="161" w:name="Tc_JIEJ9aQGBEO8FoUsy08dKw_11_0"/>
      <w:bookmarkStart w:id="162" w:name="Tc_WMQxFFLGFkWSpw0y_KYwYQ_10_0"/>
      <w:bookmarkStart w:id="163" w:name="Tc_RqkVlioSUUC8CfwCdonsRg_9_0"/>
      <w:bookmarkStart w:id="164" w:name="Tc_1MQwohd880qsa0Hph0-xNg_8_0"/>
      <w:bookmarkStart w:id="165" w:name="Tc_P5TnSEHoPEWcq75hhcmsrA_7_0"/>
      <w:bookmarkStart w:id="166" w:name="Tc_iixqoRGle0mNxXRcEBXsdg_6_0"/>
      <w:bookmarkStart w:id="167" w:name="Tc_3GHKOju8EEKcOglr19PjXw_5_5"/>
      <w:bookmarkStart w:id="168" w:name="Tc_feTnzr-dfUKVjN5KlRT-5g_5_2"/>
      <w:bookmarkStart w:id="169" w:name="Tc_Mnz0v1qm0ESkc59IGcSieQ_5_0"/>
      <w:bookmarkStart w:id="170" w:name="Tc_0WaWsYToRU-yshoKbv5oBQ_4_2"/>
      <w:bookmarkStart w:id="171" w:name="Tc_KnoCcCAgmEWuKhvXJtWwaw_3_5"/>
      <w:bookmarkStart w:id="172" w:name="Tc_vLxD-iYH0UCrh-00qB_t3Q_3_2"/>
      <w:bookmarkStart w:id="173" w:name="Tc_YKf_viR5GEuqP54ly0n7Hw_2_2"/>
      <w:bookmarkStart w:id="174" w:name="Tc_LhAUxkajo061mcklZbHICA_1_2"/>
      <w:bookmarkStart w:id="175" w:name="_1bb9a386_f534_4ef4_bdda_41776febe312"/>
      <w:bookmarkStart w:id="176" w:name="_f10f942f_5a77_40e9_b2b0_0f5b3a139500"/>
      <w:bookmarkStart w:id="177" w:name="Tc_VV6SGIZhg0uK54Htpyxqfw_17_0"/>
      <w:bookmarkStart w:id="178" w:name="Tc_fJPoJBC1k0KTlhGBV3gBpA_15_5"/>
      <w:bookmarkStart w:id="179" w:name="Tc_zcV1GhZWj0qzNRJ-kMdB2g_15_2"/>
      <w:bookmarkStart w:id="180" w:name="Tc_-2OkDo7kT0ap2hxo5hDAiQ_15_0"/>
      <w:bookmarkStart w:id="181" w:name="Tc_VTKHb4CWo0OvJ_D1jTSLYA_13_5"/>
      <w:bookmarkStart w:id="182" w:name="Tc_sBfQrrzDqEy83C46mPJZbg_13_2"/>
      <w:bookmarkStart w:id="183" w:name="Tc_IGt0rWBRCkK-rAsoQdBrag_13_0"/>
      <w:bookmarkStart w:id="184" w:name="Tc_vx0ZX-aOj0GTqsVCfNzMEA_12_0"/>
      <w:bookmarkStart w:id="185" w:name="Tc_JIEJ9aQGBEO8FoUsy08dKw_11_0"/>
      <w:bookmarkStart w:id="186" w:name="Tc_WMQxFFLGFkWSpw0y_KYwYQ_10_0"/>
      <w:bookmarkStart w:id="187" w:name="Tc_RqkVlioSUUC8CfwCdonsRg_9_0"/>
      <w:bookmarkStart w:id="188" w:name="Tc_1MQwohd880qsa0Hph0-xNg_8_0"/>
      <w:bookmarkStart w:id="189" w:name="Tc_P5TnSEHoPEWcq75hhcmsrA_7_0"/>
      <w:bookmarkStart w:id="190" w:name="Tc_iixqoRGle0mNxXRcEBXsdg_6_0"/>
      <w:bookmarkStart w:id="191" w:name="Tc_3GHKOju8EEKcOglr19PjXw_5_5"/>
      <w:bookmarkStart w:id="192" w:name="Tc_feTnzr-dfUKVjN5KlRT-5g_5_2"/>
      <w:bookmarkStart w:id="193" w:name="Tc_Mnz0v1qm0ESkc59IGcSieQ_5_0"/>
      <w:bookmarkStart w:id="194" w:name="Tc_0WaWsYToRU-yshoKbv5oBQ_4_2"/>
      <w:bookmarkStart w:id="195" w:name="Tc_KnoCcCAgmEWuKhvXJtWwaw_3_5"/>
      <w:bookmarkStart w:id="196" w:name="Tc_vLxD-iYH0UCrh-00qB_t3Q_3_2"/>
      <w:bookmarkStart w:id="197" w:name="Tc_YKf_viR5GEuqP54ly0n7Hw_2_2"/>
      <w:bookmarkStart w:id="198" w:name="Tc_LhAUxkajo061mcklZbHICA_1_2"/>
      <w:bookmarkStart w:id="199" w:name="_1bb9a386_f534_4ef4_bdda_41776febe312"/>
      <w:bookmarkStart w:id="200" w:name="_f10f942f_5a77_40e9_b2b0_0f5b3a139500"/>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tbl>
      <w:tblPr>
        <w:tblW w:w="7147" w:type="dxa"/>
        <w:jc w:val="left"/>
        <w:tblInd w:w="0" w:type="dxa"/>
        <w:tblLayout w:type="fixed"/>
        <w:tblCellMar>
          <w:top w:w="0" w:type="dxa"/>
          <w:left w:w="0" w:type="dxa"/>
          <w:bottom w:w="0" w:type="dxa"/>
          <w:right w:w="0" w:type="dxa"/>
        </w:tblCellMar>
      </w:tblPr>
      <w:tblGrid>
        <w:gridCol w:w="4576"/>
        <w:gridCol w:w="346"/>
        <w:gridCol w:w="211"/>
        <w:gridCol w:w="676"/>
        <w:gridCol w:w="346"/>
        <w:gridCol w:w="211"/>
        <w:gridCol w:w="781"/>
      </w:tblGrid>
      <w:tr>
        <w:trPr/>
        <w:tc>
          <w:tcPr>
            <w:tcW w:w="4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905760" cy="175260"/>
                      <wp:effectExtent l="0" t="0" r="0" b="0"/>
                      <wp:wrapNone/>
                      <wp:docPr id="16" name="Frame16"/>
                      <a:graphic xmlns:a="http://schemas.openxmlformats.org/drawingml/2006/main">
                        <a:graphicData uri="http://schemas.microsoft.com/office/word/2010/wordprocessingShape">
                          <wps:wsp>
                            <wps:cNvSpPr txBox="1"/>
                            <wps:spPr>
                              <a:xfrm>
                                <a:off x="0" y="0"/>
                                <a:ext cx="2905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29260" cy="175260"/>
                      <wp:effectExtent l="0" t="0" r="0" b="0"/>
                      <wp:wrapNone/>
                      <wp:docPr id="19" name="Frame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95935" cy="175260"/>
                      <wp:effectExtent l="0" t="0" r="0" b="0"/>
                      <wp:wrapNone/>
                      <wp:docPr id="22" name="Frame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2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4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4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714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2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40,569</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28,109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27,317</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13,252</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6,202</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7,050</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677</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7,727</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1,875</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5,852</w:t>
            </w:r>
          </w:p>
        </w:tc>
      </w:tr>
      <w:tr>
        <w:trPr/>
        <w:tc>
          <w:tcPr>
            <w:tcW w:w="4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net income per common share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w:t>
            </w:r>
          </w:p>
        </w:tc>
      </w:tr>
      <w:tr>
        <w:trPr/>
        <w:tc>
          <w:tcPr>
            <w:tcW w:w="4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weighted average shares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12,323</w:t>
            </w:r>
          </w:p>
        </w:tc>
      </w:tr>
    </w:tbl>
    <w:p>
      <w:pPr>
        <w:pStyle w:val="TextBody"/>
        <w:bidi w:val="0"/>
        <w:spacing w:before="0" w:after="240"/>
        <w:ind w:left="0" w:right="0" w:hanging="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01" w:name="_70bc5cb5_aabf_4d84_a4fd_8092044a681a"/>
      <w:bookmarkEnd w:id="201"/>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202" w:name="CONDENSEDCONSOLIDATEDSTATEMENTSOFSTOCKHO"/>
      <w:bookmarkStart w:id="203" w:name="CONDENSEDCONSOLIDATEDSTATEMENTOFEQUITY"/>
      <w:bookmarkEnd w:id="202"/>
      <w:bookmarkEnd w:id="203"/>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04" w:name="Tc_ribn3hNXTE6mC5Imw0wmnQ_13_11"/>
      <w:bookmarkStart w:id="205" w:name="Tc_64ocXeUhFU6Xuhj1ojJqsw_13_8"/>
      <w:bookmarkStart w:id="206" w:name="Tc_Zx9hT7Wgukqv_Nsq8BJIYg_13_5"/>
      <w:bookmarkStart w:id="207" w:name="Tc_68EAfJ8Irk6VO4BIpgKJBw_13_2"/>
      <w:bookmarkStart w:id="208" w:name="Tc_xG4yw5gNDUG2j6LaVEk2Aw_13_0"/>
      <w:bookmarkStart w:id="209" w:name="Tc_69euixV3CU-ps8o7QWX0vw_12_6"/>
      <w:bookmarkStart w:id="210" w:name="Tc_rn3yw8aBrECpPDArL8vGLg_12_3"/>
      <w:bookmarkStart w:id="211" w:name="Tc_1ad5ypEABUWvvCkg5AhmeA_12_0"/>
      <w:bookmarkStart w:id="212" w:name="Tc_GtYXkuXvgkStcaG-0VUOTw_11_6"/>
      <w:bookmarkStart w:id="213" w:name="Tc_dKXXn6UKzkyFUax4JsiDNQ_11_3"/>
      <w:bookmarkStart w:id="214" w:name="Tc_fMrRV7iJK0CbqqoohJN1GQ_11_0"/>
      <w:bookmarkStart w:id="215" w:name="Tc_Vx1NxXPY1kyDZsV6UqIaHw_10_11"/>
      <w:bookmarkStart w:id="216" w:name="Tc_OBpGoZzmA0CeuHDPTXPmUQ_10_8"/>
      <w:bookmarkStart w:id="217" w:name="Tc_1vgblg_ZYUWwuxoc2vKoyA_10_5"/>
      <w:bookmarkStart w:id="218" w:name="Tc_BoRn4lNe8ECiQS353n9_IQ_10_2"/>
      <w:bookmarkStart w:id="219" w:name="Tc_0bmr4lMfd0GY2T-2YW5G6w_10_0"/>
      <w:bookmarkStart w:id="220" w:name="Tc_DgTXtwvofkicnz_FAeHAbg_8_11"/>
      <w:bookmarkStart w:id="221" w:name="Tc_YWlaGvXkC0-ymDxduFmFsA_8_8"/>
      <w:bookmarkStart w:id="222" w:name="Tc_GgFwV4xiT0ma7RYQ44Jvtg_8_5"/>
      <w:bookmarkStart w:id="223" w:name="Tc_lqmnWQobBEi-u1jsgSA9kA_8_2"/>
      <w:bookmarkStart w:id="224" w:name="Tc_wiQt01Fpk0uXwRmW7FG_nA_8_0"/>
      <w:bookmarkStart w:id="225" w:name="Tc_CbDBCNVpz0C-FPTgGaVgEg_7_6"/>
      <w:bookmarkStart w:id="226" w:name="Tc_bbQrjQJOyUatLA7SYRHKTw_7_3"/>
      <w:bookmarkStart w:id="227" w:name="Tc_kHY7pzDG5E6woPnDDSDcxA_7_0"/>
      <w:bookmarkStart w:id="228" w:name="Tc_OYMlwijuP0GsU9mJ0lbJrg_6_6"/>
      <w:bookmarkStart w:id="229" w:name="Tc_wmJqsQTmZ0Crskqpr-5hbg_6_3"/>
      <w:bookmarkStart w:id="230" w:name="Tc_16Oul7rBS0CWeG-In_eKFQ_6_0"/>
      <w:bookmarkStart w:id="231" w:name="Tc_uPBlns3WHUSCZfzQQJjGRg_5_11"/>
      <w:bookmarkStart w:id="232" w:name="Tc_CwkoxHeNHUS6E-c5DibFnQ_5_8"/>
      <w:bookmarkStart w:id="233" w:name="Tc_U0m4BzBPxkqq1AexZtKmLA_5_5"/>
      <w:bookmarkStart w:id="234" w:name="Tc_5wesfKBnakKXY-kmxZ-idQ_5_2"/>
      <w:bookmarkStart w:id="235" w:name="Tc_0QLLOrV2BkOzN8B8O_f2Wg_5_0"/>
      <w:bookmarkStart w:id="236" w:name="Tc_-M2UmJEjB0Wm12ae4gFYpA_4_11"/>
      <w:bookmarkStart w:id="237" w:name="Tc_m-ap1fHqtkqszDvD1oWuKQ_4_8"/>
      <w:bookmarkStart w:id="238" w:name="Tc_SX2GxB8_oEaH7rybLlpDuA_4_5"/>
      <w:bookmarkStart w:id="239" w:name="Tc_vyO0kkkUGkKnLz4sKV9IJw_4_2"/>
      <w:bookmarkStart w:id="240" w:name="Tc_Kk85_XDO60qmZycSImXnVQ_3_11"/>
      <w:bookmarkStart w:id="241" w:name="Tc_iyMfL_S4YEOQYwagvEh3MA_3_8"/>
      <w:bookmarkStart w:id="242" w:name="Tc_759VN7ZQ6ki3sI3YmOZA5A_3_5"/>
      <w:bookmarkStart w:id="243" w:name="Tc_Bi62FBfzP0Ge9ffdAmLYjA_3_2"/>
      <w:bookmarkStart w:id="244" w:name="Tc_BMBShOkwzEOuXiJCgzN3nA_2_11"/>
      <w:bookmarkStart w:id="245" w:name="Tc_5avzXuOElkiXiPVFZeuZyQ_2_5"/>
      <w:bookmarkStart w:id="246" w:name="Tc_i25e1T8Pq0OpLHxOwJUOoA_2_2"/>
      <w:bookmarkStart w:id="247" w:name="Tc_ZuG9wFtXHUqlhtUgNgU6Yg_1_2"/>
      <w:bookmarkStart w:id="248" w:name="_32cc6987_7d18_47b2_bc2a_e24eabd5e118"/>
      <w:bookmarkStart w:id="249" w:name="Tc_ribn3hNXTE6mC5Imw0wmnQ_13_11"/>
      <w:bookmarkStart w:id="250" w:name="Tc_64ocXeUhFU6Xuhj1ojJqsw_13_8"/>
      <w:bookmarkStart w:id="251" w:name="Tc_Zx9hT7Wgukqv_Nsq8BJIYg_13_5"/>
      <w:bookmarkStart w:id="252" w:name="Tc_68EAfJ8Irk6VO4BIpgKJBw_13_2"/>
      <w:bookmarkStart w:id="253" w:name="Tc_xG4yw5gNDUG2j6LaVEk2Aw_13_0"/>
      <w:bookmarkStart w:id="254" w:name="Tc_69euixV3CU-ps8o7QWX0vw_12_6"/>
      <w:bookmarkStart w:id="255" w:name="Tc_rn3yw8aBrECpPDArL8vGLg_12_3"/>
      <w:bookmarkStart w:id="256" w:name="Tc_1ad5ypEABUWvvCkg5AhmeA_12_0"/>
      <w:bookmarkStart w:id="257" w:name="Tc_GtYXkuXvgkStcaG-0VUOTw_11_6"/>
      <w:bookmarkStart w:id="258" w:name="Tc_dKXXn6UKzkyFUax4JsiDNQ_11_3"/>
      <w:bookmarkStart w:id="259" w:name="Tc_fMrRV7iJK0CbqqoohJN1GQ_11_0"/>
      <w:bookmarkStart w:id="260" w:name="Tc_Vx1NxXPY1kyDZsV6UqIaHw_10_11"/>
      <w:bookmarkStart w:id="261" w:name="Tc_OBpGoZzmA0CeuHDPTXPmUQ_10_8"/>
      <w:bookmarkStart w:id="262" w:name="Tc_1vgblg_ZYUWwuxoc2vKoyA_10_5"/>
      <w:bookmarkStart w:id="263" w:name="Tc_BoRn4lNe8ECiQS353n9_IQ_10_2"/>
      <w:bookmarkStart w:id="264" w:name="Tc_0bmr4lMfd0GY2T-2YW5G6w_10_0"/>
      <w:bookmarkStart w:id="265" w:name="Tc_DgTXtwvofkicnz_FAeHAbg_8_11"/>
      <w:bookmarkStart w:id="266" w:name="Tc_YWlaGvXkC0-ymDxduFmFsA_8_8"/>
      <w:bookmarkStart w:id="267" w:name="Tc_GgFwV4xiT0ma7RYQ44Jvtg_8_5"/>
      <w:bookmarkStart w:id="268" w:name="Tc_lqmnWQobBEi-u1jsgSA9kA_8_2"/>
      <w:bookmarkStart w:id="269" w:name="Tc_wiQt01Fpk0uXwRmW7FG_nA_8_0"/>
      <w:bookmarkStart w:id="270" w:name="Tc_CbDBCNVpz0C-FPTgGaVgEg_7_6"/>
      <w:bookmarkStart w:id="271" w:name="Tc_bbQrjQJOyUatLA7SYRHKTw_7_3"/>
      <w:bookmarkStart w:id="272" w:name="Tc_kHY7pzDG5E6woPnDDSDcxA_7_0"/>
      <w:bookmarkStart w:id="273" w:name="Tc_OYMlwijuP0GsU9mJ0lbJrg_6_6"/>
      <w:bookmarkStart w:id="274" w:name="Tc_wmJqsQTmZ0Crskqpr-5hbg_6_3"/>
      <w:bookmarkStart w:id="275" w:name="Tc_16Oul7rBS0CWeG-In_eKFQ_6_0"/>
      <w:bookmarkStart w:id="276" w:name="Tc_uPBlns3WHUSCZfzQQJjGRg_5_11"/>
      <w:bookmarkStart w:id="277" w:name="Tc_CwkoxHeNHUS6E-c5DibFnQ_5_8"/>
      <w:bookmarkStart w:id="278" w:name="Tc_U0m4BzBPxkqq1AexZtKmLA_5_5"/>
      <w:bookmarkStart w:id="279" w:name="Tc_5wesfKBnakKXY-kmxZ-idQ_5_2"/>
      <w:bookmarkStart w:id="280" w:name="Tc_0QLLOrV2BkOzN8B8O_f2Wg_5_0"/>
      <w:bookmarkStart w:id="281" w:name="Tc_-M2UmJEjB0Wm12ae4gFYpA_4_11"/>
      <w:bookmarkStart w:id="282" w:name="Tc_m-ap1fHqtkqszDvD1oWuKQ_4_8"/>
      <w:bookmarkStart w:id="283" w:name="Tc_SX2GxB8_oEaH7rybLlpDuA_4_5"/>
      <w:bookmarkStart w:id="284" w:name="Tc_vyO0kkkUGkKnLz4sKV9IJw_4_2"/>
      <w:bookmarkStart w:id="285" w:name="Tc_Kk85_XDO60qmZycSImXnVQ_3_11"/>
      <w:bookmarkStart w:id="286" w:name="Tc_iyMfL_S4YEOQYwagvEh3MA_3_8"/>
      <w:bookmarkStart w:id="287" w:name="Tc_759VN7ZQ6ki3sI3YmOZA5A_3_5"/>
      <w:bookmarkStart w:id="288" w:name="Tc_Bi62FBfzP0Ge9ffdAmLYjA_3_2"/>
      <w:bookmarkStart w:id="289" w:name="Tc_BMBShOkwzEOuXiJCgzN3nA_2_11"/>
      <w:bookmarkStart w:id="290" w:name="Tc_5avzXuOElkiXiPVFZeuZyQ_2_5"/>
      <w:bookmarkStart w:id="291" w:name="Tc_i25e1T8Pq0OpLHxOwJUOoA_2_2"/>
      <w:bookmarkStart w:id="292" w:name="Tc_ZuG9wFtXHUqlhtUgNgU6Yg_1_2"/>
      <w:bookmarkStart w:id="293" w:name="_32cc6987_7d18_47b2_bc2a_e24eabd5e11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tbl>
      <w:tblPr>
        <w:tblW w:w="8297" w:type="dxa"/>
        <w:jc w:val="left"/>
        <w:tblInd w:w="0" w:type="dxa"/>
        <w:tblLayout w:type="fixed"/>
        <w:tblCellMar>
          <w:top w:w="0" w:type="dxa"/>
          <w:left w:w="0" w:type="dxa"/>
          <w:bottom w:w="0" w:type="dxa"/>
          <w:right w:w="0" w:type="dxa"/>
        </w:tblCellMar>
      </w:tblPr>
      <w:tblGrid>
        <w:gridCol w:w="2671"/>
        <w:gridCol w:w="346"/>
        <w:gridCol w:w="280"/>
        <w:gridCol w:w="561"/>
        <w:gridCol w:w="385"/>
        <w:gridCol w:w="239"/>
        <w:gridCol w:w="767"/>
        <w:gridCol w:w="385"/>
        <w:gridCol w:w="234"/>
        <w:gridCol w:w="769"/>
        <w:gridCol w:w="385"/>
        <w:gridCol w:w="244"/>
        <w:gridCol w:w="1031"/>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696085" cy="175260"/>
                      <wp:effectExtent l="0" t="0" r="0" b="0"/>
                      <wp:wrapNone/>
                      <wp:docPr id="23" name="Frame23"/>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77800" cy="175260"/>
                      <wp:effectExtent l="0" t="0" r="0" b="0"/>
                      <wp:wrapNone/>
                      <wp:docPr id="25" name="Frame25"/>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56235" cy="175260"/>
                      <wp:effectExtent l="0" t="0" r="0" b="0"/>
                      <wp:wrapNone/>
                      <wp:docPr id="26" name="Frame26"/>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44475" cy="175260"/>
                      <wp:effectExtent l="0" t="0" r="0" b="0"/>
                      <wp:wrapNone/>
                      <wp:docPr id="27" name="Frame27"/>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51765" cy="175260"/>
                      <wp:effectExtent l="0" t="0" r="0" b="0"/>
                      <wp:wrapNone/>
                      <wp:docPr id="28" name="Frame2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87045" cy="175260"/>
                      <wp:effectExtent l="0" t="0" r="0" b="0"/>
                      <wp:wrapNone/>
                      <wp:docPr id="29" name="Frame29"/>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44475" cy="175260"/>
                      <wp:effectExtent l="0" t="0" r="0" b="0"/>
                      <wp:wrapNone/>
                      <wp:docPr id="30" name="Frame30"/>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48590" cy="175260"/>
                      <wp:effectExtent l="0" t="0" r="0" b="0"/>
                      <wp:wrapNone/>
                      <wp:docPr id="31" name="Frame31"/>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88315" cy="175260"/>
                      <wp:effectExtent l="0" t="0" r="0" b="0"/>
                      <wp:wrapNone/>
                      <wp:docPr id="32" name="Frame32"/>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44475" cy="175260"/>
                      <wp:effectExtent l="0" t="0" r="0" b="0"/>
                      <wp:wrapNone/>
                      <wp:docPr id="33" name="Frame33"/>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54940" cy="175260"/>
                      <wp:effectExtent l="0" t="0" r="0" b="0"/>
                      <wp:wrapNone/>
                      <wp:docPr id="34" name="Frame34"/>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54685" cy="175260"/>
                      <wp:effectExtent l="0" t="0" r="0" b="0"/>
                      <wp:wrapNone/>
                      <wp:docPr id="35" name="Frame35"/>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8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Three months ended March 31, 2025 and 2026 (unaudited)</w: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Class A</w:t>
            </w:r>
          </w:p>
        </w:tc>
        <w:tc>
          <w:tcPr>
            <w:tcW w:w="385"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Additional</w:t>
            </w:r>
          </w:p>
        </w:tc>
        <w:tc>
          <w:tcPr>
            <w:tcW w:w="385"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center"/>
              <w:rPr/>
            </w:pPr>
            <w:r>
              <w:rPr/>
              <w:t>​</w:t>
            </w:r>
          </w:p>
        </w:tc>
        <w:tc>
          <w:tcPr>
            <w:tcW w:w="769" w:type="dxa"/>
            <w:tcBorders/>
            <w:vAlign w:val="center"/>
          </w:tcPr>
          <w:p>
            <w:pPr>
              <w:pStyle w:val="TableContents"/>
              <w:bidi w:val="0"/>
              <w:spacing w:before="0" w:after="0"/>
              <w:ind w:left="0" w:right="0" w:hanging="0"/>
              <w:jc w:val="center"/>
              <w:rPr/>
            </w:pPr>
            <w:r>
              <w:rPr/>
              <w:t>​</w:t>
            </w:r>
          </w:p>
        </w:tc>
        <w:tc>
          <w:tcPr>
            <w:tcW w:w="385" w:type="dxa"/>
            <w:tcBorders/>
            <w:vAlign w:val="center"/>
          </w:tcPr>
          <w:p>
            <w:pPr>
              <w:pStyle w:val="TableContents"/>
              <w:bidi w:val="0"/>
              <w:spacing w:before="0" w:after="0"/>
              <w:ind w:left="0" w:right="0" w:hanging="0"/>
              <w:jc w:val="left"/>
              <w:rPr/>
            </w:pPr>
            <w:r>
              <w:rP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Total</w: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common</w:t>
            </w:r>
          </w:p>
        </w:tc>
        <w:tc>
          <w:tcPr>
            <w:tcW w:w="385"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paid-in</w:t>
            </w:r>
          </w:p>
        </w:tc>
        <w:tc>
          <w:tcPr>
            <w:tcW w:w="385" w:type="dxa"/>
            <w:tcBorders/>
            <w:vAlign w:val="center"/>
          </w:tcPr>
          <w:p>
            <w:pPr>
              <w:pStyle w:val="TableContents"/>
              <w:bidi w:val="0"/>
              <w:spacing w:before="0" w:after="0"/>
              <w:ind w:left="0" w:right="0" w:hanging="0"/>
              <w:jc w:val="left"/>
              <w:rPr/>
            </w:pPr>
            <w:r>
              <w:rPr/>
              <w:t>​</w:t>
            </w:r>
          </w:p>
        </w:tc>
        <w:tc>
          <w:tcPr>
            <w:tcW w:w="1003"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Retained</w:t>
            </w:r>
          </w:p>
        </w:tc>
        <w:tc>
          <w:tcPr>
            <w:tcW w:w="385" w:type="dxa"/>
            <w:tcBorders/>
            <w:vAlign w:val="center"/>
          </w:tcPr>
          <w:p>
            <w:pPr>
              <w:pStyle w:val="TableContents"/>
              <w:bidi w:val="0"/>
              <w:spacing w:before="0" w:after="0"/>
              <w:ind w:left="0" w:right="0" w:hanging="0"/>
              <w:jc w:val="left"/>
              <w:rPr/>
            </w:pPr>
            <w:r>
              <w:rP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stockholders'</w: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stock</w:t>
            </w:r>
          </w:p>
        </w:tc>
        <w:tc>
          <w:tcPr>
            <w:tcW w:w="385" w:type="dxa"/>
            <w:tcBorders/>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capital</w:t>
            </w:r>
          </w:p>
        </w:tc>
        <w:tc>
          <w:tcPr>
            <w:tcW w:w="385" w:type="dxa"/>
            <w:tcBorders/>
            <w:vAlign w:val="center"/>
          </w:tcPr>
          <w:p>
            <w:pPr>
              <w:pStyle w:val="TableContents"/>
              <w:bidi w:val="0"/>
              <w:spacing w:before="0" w:after="0"/>
              <w:ind w:left="0" w:right="0" w:hanging="0"/>
              <w:jc w:val="left"/>
              <w:rPr/>
            </w:pPr>
            <w:r>
              <w:rPr/>
              <w:t>  ​ ​ ​</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earnings</w:t>
            </w:r>
          </w:p>
        </w:tc>
        <w:tc>
          <w:tcPr>
            <w:tcW w:w="385" w:type="dxa"/>
            <w:tcBorders/>
            <w:vAlign w:val="center"/>
          </w:tcPr>
          <w:p>
            <w:pPr>
              <w:pStyle w:val="TableContents"/>
              <w:bidi w:val="0"/>
              <w:spacing w:before="0" w:after="0"/>
              <w:ind w:left="0" w:right="0" w:hanging="0"/>
              <w:jc w:val="left"/>
              <w:rPr/>
            </w:pPr>
            <w:r>
              <w:rPr/>
              <w:t>  ​ ​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equity</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85"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53,396</w:t>
            </w:r>
          </w:p>
        </w:tc>
        <w:tc>
          <w:tcPr>
            <w:tcW w:w="385"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92,626</w:t>
            </w:r>
          </w:p>
        </w:tc>
        <w:tc>
          <w:tcPr>
            <w:tcW w:w="385"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146,145</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5,131</w:t>
            </w:r>
          </w:p>
        </w:tc>
        <w:tc>
          <w:tcPr>
            <w:tcW w:w="385"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5,131</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($.30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(3,695)</w:t>
            </w:r>
          </w:p>
        </w:tc>
        <w:tc>
          <w:tcPr>
            <w:tcW w:w="385"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(3,695)</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34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85"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53,396</w:t>
            </w:r>
          </w:p>
        </w:tc>
        <w:tc>
          <w:tcPr>
            <w:tcW w:w="385"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94,062</w:t>
            </w:r>
          </w:p>
        </w:tc>
        <w:tc>
          <w:tcPr>
            <w:tcW w:w="385"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147,581</w:t>
            </w:r>
          </w:p>
        </w:tc>
      </w:tr>
      <w:tr>
        <w:trPr/>
        <w:tc>
          <w:tcPr>
            <w:tcW w:w="26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right"/>
              <w:rPr/>
            </w:pPr>
            <w:r>
              <w:rPr/>
              <w:t>​</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85"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53,513</w:t>
            </w:r>
          </w:p>
        </w:tc>
        <w:tc>
          <w:tcPr>
            <w:tcW w:w="385"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84,994</w:t>
            </w:r>
          </w:p>
        </w:tc>
        <w:tc>
          <w:tcPr>
            <w:tcW w:w="385"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138,630</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5,852</w:t>
            </w:r>
          </w:p>
        </w:tc>
        <w:tc>
          <w:tcPr>
            <w:tcW w:w="385"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5,852</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($.30 per share)</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(3,697)</w:t>
            </w:r>
          </w:p>
        </w:tc>
        <w:tc>
          <w:tcPr>
            <w:tcW w:w="385"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(3,697)</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w:t>
            </w:r>
          </w:p>
        </w:tc>
        <w:tc>
          <w:tcPr>
            <w:tcW w:w="385"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53,513</w:t>
            </w:r>
          </w:p>
        </w:tc>
        <w:tc>
          <w:tcPr>
            <w:tcW w:w="385"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87,149</w:t>
            </w:r>
          </w:p>
        </w:tc>
        <w:tc>
          <w:tcPr>
            <w:tcW w:w="385" w:type="dxa"/>
            <w:tcBorders/>
            <w:shd w:fill="CCEEFF" w:val="clear"/>
            <w:vAlign w:val="center"/>
          </w:tcPr>
          <w:p>
            <w:pPr>
              <w:pStyle w:val="TableContents"/>
              <w:bidi w:val="0"/>
              <w:spacing w:before="0" w:after="0"/>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140,785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94" w:name="_4c776f16_e873_4e4e_ab9c_219e2180ac31"/>
      <w:bookmarkEnd w:id="294"/>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295" w:name="CONDENSEDCONSOLIDATEDSTATEMENTSOFCASHFLO"/>
      <w:bookmarkEnd w:id="295"/>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96" w:name="Tc_kssAxB5DZkGOgt0m5jPbLQ_36_3"/>
      <w:bookmarkStart w:id="297" w:name="Tc_Wr-nL2ufBE69NQWtD0mYzw_36_0"/>
      <w:bookmarkStart w:id="298" w:name="Tc_pP1AxJ6hN0CJGe8mp3RMHA_35_5"/>
      <w:bookmarkStart w:id="299" w:name="Tc_OBkdjKvqWkaqBJ8AA9r1hQ_35_2"/>
      <w:bookmarkStart w:id="300" w:name="Tc_A6KxciewVUa1zu5FVyCDcg_35_0"/>
      <w:bookmarkStart w:id="301" w:name="Tc_7yig-CyUd0qcKokz_dEoww_34_0"/>
      <w:bookmarkStart w:id="302" w:name="Tc_TV6bin3ExEmseTo0pjZ1YA_33_0"/>
      <w:bookmarkStart w:id="303" w:name="Tc__Hw24OROjE-AH1WHby33Gg_31_5"/>
      <w:bookmarkStart w:id="304" w:name="Tc_N18spAEyS0u5AJMMVhRVpA_31_2"/>
      <w:bookmarkStart w:id="305" w:name="Tc_koU8r2H6nUirBKSzg8muVg_31_0"/>
      <w:bookmarkStart w:id="306" w:name="Tc_I1PACVg_F0CE1cqN9BgYgA_30_0"/>
      <w:bookmarkStart w:id="307" w:name="Tc_zla9qqq8PkuOca1lS08h9Q_29_0"/>
      <w:bookmarkStart w:id="308" w:name="Tc_KhA930MuU025k7FXwYeFxw_28_0"/>
      <w:bookmarkStart w:id="309" w:name="Tc_o56b13CGkEuAMFTeHFPSAQ_26_0"/>
      <w:bookmarkStart w:id="310" w:name="Tc_BQeJ3I-LQ06UKl--mdimjg_25_0"/>
      <w:bookmarkStart w:id="311" w:name="Tc_nEKY8FXRY0eGjykAijugJg_23_0"/>
      <w:bookmarkStart w:id="312" w:name="Tc_WDkCmS4Wz06E9zjZYktNOg_22_0"/>
      <w:bookmarkStart w:id="313" w:name="Tc_xrVUOlHR3km7i_-56rwZdQ_21_0"/>
      <w:bookmarkStart w:id="314" w:name="Tc_0tiytMyoWEy0058C_3_puw_20_0"/>
      <w:bookmarkStart w:id="315" w:name="Tc_b6qWoBN8V0-LrFaaiohcjQ_19_0"/>
      <w:bookmarkStart w:id="316" w:name="Tc_9NXr_Z1g8EWR17hxLqYZHw_18_0"/>
      <w:bookmarkStart w:id="317" w:name="Tc_QOKjLGOljEGqGC8u0lKvhg_16_0"/>
      <w:bookmarkStart w:id="318" w:name="Tc_0iKsCpAObEet0xZAX2qA3Q_15_0"/>
      <w:bookmarkStart w:id="319" w:name="Tc_WBQ0VajOdUyNBEfbZyHcUw_14_0"/>
      <w:bookmarkStart w:id="320" w:name="Tc_mxraY_k9OkC3aWEZfQDZZg_13_0"/>
      <w:bookmarkStart w:id="321" w:name="Tc_isVbmfEzJUOQ2vcHTA3lNQ_12_0"/>
      <w:bookmarkStart w:id="322" w:name="Tc_kUJbLGbXKEG4MxfJ-TWO3Q_11_0"/>
      <w:bookmarkStart w:id="323" w:name="Tc_wblnOhqGT0mtJ-OS3Q_Jnw_10_0"/>
      <w:bookmarkStart w:id="324" w:name="Tc_lridHPploUuIzRPUMLd-2g_9_0"/>
      <w:bookmarkStart w:id="325" w:name="Tc_oyvUKVlvTEqbIZ-dgsITog_8_0"/>
      <w:bookmarkStart w:id="326" w:name="Tc_Jhur2tkjb0ibQGkYZjxGKg_7_0"/>
      <w:bookmarkStart w:id="327" w:name="Tc_8COjYb9IG02AutB7nKG55Q_6_5"/>
      <w:bookmarkStart w:id="328" w:name="Tc_A-b7ebqWPk2TxSR1-ulyvA_6_2"/>
      <w:bookmarkStart w:id="329" w:name="Tc_CRQt1yUYxUaZSiKX4XFXPg_6_0"/>
      <w:bookmarkStart w:id="330" w:name="Tc_1-_pE42pzkyD5c5lmKRQOQ_5_0"/>
      <w:bookmarkStart w:id="331" w:name="Tc_dl_kq_ZXTUy5_NYrQZiwqA_4_2"/>
      <w:bookmarkStart w:id="332" w:name="Tc_-nlWG7XL1ECeavZS5hMIGg_3_5"/>
      <w:bookmarkStart w:id="333" w:name="Tc_AWJOSFNI00-X5JVtJH5EhA_3_2"/>
      <w:bookmarkStart w:id="334" w:name="Tc_N1ihFjf1rk-vtRBhh5Rq-w_2_2"/>
      <w:bookmarkStart w:id="335" w:name="Tc_d-_T_d66-kiLJ6EPz3jI0g_1_2"/>
      <w:bookmarkStart w:id="336" w:name="_d3fc1c0a_56d2_4fbf_892d_ace89c8b6376"/>
      <w:bookmarkStart w:id="337" w:name="Tc_kssAxB5DZkGOgt0m5jPbLQ_36_3"/>
      <w:bookmarkStart w:id="338" w:name="Tc_Wr-nL2ufBE69NQWtD0mYzw_36_0"/>
      <w:bookmarkStart w:id="339" w:name="Tc_pP1AxJ6hN0CJGe8mp3RMHA_35_5"/>
      <w:bookmarkStart w:id="340" w:name="Tc_OBkdjKvqWkaqBJ8AA9r1hQ_35_2"/>
      <w:bookmarkStart w:id="341" w:name="Tc_A6KxciewVUa1zu5FVyCDcg_35_0"/>
      <w:bookmarkStart w:id="342" w:name="Tc_7yig-CyUd0qcKokz_dEoww_34_0"/>
      <w:bookmarkStart w:id="343" w:name="Tc_TV6bin3ExEmseTo0pjZ1YA_33_0"/>
      <w:bookmarkStart w:id="344" w:name="Tc__Hw24OROjE-AH1WHby33Gg_31_5"/>
      <w:bookmarkStart w:id="345" w:name="Tc_N18spAEyS0u5AJMMVhRVpA_31_2"/>
      <w:bookmarkStart w:id="346" w:name="Tc_koU8r2H6nUirBKSzg8muVg_31_0"/>
      <w:bookmarkStart w:id="347" w:name="Tc_I1PACVg_F0CE1cqN9BgYgA_30_0"/>
      <w:bookmarkStart w:id="348" w:name="Tc_zla9qqq8PkuOca1lS08h9Q_29_0"/>
      <w:bookmarkStart w:id="349" w:name="Tc_KhA930MuU025k7FXwYeFxw_28_0"/>
      <w:bookmarkStart w:id="350" w:name="Tc_o56b13CGkEuAMFTeHFPSAQ_26_0"/>
      <w:bookmarkStart w:id="351" w:name="Tc_BQeJ3I-LQ06UKl--mdimjg_25_0"/>
      <w:bookmarkStart w:id="352" w:name="Tc_nEKY8FXRY0eGjykAijugJg_23_0"/>
      <w:bookmarkStart w:id="353" w:name="Tc_WDkCmS4Wz06E9zjZYktNOg_22_0"/>
      <w:bookmarkStart w:id="354" w:name="Tc_xrVUOlHR3km7i_-56rwZdQ_21_0"/>
      <w:bookmarkStart w:id="355" w:name="Tc_0tiytMyoWEy0058C_3_puw_20_0"/>
      <w:bookmarkStart w:id="356" w:name="Tc_b6qWoBN8V0-LrFaaiohcjQ_19_0"/>
      <w:bookmarkStart w:id="357" w:name="Tc_9NXr_Z1g8EWR17hxLqYZHw_18_0"/>
      <w:bookmarkStart w:id="358" w:name="Tc_QOKjLGOljEGqGC8u0lKvhg_16_0"/>
      <w:bookmarkStart w:id="359" w:name="Tc_0iKsCpAObEet0xZAX2qA3Q_15_0"/>
      <w:bookmarkStart w:id="360" w:name="Tc_WBQ0VajOdUyNBEfbZyHcUw_14_0"/>
      <w:bookmarkStart w:id="361" w:name="Tc_mxraY_k9OkC3aWEZfQDZZg_13_0"/>
      <w:bookmarkStart w:id="362" w:name="Tc_isVbmfEzJUOQ2vcHTA3lNQ_12_0"/>
      <w:bookmarkStart w:id="363" w:name="Tc_kUJbLGbXKEG4MxfJ-TWO3Q_11_0"/>
      <w:bookmarkStart w:id="364" w:name="Tc_wblnOhqGT0mtJ-OS3Q_Jnw_10_0"/>
      <w:bookmarkStart w:id="365" w:name="Tc_lridHPploUuIzRPUMLd-2g_9_0"/>
      <w:bookmarkStart w:id="366" w:name="Tc_oyvUKVlvTEqbIZ-dgsITog_8_0"/>
      <w:bookmarkStart w:id="367" w:name="Tc_Jhur2tkjb0ibQGkYZjxGKg_7_0"/>
      <w:bookmarkStart w:id="368" w:name="Tc_8COjYb9IG02AutB7nKG55Q_6_5"/>
      <w:bookmarkStart w:id="369" w:name="Tc_A-b7ebqWPk2TxSR1-ulyvA_6_2"/>
      <w:bookmarkStart w:id="370" w:name="Tc_CRQt1yUYxUaZSiKX4XFXPg_6_0"/>
      <w:bookmarkStart w:id="371" w:name="Tc_1-_pE42pzkyD5c5lmKRQOQ_5_0"/>
      <w:bookmarkStart w:id="372" w:name="Tc_dl_kq_ZXTUy5_NYrQZiwqA_4_2"/>
      <w:bookmarkStart w:id="373" w:name="Tc_-nlWG7XL1ECeavZS5hMIGg_3_5"/>
      <w:bookmarkStart w:id="374" w:name="Tc_AWJOSFNI00-X5JVtJH5EhA_3_2"/>
      <w:bookmarkStart w:id="375" w:name="Tc_N1ihFjf1rk-vtRBhh5Rq-w_2_2"/>
      <w:bookmarkStart w:id="376" w:name="Tc_d-_T_d66-kiLJ6EPz3jI0g_1_2"/>
      <w:bookmarkStart w:id="377" w:name="_d3fc1c0a_56d2_4fbf_892d_ace89c8b637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tbl>
      <w:tblPr>
        <w:tblW w:w="7477" w:type="dxa"/>
        <w:jc w:val="left"/>
        <w:tblInd w:w="0" w:type="dxa"/>
        <w:tblLayout w:type="fixed"/>
        <w:tblCellMar>
          <w:top w:w="0" w:type="dxa"/>
          <w:left w:w="0" w:type="dxa"/>
          <w:bottom w:w="0" w:type="dxa"/>
          <w:right w:w="0" w:type="dxa"/>
        </w:tblCellMar>
      </w:tblPr>
      <w:tblGrid>
        <w:gridCol w:w="4936"/>
        <w:gridCol w:w="346"/>
        <w:gridCol w:w="211"/>
        <w:gridCol w:w="691"/>
        <w:gridCol w:w="346"/>
        <w:gridCol w:w="211"/>
        <w:gridCol w:w="736"/>
      </w:tblGrid>
      <w:tr>
        <w:trPr/>
        <w:tc>
          <w:tcPr>
            <w:tcW w:w="4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134360" cy="175260"/>
                      <wp:effectExtent l="0" t="0" r="0" b="0"/>
                      <wp:wrapNone/>
                      <wp:docPr id="36" name="Frame36"/>
                      <a:graphic xmlns:a="http://schemas.openxmlformats.org/drawingml/2006/main">
                        <a:graphicData uri="http://schemas.microsoft.com/office/word/2010/wordprocessingShape">
                          <wps:wsp>
                            <wps:cNvSpPr txBox="1"/>
                            <wps:spPr>
                              <a:xfrm>
                                <a:off x="0" y="0"/>
                                <a:ext cx="3134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38785" cy="175260"/>
                      <wp:effectExtent l="0" t="0" r="0" b="0"/>
                      <wp:wrapNone/>
                      <wp:docPr id="39" name="Frame3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67360" cy="175260"/>
                      <wp:effectExtent l="0" t="0" r="0" b="0"/>
                      <wp:wrapNone/>
                      <wp:docPr id="42" name="Frame4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9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4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4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747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9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5,852</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868</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(194)</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assets and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(5,193)</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268</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(5,104)</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with affiliates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2,069</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Prepaids and other,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205</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(1,157)</w:t>
            </w:r>
          </w:p>
        </w:tc>
      </w:tr>
      <w:tr>
        <w:trPr/>
        <w:tc>
          <w:tcPr>
            <w:tcW w:w="49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expenditures,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(404)</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receivable from affiliate: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Collections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3,700</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Advances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(3,100)</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196</w:t>
            </w:r>
          </w:p>
        </w:tc>
      </w:tr>
      <w:tr>
        <w:trPr/>
        <w:tc>
          <w:tcPr>
            <w:tcW w:w="4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financing activities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paid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(3,697)</w:t>
            </w:r>
          </w:p>
        </w:tc>
      </w:tr>
      <w:tr>
        <w:trPr/>
        <w:tc>
          <w:tcPr>
            <w:tcW w:w="49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 net change from:</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investing and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(4,658)</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60,782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54,096</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49,438</w:t>
            </w:r>
          </w:p>
        </w:tc>
      </w:tr>
      <w:tr>
        <w:trPr/>
        <w:tc>
          <w:tcPr>
            <w:tcW w:w="4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Supplemental disclosures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investing and financing activities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accruals for capital expenditures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208</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 obtained in exchange for a lease liability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1,014</w:t>
            </w:r>
          </w:p>
        </w:tc>
      </w:tr>
    </w:tbl>
    <w:p>
      <w:pPr>
        <w:pStyle w:val="TextBody"/>
        <w:bidi w:val="0"/>
        <w:spacing w:before="0" w:after="240"/>
        <w:ind w:left="0" w:right="0" w:hanging="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378" w:name="_a88251dd_d70c_4bac_9cdf_55b35feabd0d"/>
      <w:bookmarkEnd w:id="378"/>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379" w:name="NOTESTOCONDENSEDCONSOLIDATEDFINANCIALSTA"/>
      <w:bookmarkEnd w:id="379"/>
      <w:r>
        <w:rPr>
          <w:rFonts w:ascii="Times New Roman;Times;serif" w:hAnsi="Times New Roman;Times;serif"/>
          <w:b/>
          <w:sz w:val="20"/>
        </w:rPr>
        <w:t>NOTES TO CONDENSED CONSOLIDATED FINANCIAL STATEMENTS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 Organization and basis of presentation: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Organization</w:t>
      </w:r>
      <w:r>
        <w:rPr>
          <w:rFonts w:ascii="Times New Roman;Times;serif" w:hAnsi="Times New Roman;Times;serif"/>
          <w:sz w:val="20"/>
        </w:rPr>
        <w:t>. We (NYSE American: CIX) were approximately 87% owned by NL Industries, Inc. (NYSE: NL) at March 31, 2026. At March 31, 2026, Valhi, Inc. (NYSE: VHI) owned approximately 83% of NL’s outstanding common stock and a wholly-owned subsidiary of Contran Corporation owned approximately 91% of Valhi’s outstanding common stock. A majority of Contran’s outstanding voting stock is held directly by Lisa K. Simmons, and by family stockholders (Thomas C. Connelly (the husband of Ms. Simmons’ late sister), a family-owned entity and various family trusts established for the benefit of Ms. Simmons, Mr. Connelly and their children) who are required to vote their shares of Contran voting stock in the same manner as Ms. Simmons. Such voting rights are personal to Ms. Simmons and last through April 22, 2030. The remainder of Contran’s outstanding voting stock is held by another trust (the “Family Trust”), which was established for the benefit of Ms. Simmons and her late sister and their children and for which a third-party financial institution serves as trustee. Consequently, at March 31, 2026, Ms. Simmons and the Family Trust may be deemed to control Contran, and therefore may be deemed to indirectly control the wholly-owned subsidiary of Contran, Valhi, NL and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Basis of presentation.</w:t>
      </w:r>
      <w:r>
        <w:rPr>
          <w:rFonts w:ascii="Times New Roman;Times;serif" w:hAnsi="Times New Roman;Times;serif"/>
          <w:sz w:val="20"/>
        </w:rPr>
        <w:t xml:space="preserve"> Consolidated in this Quarterly Report are the results of CompX International Inc. and its subsidiaries. The unaudited Condensed Consolidated Financial Statements contained in this Quarterly Report have been prepared on the same basis as the audited Consolidated Financial Statements included in our Annual Report on Form 10-K for the year ended December 31, 2025 that we filed with the Securities and Exchange Commission (“SEC”) on March 4, 2026 (the “2025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2025 contained in this Quarterly Report as compared to our audited Consolidated Financial Statements at that date, and we have omitted certain information and footnote disclosures (including those related to the Consolidated Balance Sheet at December 31, 2025) normally included in financial statements prepared in accordance with accounting principles generally accepted in the United States of America (“GAAP”). Our results of operations for the interim period ended March 31, 2026 may not be indicative of our operating results for the full year. The Condensed Consolidated Financial Statements contained in this Quarterly Report should be read in conjunction with our 2025 Consolidated Financial Statements contained in our 2025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operations are reported on a 52 or 53-week year. For presentation purposes, annual and quarterly information in the Condensed Consolidated Financial Statements and accompanying notes are presented as ended March 31, 2025, December 31, 2025 and March 31, 2026. The actual dates of our annual and quarterly periods are March 30, 2025, December 28, 2025 and March 29, 2026, respectively. Unless otherwise indicated, references in this report to “we”, “us” or “our” refer to CompX International Inc. and its subsidiaries, taken as a whole.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380" w:name="Tc_w6unTIaAz0ORk6UceyX42g_37_5"/>
      <w:bookmarkStart w:id="381" w:name="Tc_M_-qqSnyBEqYXRTFnHXSeA_37_2"/>
      <w:bookmarkStart w:id="382" w:name="Tc_ZclhaIE-I0GxuALRId3Y9A_37_0"/>
      <w:bookmarkStart w:id="383" w:name="Tc_NMXcJx3HrU-jRmnWgvlYZA_36_0"/>
      <w:bookmarkStart w:id="384" w:name="Tc_Djj9S28UmkyhmmrhwkqkNg_35_5"/>
      <w:bookmarkStart w:id="385" w:name="Tc_7XErCa4b-0ajKH1qgV2L6g_35_2"/>
      <w:bookmarkStart w:id="386" w:name="Tc_W1yo6eods0G7VYYtlbw3yQ_35_0"/>
      <w:bookmarkStart w:id="387" w:name="Tc_v0KH0bXaJUaO37woTDnOxg_34_0"/>
      <w:bookmarkStart w:id="388" w:name="Tc_1cgcnhyv40GnCmZWWYwamw_32_5"/>
      <w:bookmarkStart w:id="389" w:name="Tc_41-uxslvgUGNCJXStQ3QNQ_32_2"/>
      <w:bookmarkStart w:id="390" w:name="Tc_lKhycnPtLUW9OPHWrauZAg_32_0"/>
      <w:bookmarkStart w:id="391" w:name="Tc_H-I7AG9T9UyWz7Py6BKN9g_31_0"/>
      <w:bookmarkStart w:id="392" w:name="Tc_mK-auyueW0WwBboS71OgIA_30_0"/>
      <w:bookmarkStart w:id="393" w:name="Tc_n96rKpBpCkyFLj1oc944Qw_29_0"/>
      <w:bookmarkStart w:id="394" w:name="Tc_W80a1qjdy0-IHKiepR5Bsw_28_0"/>
      <w:bookmarkStart w:id="395" w:name="Tc_Lb56tl-Ju0-4IPljipos6A_27_0"/>
      <w:bookmarkStart w:id="396" w:name="Tc_iUb45yPW5U-gOtAGtKABSA_26_5"/>
      <w:bookmarkStart w:id="397" w:name="Tc_W2RrSf2FuEe7H_AKD0505A_26_2"/>
      <w:bookmarkStart w:id="398" w:name="Tc_JJmGIl1et0CEIUzs-0uTBg_26_0"/>
      <w:bookmarkStart w:id="399" w:name="Tc_3J8YeRnydUaWwTRC2_jO8A_25_0"/>
      <w:bookmarkStart w:id="400" w:name="Tc_QgbZvmalDU2YVNQdCl1PgA_23_5"/>
      <w:bookmarkStart w:id="401" w:name="Tc_DI4dnbEd3UGPqC_VAPchKQ_23_2"/>
      <w:bookmarkStart w:id="402" w:name="Tc_qLEwuxY9z0eV2-7A6fXKcQ_23_0"/>
      <w:bookmarkStart w:id="403" w:name="Tc_n-WzcrkdPUS-wheqXHmUNg_22_0"/>
      <w:bookmarkStart w:id="404" w:name="Tc_3HtEdmjKxUqbMPBxGmslKA_21_5"/>
      <w:bookmarkStart w:id="405" w:name="Tc_ejhsc2E3Ik2Oz4UYX7kk0g_21_2"/>
      <w:bookmarkStart w:id="406" w:name="Tc_e67Yzd_0VEa4_ssCUHdUqQ_21_0"/>
      <w:bookmarkStart w:id="407" w:name="Tc_ZfMFCYmX10Gx0P4LdEn_Zw_20_0"/>
      <w:bookmarkStart w:id="408" w:name="Tc_Yw5Z-WHkB0KsDo-B8mDFow_18_5"/>
      <w:bookmarkStart w:id="409" w:name="Tc_uqt2AGEO9k2RTNSHiAqnsw_18_2"/>
      <w:bookmarkStart w:id="410" w:name="Tc_kObz4uVUHUGuBgTrppmEkQ_18_0"/>
      <w:bookmarkStart w:id="411" w:name="Tc_wbF6x06MOk2RhSkwfhsHFQ_17_0"/>
      <w:bookmarkStart w:id="412" w:name="Tc_qb0oQ1fDaUWuCqvFYJP_Sw_16_5"/>
      <w:bookmarkStart w:id="413" w:name="Tc_0LR_2BNB3E68WBxljz_l_Q_16_2"/>
      <w:bookmarkStart w:id="414" w:name="Tc_LCVKEj8acUms6e6py_R1gw_16_0"/>
      <w:bookmarkStart w:id="415" w:name="Tc_HMy1wF_fz0iN13Bw0nvrYQ_15_0"/>
      <w:bookmarkStart w:id="416" w:name="Tc_rwwBnPEBPk2Yo6u-NUOhIg_13_5"/>
      <w:bookmarkStart w:id="417" w:name="Tc_MVnlTgjlzkO52BS4iDWJHg_13_2"/>
      <w:bookmarkStart w:id="418" w:name="Tc_9ffvlbfd50G8gN6SkuZ3lQ_13_0"/>
      <w:bookmarkStart w:id="419" w:name="Tc_KzZJ4qM2c0mu5-DXkXUopg_12_0"/>
      <w:bookmarkStart w:id="420" w:name="Tc_kLN55rCMbE6vsopGP-ccPg_11_5"/>
      <w:bookmarkStart w:id="421" w:name="Tc_5OIex-G88Ua6RsHK4hQaGQ_11_2"/>
      <w:bookmarkStart w:id="422" w:name="Tc_3K5eRAKbWEmxnJ7an4M-1A_11_0"/>
      <w:bookmarkStart w:id="423" w:name="Tc_SbVwS4tV00eOdmNm7HojaA_10_0"/>
      <w:bookmarkStart w:id="424" w:name="Tc_uPspW3Aki0-Y6ammfsHfQw_8_5"/>
      <w:bookmarkStart w:id="425" w:name="Tc_E5YDhyzVBkKC-pqtnDydBw_8_2"/>
      <w:bookmarkStart w:id="426" w:name="Tc_q1JwPVU9akeO_4CyfWhyxw_8_0"/>
      <w:bookmarkStart w:id="427" w:name="Tc_Es1l50IGPkGBM8usag55XA_7_0"/>
      <w:bookmarkStart w:id="428" w:name="Tc_f4N6NUGK9UKQNaE8Jxsz8w_6_5"/>
      <w:bookmarkStart w:id="429" w:name="Tc_6yOjY54k3UWTZshXIQd7rg_6_2"/>
      <w:bookmarkStart w:id="430" w:name="Tc_yKbTvj7RI0u3navlz8xTgA_6_0"/>
      <w:bookmarkStart w:id="431" w:name="Tc_u4qvRcp0hEGTaNz1zQ78Bg_5_0"/>
      <w:bookmarkStart w:id="432" w:name="Tc_wXHxb353TEWe3HB-4RzXgQ_4_2"/>
      <w:bookmarkStart w:id="433" w:name="Tc_TWNkpLGxmE-ibJOgx851cw_3_5"/>
      <w:bookmarkStart w:id="434" w:name="Tc_99ykvA5OskS23PgFAyDBKg_3_2"/>
      <w:bookmarkStart w:id="435" w:name="Tc_HscuEDHxOEqmPGqnUFBA-g_2_2"/>
      <w:bookmarkStart w:id="436" w:name="Tc_s707T3Kwo0Of5_5vpzOX2A_1_2"/>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r>
        <w:rPr>
          <w:rFonts w:ascii="Times New Roman;Times;serif" w:hAnsi="Times New Roman;Times;serif"/>
          <w:b/>
          <w:sz w:val="20"/>
        </w:rPr>
        <w:t>Note 2 – Business segment information:</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Our chief operating decision maker (“CODM”) evaluates segment performance based on segment operating income, which is defined as income before income taxes, exclusive of certain general corporate income and expense items (primarily interest income) and certain non-recurring items (such as gains or losses on the disposition of long-lived assets outside the ordinary course of business).</w:t>
      </w:r>
    </w:p>
    <w:p>
      <w:pPr>
        <w:pStyle w:val="TextBody"/>
        <w:bidi w:val="0"/>
        <w:spacing w:before="0" w:after="0"/>
        <w:ind w:left="0" w:right="0" w:hanging="0"/>
        <w:jc w:val="left"/>
        <w:rPr/>
      </w:pPr>
      <w:r>
        <w:rPr/>
        <w:t>​</w:t>
      </w:r>
    </w:p>
    <w:tbl>
      <w:tblPr>
        <w:tblW w:w="6982" w:type="dxa"/>
        <w:jc w:val="left"/>
        <w:tblInd w:w="0" w:type="dxa"/>
        <w:tblLayout w:type="fixed"/>
        <w:tblCellMar>
          <w:top w:w="0" w:type="dxa"/>
          <w:left w:w="0" w:type="dxa"/>
          <w:bottom w:w="0" w:type="dxa"/>
          <w:right w:w="0" w:type="dxa"/>
        </w:tblCellMar>
      </w:tblPr>
      <w:tblGrid>
        <w:gridCol w:w="4441"/>
        <w:gridCol w:w="346"/>
        <w:gridCol w:w="211"/>
        <w:gridCol w:w="691"/>
        <w:gridCol w:w="346"/>
        <w:gridCol w:w="211"/>
        <w:gridCol w:w="736"/>
      </w:tblGrid>
      <w:tr>
        <w:trPr/>
        <w:tc>
          <w:tcPr>
            <w:tcW w:w="4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38785" cy="175260"/>
                      <wp:effectExtent l="0" t="0" r="0" b="0"/>
                      <wp:wrapNone/>
                      <wp:docPr id="45" name="Frame4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67360" cy="175260"/>
                      <wp:effectExtent l="0" t="0" r="0" b="0"/>
                      <wp:wrapNone/>
                      <wp:docPr id="48" name="Frame4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9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4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4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698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9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29,896</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10,673</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40,272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40,569</w:t>
            </w:r>
          </w:p>
        </w:tc>
      </w:tr>
      <w:tr>
        <w:trPr/>
        <w:tc>
          <w:tcPr>
            <w:tcW w:w="44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19,872</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7,445</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27,317</w:t>
            </w:r>
          </w:p>
        </w:tc>
      </w:tr>
      <w:tr>
        <w:trPr/>
        <w:tc>
          <w:tcPr>
            <w:tcW w:w="4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10,024</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3,228</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13,252</w:t>
            </w:r>
          </w:p>
        </w:tc>
      </w:tr>
      <w:tr>
        <w:trPr/>
        <w:tc>
          <w:tcPr>
            <w:tcW w:w="44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selling, general and administrative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3,449</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917</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4,366</w:t>
            </w:r>
          </w:p>
        </w:tc>
      </w:tr>
      <w:tr>
        <w:trPr/>
        <w:tc>
          <w:tcPr>
            <w:tcW w:w="4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6,575</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2,311</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operating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7,762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8,886</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(1,836)</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7,050</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677</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7,727</w:t>
            </w:r>
          </w:p>
        </w:tc>
      </w:tr>
      <w:tr>
        <w:trPr/>
        <w:tc>
          <w:tcPr>
            <w:tcW w:w="44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576</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292</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868</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Intersegment sales are not material.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
        </w:rPr>
      </w:pPr>
      <w:r>
        <w:rPr>
          <w:rFonts w:ascii="Times New Roman;Times;serif" w:hAnsi="Times New Roman;Times;serif"/>
          <w:sz w:val="2"/>
        </w:rPr>
        <w:t>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37" w:name="Tc_edGblm7lO0GgcOqaviBqjQ_8_5"/>
      <w:bookmarkStart w:id="438" w:name="Tc_Z5gEhkVGv0yAuynVxwhVQQ_8_2"/>
      <w:bookmarkStart w:id="439" w:name="Tc_-jHHyoEFEkyHWSg5-GaqsQ_8_0"/>
      <w:bookmarkStart w:id="440" w:name="Tc_-DrBcgl30kCTZcuyDfhhvg_7_0"/>
      <w:bookmarkStart w:id="441" w:name="Tc_2GCthoynDkaacHYRBlT-_g_6_0"/>
      <w:bookmarkStart w:id="442" w:name="Tc_660o1bUTDUeFTsJilQwvVQ_5_5"/>
      <w:bookmarkStart w:id="443" w:name="Tc_NYXHp-O3xE6n7omxJ4pWyQ_5_2"/>
      <w:bookmarkStart w:id="444" w:name="Tc_R10_pUsTpUiYOJYYJA0b_w_5_0"/>
      <w:bookmarkStart w:id="445" w:name="Tc_-knYjRxXvUenuEMxR2_I8Q_4_0"/>
      <w:bookmarkStart w:id="446" w:name="Tc_DfDRDa8dQEWlOI6qQ3_Rrg_3_2"/>
      <w:bookmarkStart w:id="447" w:name="Tc_vQ3MA6dPwkmQiBGA1mX54g_2_5"/>
      <w:bookmarkStart w:id="448" w:name="Tc_FsayiVpdgECWVq9-jpuWhw_2_2"/>
      <w:bookmarkStart w:id="449" w:name="Tc_LK2S7SHZLkGP2Ah_dHO6DQ_1_5"/>
      <w:bookmarkStart w:id="450" w:name="Tc_jmo1JFWQx0eQIwY-wPwlFA_1_2"/>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rFonts w:ascii="Times New Roman;Times;serif" w:hAnsi="Times New Roman;Times;serif"/>
          <w:b/>
          <w:sz w:val="20"/>
        </w:rPr>
        <w:t>Note 3 – Accounts receivable, net:</w:t>
      </w:r>
    </w:p>
    <w:p>
      <w:pPr>
        <w:pStyle w:val="TextBody"/>
        <w:bidi w:val="0"/>
        <w:spacing w:before="0" w:after="0"/>
        <w:ind w:left="0" w:right="0" w:hanging="0"/>
        <w:jc w:val="left"/>
        <w:rPr/>
      </w:pPr>
      <w:r>
        <w:rPr/>
        <w:t>​</w:t>
      </w:r>
    </w:p>
    <w:tbl>
      <w:tblPr>
        <w:tblW w:w="5838" w:type="dxa"/>
        <w:jc w:val="left"/>
        <w:tblInd w:w="0" w:type="dxa"/>
        <w:tblLayout w:type="fixed"/>
        <w:tblCellMar>
          <w:top w:w="0" w:type="dxa"/>
          <w:left w:w="0" w:type="dxa"/>
          <w:bottom w:w="0" w:type="dxa"/>
          <w:right w:w="0" w:type="dxa"/>
        </w:tblCellMar>
      </w:tblPr>
      <w:tblGrid>
        <w:gridCol w:w="2776"/>
        <w:gridCol w:w="346"/>
        <w:gridCol w:w="310"/>
        <w:gridCol w:w="995"/>
        <w:gridCol w:w="346"/>
        <w:gridCol w:w="226"/>
        <w:gridCol w:w="839"/>
      </w:tblGrid>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96850" cy="175260"/>
                      <wp:effectExtent l="0" t="0" r="0" b="0"/>
                      <wp:wrapNone/>
                      <wp:docPr id="50" name="Frame50"/>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31825" cy="175260"/>
                      <wp:effectExtent l="0" t="0" r="0" b="0"/>
                      <wp:wrapNone/>
                      <wp:docPr id="51" name="Frame51"/>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43510" cy="175260"/>
                      <wp:effectExtent l="0" t="0" r="0" b="0"/>
                      <wp:wrapNone/>
                      <wp:docPr id="53" name="Frame5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32765" cy="175260"/>
                      <wp:effectExtent l="0" t="0" r="0" b="0"/>
                      <wp:wrapNone/>
                      <wp:docPr id="54" name="Frame54"/>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583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  ​</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11,474</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13,990</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5,039</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18,959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240" w:after="240"/>
        <w:ind w:left="0" w:right="0" w:hanging="0"/>
        <w:jc w:val="left"/>
        <w:rPr>
          <w:rFonts w:ascii="Times New Roman;Times;serif" w:hAnsi="Times New Roman;Times;serif"/>
          <w:b/>
          <w:sz w:val="20"/>
        </w:rPr>
      </w:pPr>
      <w:bookmarkStart w:id="451" w:name="Tc_LAI8n5xVOkmOpwoLSXkaUA_16_5"/>
      <w:bookmarkStart w:id="452" w:name="Tc_FLqAye5mT0ejS4OkNWoN0w_16_2"/>
      <w:bookmarkStart w:id="453" w:name="Tc_n357xAgXjEejXN9qpyuU-g_16_0"/>
      <w:bookmarkStart w:id="454" w:name="Tc_7rKtkk2mEEmM7F2NFgIecA_15_0"/>
      <w:bookmarkStart w:id="455" w:name="Tc_duonQPnv0kGwbbn22jePbA_14_0"/>
      <w:bookmarkStart w:id="456" w:name="Tc_PHVun0VoOUaj8i6eKyftLg_13_0"/>
      <w:bookmarkStart w:id="457" w:name="Tc_Tnw5sHeY2E6Ezh7Wq0O15g_12_0"/>
      <w:bookmarkStart w:id="458" w:name="Tc_wI5H1yLmXkiz6uTG1SXgwQ_11_0"/>
      <w:bookmarkStart w:id="459" w:name="Tc_AXmMyKvtzkyVllsj-1xFVQ_10_0"/>
      <w:bookmarkStart w:id="460" w:name="Tc_iEFRteVc2kubn9KwUOLbRQ_9_0"/>
      <w:bookmarkStart w:id="461" w:name="Tc_CU-6MOv180ObG5SLfCZR_A_8_0"/>
      <w:bookmarkStart w:id="462" w:name="Tc_IebF-djj3U2_wTD1iqCdpA_7_0"/>
      <w:bookmarkStart w:id="463" w:name="Tc_s2h0Pvh85kGlmySy5lsWHg_6_0"/>
      <w:bookmarkStart w:id="464" w:name="Tc_M044CLA42UCvrrZm4lzgaw_5_5"/>
      <w:bookmarkStart w:id="465" w:name="Tc_f13OVpZw0EeOJbWeLsIGiQ_5_2"/>
      <w:bookmarkStart w:id="466" w:name="Tc_MvVjgyImQ06ZqQtmiJScuw_5_0"/>
      <w:bookmarkStart w:id="467" w:name="Tc_TA6JuxpFVEa9Vq-A70vr0g_4_0"/>
      <w:bookmarkStart w:id="468" w:name="Tc_i7KipDvgTkaxuAuiplyqhg_3_2"/>
      <w:bookmarkStart w:id="469" w:name="Tc_SkZn2Jf_oESwjb62f-BmLg_2_5"/>
      <w:bookmarkStart w:id="470" w:name="Tc_05SSoLUrFkOCNkhke9BOog_2_2"/>
      <w:bookmarkStart w:id="471" w:name="Tc_rgwEgzdPDk-isG5OrKL-iQ_1_5"/>
      <w:bookmarkStart w:id="472" w:name="Tc_Cl3k6FhQ8UufppHrQjtyng_1_2"/>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r>
        <w:rPr>
          <w:rFonts w:ascii="Times New Roman;Times;serif" w:hAnsi="Times New Roman;Times;serif"/>
          <w:b/>
          <w:sz w:val="20"/>
        </w:rPr>
        <w:t>Note 4 – Inventories, net:</w:t>
      </w:r>
    </w:p>
    <w:p>
      <w:pPr>
        <w:pStyle w:val="TextBody"/>
        <w:bidi w:val="0"/>
        <w:spacing w:before="0" w:after="0"/>
        <w:ind w:left="0" w:right="0" w:hanging="0"/>
        <w:jc w:val="left"/>
        <w:rPr/>
      </w:pPr>
      <w:r>
        <w:rPr/>
        <w:t>​</w:t>
      </w:r>
    </w:p>
    <w:tbl>
      <w:tblPr>
        <w:tblW w:w="4953" w:type="dxa"/>
        <w:jc w:val="left"/>
        <w:tblInd w:w="0" w:type="dxa"/>
        <w:tblLayout w:type="fixed"/>
        <w:tblCellMar>
          <w:top w:w="0" w:type="dxa"/>
          <w:left w:w="0" w:type="dxa"/>
          <w:bottom w:w="0" w:type="dxa"/>
          <w:right w:w="0" w:type="dxa"/>
        </w:tblCellMar>
      </w:tblPr>
      <w:tblGrid>
        <w:gridCol w:w="1891"/>
        <w:gridCol w:w="346"/>
        <w:gridCol w:w="310"/>
        <w:gridCol w:w="995"/>
        <w:gridCol w:w="346"/>
        <w:gridCol w:w="224"/>
        <w:gridCol w:w="841"/>
      </w:tblGrid>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96850" cy="175260"/>
                      <wp:effectExtent l="0" t="0" r="0" b="0"/>
                      <wp:wrapNone/>
                      <wp:docPr id="56" name="Frame56"/>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31825" cy="175260"/>
                      <wp:effectExtent l="0" t="0" r="0" b="0"/>
                      <wp:wrapNone/>
                      <wp:docPr id="57" name="Frame57"/>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42240" cy="175260"/>
                      <wp:effectExtent l="0" t="0" r="0" b="0"/>
                      <wp:wrapNone/>
                      <wp:docPr id="59" name="Frame59"/>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34035" cy="175260"/>
                      <wp:effectExtent l="0" t="0" r="0" b="0"/>
                      <wp:wrapNone/>
                      <wp:docPr id="60" name="Frame6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95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3,979</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3,751</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1,592</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raw materials</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5,620</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5,343</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14,313</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14,706</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5,594</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5,618</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work-in-process</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19,907</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20,324</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3,002</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2,967</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1,436</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finished goods</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4,883</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4,403</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inventories, net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30,410</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30,070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240" w:after="240"/>
        <w:ind w:left="0" w:right="0" w:hanging="0"/>
        <w:jc w:val="left"/>
        <w:rPr>
          <w:rFonts w:ascii="Times New Roman;Times;serif" w:hAnsi="Times New Roman;Times;serif"/>
          <w:b/>
          <w:sz w:val="20"/>
        </w:rPr>
      </w:pPr>
      <w:bookmarkStart w:id="473" w:name="Tc_d4IOepwjTkaabgTReDU2Og_17_5"/>
      <w:bookmarkStart w:id="474" w:name="Tc_Rxbd0v8gx0O85FW1eJIoUA_17_2"/>
      <w:bookmarkStart w:id="475" w:name="Tc_NouYIeJsXkionGzS8dGgiw_17_0"/>
      <w:bookmarkStart w:id="476" w:name="Tc__1kE7a8lokCQ6Vi5S3WsPg_16_0"/>
      <w:bookmarkStart w:id="477" w:name="Tc_jjnEmLt9wkiZ_OTJ_CLI1g_15_0"/>
      <w:bookmarkStart w:id="478" w:name="Tc_Gqunu38Qck2icUOOIR3ybw_14_0"/>
      <w:bookmarkStart w:id="479" w:name="Tc_EISxB0sQj0qnCFut0_CElA_13_0"/>
      <w:bookmarkStart w:id="480" w:name="Tc_kBqb9Uexs0yT6n7gI5k1Nw_12_0"/>
      <w:bookmarkStart w:id="481" w:name="Tc_lUm64VXuREitIW-BWZ-jLA_11_0"/>
      <w:bookmarkStart w:id="482" w:name="Tc_vURigiM1ZkCHrWFk0wAZLg_10_0"/>
      <w:bookmarkStart w:id="483" w:name="Tc_V_CMMeyJEU6tFq-AQFwb1Q_9_0"/>
      <w:bookmarkStart w:id="484" w:name="Tc_klW4S1UlXki83vO_f-aXxg_8_0"/>
      <w:bookmarkStart w:id="485" w:name="Tc_SX6Jg5mSRkiZu_0p3EKOuw_7_0"/>
      <w:bookmarkStart w:id="486" w:name="Tc_-TWka6N9rkulf0pSxmX2iQ_6_0"/>
      <w:bookmarkStart w:id="487" w:name="Tc_cLDITJvetk66g_a0X1-r5A_5_5"/>
      <w:bookmarkStart w:id="488" w:name="Tc_qUyZi_2qbUeuRgY5h5P9iA_5_2"/>
      <w:bookmarkStart w:id="489" w:name="Tc_ydPZX8iylEiGxs5U1U3SbQ_5_0"/>
      <w:bookmarkStart w:id="490" w:name="Tc_x6tkwHWq_0ieRneUOYCZRQ_4_0"/>
      <w:bookmarkStart w:id="491" w:name="Tc_ZhrJmZMGe02XNY3VptyWFg_3_2"/>
      <w:bookmarkStart w:id="492" w:name="Tc_QVMhsSf9JUGvsO8uCOrIvQ_2_5"/>
      <w:bookmarkStart w:id="493" w:name="Tc_uCLH5nECg0mN2lZ6w_DQIA_2_2"/>
      <w:bookmarkStart w:id="494" w:name="Tc_LeppRUqaSEePjmAmBt9Tkw_1_5"/>
      <w:bookmarkStart w:id="495" w:name="Tc_PBDsij6QU0u7WEu2Iyod_A_1_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r>
        <w:rPr>
          <w:rFonts w:ascii="Times New Roman;Times;serif" w:hAnsi="Times New Roman;Times;serif"/>
          <w:b/>
          <w:sz w:val="20"/>
        </w:rPr>
        <w:t>Note 5 – Accounts payable and accrued liabilities:</w:t>
      </w:r>
    </w:p>
    <w:p>
      <w:pPr>
        <w:pStyle w:val="TextBody"/>
        <w:bidi w:val="0"/>
        <w:spacing w:before="0" w:after="0"/>
        <w:ind w:left="0" w:right="0" w:hanging="0"/>
        <w:jc w:val="left"/>
        <w:rPr/>
      </w:pPr>
      <w:r>
        <w:rPr/>
        <w:t>​</w:t>
      </w:r>
    </w:p>
    <w:tbl>
      <w:tblPr>
        <w:tblW w:w="6918" w:type="dxa"/>
        <w:jc w:val="left"/>
        <w:tblInd w:w="0" w:type="dxa"/>
        <w:tblLayout w:type="fixed"/>
        <w:tblCellMar>
          <w:top w:w="0" w:type="dxa"/>
          <w:left w:w="0" w:type="dxa"/>
          <w:bottom w:w="0" w:type="dxa"/>
          <w:right w:w="0" w:type="dxa"/>
        </w:tblCellMar>
      </w:tblPr>
      <w:tblGrid>
        <w:gridCol w:w="3856"/>
        <w:gridCol w:w="346"/>
        <w:gridCol w:w="310"/>
        <w:gridCol w:w="995"/>
        <w:gridCol w:w="346"/>
        <w:gridCol w:w="226"/>
        <w:gridCol w:w="839"/>
      </w:tblGrid>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96850" cy="175260"/>
                      <wp:effectExtent l="0" t="0" r="0" b="0"/>
                      <wp:wrapNone/>
                      <wp:docPr id="62" name="Frame6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31825" cy="175260"/>
                      <wp:effectExtent l="0" t="0" r="0" b="0"/>
                      <wp:wrapNone/>
                      <wp:docPr id="63" name="Frame63"/>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43510" cy="175260"/>
                      <wp:effectExtent l="0" t="0" r="0" b="0"/>
                      <wp:wrapNone/>
                      <wp:docPr id="65" name="Frame6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32765" cy="175260"/>
                      <wp:effectExtent l="0" t="0" r="0" b="0"/>
                      <wp:wrapNone/>
                      <wp:docPr id="66" name="Frame66"/>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691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  ​</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2,153</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2,414</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739</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5,562</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other than on income</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441</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409</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Advances from customers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169</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Utilities</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tooling</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308</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accounts payable and accrued liabilities</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15,320</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10,424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- 9 -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96" w:name="Tc_aZy7NpRBeUe746jr9CcnHw_8_5"/>
      <w:bookmarkStart w:id="497" w:name="Tc_O0Vxn7RW1kKEvSDvy_nd9g_8_2"/>
      <w:bookmarkStart w:id="498" w:name="Tc_HGdNRjMoskWdhn5xPDGQVA_8_0"/>
      <w:bookmarkStart w:id="499" w:name="Tc_rCWY7sG_oUe89kuI3YFpjw_7_0"/>
      <w:bookmarkStart w:id="500" w:name="Tc_nbEnTo1J3Ea4uTOql_WTOw_6_0"/>
      <w:bookmarkStart w:id="501" w:name="Tc_89u3yJEk4Uqjtu-YuJgqQQ_5_5"/>
      <w:bookmarkStart w:id="502" w:name="Tc_o_OMm5b1kUm0pmlrzDU1Bw_5_2"/>
      <w:bookmarkStart w:id="503" w:name="Tc_kr4iYuphcEezqT4Wuqm5Sg_5_0"/>
      <w:bookmarkStart w:id="504" w:name="Tc_dbDnL3kuM0G3K8lFBcV2TA_4_2"/>
      <w:bookmarkStart w:id="505" w:name="Tc_izlIbTqtxEKnRzYMrlkMGw_3_5"/>
      <w:bookmarkStart w:id="506" w:name="Tc_PGUj4WzGgU2cyuMr0xkUzA_3_2"/>
      <w:bookmarkStart w:id="507" w:name="Tc_45NFEMmYWEC2N3aUXKxuUg_2_2"/>
      <w:bookmarkStart w:id="508" w:name="Tc_VYdnxy5ul0CGs9sw2WB56A_1_2"/>
      <w:bookmarkEnd w:id="496"/>
      <w:bookmarkEnd w:id="497"/>
      <w:bookmarkEnd w:id="498"/>
      <w:bookmarkEnd w:id="499"/>
      <w:bookmarkEnd w:id="500"/>
      <w:bookmarkEnd w:id="501"/>
      <w:bookmarkEnd w:id="502"/>
      <w:bookmarkEnd w:id="503"/>
      <w:bookmarkEnd w:id="504"/>
      <w:bookmarkEnd w:id="505"/>
      <w:bookmarkEnd w:id="506"/>
      <w:bookmarkEnd w:id="507"/>
      <w:bookmarkEnd w:id="508"/>
      <w:r>
        <w:rPr>
          <w:rFonts w:ascii="Times New Roman;Times;serif" w:hAnsi="Times New Roman;Times;serif"/>
          <w:b/>
          <w:sz w:val="20"/>
        </w:rPr>
        <w:t>Note 6 – Income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provision for income taxes and the difference between such provision for income taxes and the amount that would be expected using the U.S. federal statutory income tax rate of 21% are presented below.</w:t>
      </w:r>
    </w:p>
    <w:p>
      <w:pPr>
        <w:pStyle w:val="TextBody"/>
        <w:bidi w:val="0"/>
        <w:spacing w:before="0" w:after="0"/>
        <w:ind w:left="0" w:right="0" w:hanging="0"/>
        <w:jc w:val="left"/>
        <w:rPr/>
      </w:pPr>
      <w:r>
        <w:rPr/>
        <w:t>​</w:t>
      </w:r>
    </w:p>
    <w:tbl>
      <w:tblPr>
        <w:tblW w:w="6442" w:type="dxa"/>
        <w:jc w:val="left"/>
        <w:tblInd w:w="0" w:type="dxa"/>
        <w:tblLayout w:type="fixed"/>
        <w:tblCellMar>
          <w:top w:w="0" w:type="dxa"/>
          <w:left w:w="0" w:type="dxa"/>
          <w:bottom w:w="0" w:type="dxa"/>
          <w:right w:w="0" w:type="dxa"/>
        </w:tblCellMar>
      </w:tblPr>
      <w:tblGrid>
        <w:gridCol w:w="4081"/>
        <w:gridCol w:w="346"/>
        <w:gridCol w:w="211"/>
        <w:gridCol w:w="571"/>
        <w:gridCol w:w="346"/>
        <w:gridCol w:w="211"/>
        <w:gridCol w:w="676"/>
      </w:tblGrid>
      <w:tr>
        <w:trPr/>
        <w:tc>
          <w:tcPr>
            <w:tcW w:w="4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68"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362585" cy="175260"/>
                      <wp:effectExtent l="0" t="0" r="0" b="0"/>
                      <wp:wrapNone/>
                      <wp:docPr id="69" name="Frame6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29260" cy="175260"/>
                      <wp:effectExtent l="0" t="0" r="0" b="0"/>
                      <wp:wrapNone/>
                      <wp:docPr id="72" name="Frame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4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4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644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1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federal statutory tax rate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1,623</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income taxes, net of federal income tax rate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238</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1,875</w:t>
            </w:r>
          </w:p>
        </w:tc>
      </w:tr>
    </w:tbl>
    <w:p>
      <w:pPr>
        <w:pStyle w:val="TextBody"/>
        <w:bidi w:val="0"/>
        <w:spacing w:before="0" w:after="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July 4, 2025, the One Big Beautiful Bill Act was signed into law.  It did not have a material impact on our consolidated financial statements.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 Leases: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March 2026, we entered into an operating lease for our distribution center located in Southern California. Upon commencement, we recognized an operating lease right-of-use asset and a corresponding operating lease liability, which are included in our Condensed Consolidated Balance Sheet. As of March 31, 2026, the remaining lease term of our operating lease was approximately 7 years and the discount rate associated with such lease was 6.75%.</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Note 8 – Commitments and contingencies: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be involved in various environmental, contractual, product liability, patent (or intellectual property), employment and other claims and disputes incidental to our business. At least quarterly our management discusses and evaluates the status of any pending litigation to which we are a party. The factors considered in such evaluation include, among other things, the nature of such pending cases, the status of such pending cases, the advice of legal counsel and our experience in similar cases (if any). Based on such evaluation, we make a determination as to whether we believe (i) it is probable a loss has been incurred, and if so if the amount of such loss (or a range of loss) is reasonably estimable, or (ii) it is reasonably possible but not probable a loss has been incurred, and if so if the amount of such loss (or a range of loss) is reasonably estimable, or (iii) the probability a loss has been incurred is remote. We have not accrued any amounts for litigation matters because of the uncertainty of the liability and inability to reasonably estimate the liability, if any. We currently believe the disposition of all claims and disputes, individually or in the aggregate, should not have a material adverse effect on our Consolidated Financial Statements, results of operations or liquidity.</w:t>
      </w:r>
    </w:p>
    <w:p>
      <w:pPr>
        <w:pStyle w:val="TextBody"/>
        <w:bidi w:val="0"/>
        <w:spacing w:before="240" w:after="240"/>
        <w:ind w:left="0" w:right="0" w:hanging="0"/>
        <w:jc w:val="left"/>
        <w:rPr>
          <w:rFonts w:ascii="Times New Roman;Times;serif" w:hAnsi="Times New Roman;Times;serif"/>
          <w:b/>
          <w:sz w:val="20"/>
        </w:rPr>
      </w:pPr>
      <w:bookmarkStart w:id="509" w:name="Tc_shzdmKsVtka869GCYvLGiQ_5_11"/>
      <w:bookmarkStart w:id="510" w:name="Tc_jy2hcycYH0u6NImJ1i8dCQ_5_8"/>
      <w:bookmarkStart w:id="511" w:name="Tc_FMikBETgxUSIMQ9OGRaXNQ_5_5"/>
      <w:bookmarkStart w:id="512" w:name="Tc_JqykrGkOt0WgRB1cwQBu3g_5_2"/>
      <w:bookmarkStart w:id="513" w:name="Tc_6gUyeXIN_UeJbcwRx4XO-w_5_0"/>
      <w:bookmarkStart w:id="514" w:name="Tc_mybyHTG8Rken0zrRxnOcAA_4_2"/>
      <w:bookmarkStart w:id="515" w:name="Tc_-x2zgdIoi066bQkBKg20fg_3_11"/>
      <w:bookmarkStart w:id="516" w:name="Tc_XOj6l7DO3UqDEgMk7V3Ykw_3_8"/>
      <w:bookmarkStart w:id="517" w:name="Tc_H9lBdIaD4kCH99PjE4E7wA_3_5"/>
      <w:bookmarkStart w:id="518" w:name="Tc_2UGdIJLIRUaslDrGjkC56A_3_2"/>
      <w:bookmarkStart w:id="519" w:name="Tc_FAu7H8wrake07_y5UlSODg_2_11"/>
      <w:bookmarkStart w:id="520" w:name="Tc_hcC0aJsMe0-4B0SgcAJ6uA_2_8"/>
      <w:bookmarkStart w:id="521" w:name="Tc_eOzchrEzsU-LHh-uXR5vCw_2_5"/>
      <w:bookmarkStart w:id="522" w:name="Tc__d-6DOKL3UC-uKxR-xCr6g_2_2"/>
      <w:bookmarkStart w:id="523" w:name="Tc_6_RqzpS84kOui9QmkVp-kg_1_8"/>
      <w:bookmarkStart w:id="524" w:name="Tc_TuCs9qYBFkSsp9bJosPh4w_1_2"/>
      <w:bookmarkStart w:id="525" w:name="_0ec9ecd1_2b8c_44de_bc15_87f40132d8c3"/>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r>
        <w:rPr>
          <w:rFonts w:ascii="Times New Roman;Times;serif" w:hAnsi="Times New Roman;Times;serif"/>
          <w:b/>
          <w:sz w:val="20"/>
        </w:rPr>
        <w:t>Note 9 – Financial instruments: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presents the financial instruments that are not carried at fair value but which require fair value disclosure:</w:t>
      </w:r>
    </w:p>
    <w:tbl>
      <w:tblPr>
        <w:tblW w:w="7331" w:type="dxa"/>
        <w:jc w:val="left"/>
        <w:tblInd w:w="0" w:type="dxa"/>
        <w:tblLayout w:type="fixed"/>
        <w:tblCellMar>
          <w:top w:w="0" w:type="dxa"/>
          <w:left w:w="0" w:type="dxa"/>
          <w:bottom w:w="0" w:type="dxa"/>
          <w:right w:w="0" w:type="dxa"/>
        </w:tblCellMar>
      </w:tblPr>
      <w:tblGrid>
        <w:gridCol w:w="2266"/>
        <w:gridCol w:w="346"/>
        <w:gridCol w:w="214"/>
        <w:gridCol w:w="687"/>
        <w:gridCol w:w="346"/>
        <w:gridCol w:w="211"/>
        <w:gridCol w:w="676"/>
        <w:gridCol w:w="346"/>
        <w:gridCol w:w="214"/>
        <w:gridCol w:w="687"/>
        <w:gridCol w:w="346"/>
        <w:gridCol w:w="211"/>
        <w:gridCol w:w="781"/>
      </w:tblGrid>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5890" cy="175260"/>
                      <wp:effectExtent l="0" t="0" r="0" b="0"/>
                      <wp:wrapNone/>
                      <wp:docPr id="74" name="Frame7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36245" cy="175260"/>
                      <wp:effectExtent l="0" t="0" r="0" b="0"/>
                      <wp:wrapNone/>
                      <wp:docPr id="75" name="Frame75"/>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29260" cy="175260"/>
                      <wp:effectExtent l="0" t="0" r="0" b="0"/>
                      <wp:wrapNone/>
                      <wp:docPr id="78" name="Frame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5890" cy="175260"/>
                      <wp:effectExtent l="0" t="0" r="0" b="0"/>
                      <wp:wrapNone/>
                      <wp:docPr id="80" name="Frame80"/>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36245" cy="175260"/>
                      <wp:effectExtent l="0" t="0" r="0" b="0"/>
                      <wp:wrapNone/>
                      <wp:docPr id="81" name="Frame81"/>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95935" cy="175260"/>
                      <wp:effectExtent l="0" t="0" r="0" b="0"/>
                      <wp:wrapNone/>
                      <wp:docPr id="84" name="Frame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1"/>
              <w:ind w:left="0" w:right="0" w:hanging="0"/>
              <w:jc w:val="left"/>
              <w:rPr/>
            </w:pPr>
            <w:r>
              <w:rPr/>
              <w:t>​</w:t>
            </w:r>
          </w:p>
        </w:tc>
        <w:tc>
          <w:tcPr>
            <w:tcW w:w="22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2026</w: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w: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46" w:type="dxa"/>
            <w:tcBorders/>
            <w:vAlign w:val="center"/>
          </w:tcPr>
          <w:p>
            <w:pPr>
              <w:pStyle w:val="TableContents"/>
              <w:bidi w:val="0"/>
              <w:spacing w:before="0" w:after="1"/>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733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719"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54,096</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49,438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49,438</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Due to their near-term maturities, the carrying amounts of accounts receivable and accounts payable are considered equivalent to fair value. See Notes 3 and 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 Related party transactions: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- 10 -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may be of a lesser credit quality than cash equivalent instruments otherwise available to us, we believe we have considered the credit risks in the terms of the applicable loans. In this regard, we have an unsecured revolving demand promissory note with Valhi under which, as amended, we agreed to loan Valhi up to $25 million. Our loan to Valhi, as amended, bears interest at prime plus 1.00%, payable quarterly, with all principal due on demand, but in any event no earlier than December 31, 2027. Loans made to Valhi at any time under the agreement are at our discretion. At March 31, 2026, the outstanding principal balance receivable from Valhi under the promissory note was $7.4 million. Interest income (including unused commitment fees) on our loan to Valhi was $.2 million for each of the three months ended March 31, 2025 and 2026.</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11 – 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No. 2024-03, </w:t>
      </w:r>
      <w:r>
        <w:rPr>
          <w:rFonts w:ascii="Times New Roman;Times;serif" w:hAnsi="Times New Roman;Times;serif"/>
          <w:i/>
          <w:sz w:val="20"/>
        </w:rPr>
        <w:t>Reporting Comprehensive Income - Expense Disaggregation Disclosures</w:t>
      </w:r>
      <w:r>
        <w:rPr>
          <w:rFonts w:ascii="Times New Roman;Times;serif" w:hAnsi="Times New Roman;Times;serif"/>
          <w:sz w:val="20"/>
        </w:rPr>
        <w:t>. The ASU requires additional information about specific expense categories in the notes to financial statements for both interim and annual reporting periods. The ASU is effective for us beginning with our 2027 Annual Report, and for interim reporting in the first quarter of 2028, with early adoption permitted. We are in the process of evaluating the additional disclosure requirements.</w:t>
      </w:r>
    </w:p>
    <w:p>
      <w:pPr>
        <w:pStyle w:val="Normal"/>
        <w:bidi w:val="0"/>
        <w:spacing w:before="0" w:after="0"/>
        <w:jc w:val="left"/>
        <w:rPr>
          <w:sz w:val="4"/>
          <w:szCs w:val="4"/>
        </w:rPr>
      </w:pPr>
      <w:r>
        <w:rPr>
          <w:sz w:val="4"/>
          <w:szCs w:val="4"/>
        </w:rPr>
      </w:r>
      <w:bookmarkStart w:id="526" w:name="ITEM2MANAGEMENTSDISCUSSIONANDANALYSIS_62"/>
      <w:bookmarkStart w:id="527" w:name="_c434e51f_f66c_4c3c_a0a3_c01abf0a8bfb"/>
      <w:bookmarkStart w:id="528" w:name="ITEM2MANAGEMENTSDISCUSSIONANDANALYSIS_62"/>
      <w:bookmarkStart w:id="529" w:name="_c434e51f_f66c_4c3c_a0a3_c01abf0a8bfb"/>
      <w:bookmarkEnd w:id="528"/>
      <w:bookmarkEnd w:id="529"/>
    </w:p>
    <w:tbl>
      <w:tblPr>
        <w:tblW w:w="10205" w:type="dxa"/>
        <w:jc w:val="left"/>
        <w:tblInd w:w="0" w:type="dxa"/>
        <w:tblLayout w:type="fixed"/>
        <w:tblCellMar>
          <w:top w:w="0" w:type="dxa"/>
          <w:left w:w="0" w:type="dxa"/>
          <w:bottom w:w="0" w:type="dxa"/>
          <w:right w:w="0" w:type="dxa"/>
        </w:tblCellMar>
      </w:tblPr>
      <w:tblGrid>
        <w:gridCol w:w="837"/>
        <w:gridCol w:w="9368"/>
      </w:tblGrid>
      <w:tr>
        <w:trPr/>
        <w:tc>
          <w:tcPr>
            <w:tcW w:w="837"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9368"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leading manufacturer of engineered components utilized in a variety of applications and industries. Through our Security Products segment we manufacture mechanical and electrical cabinet locks and other locking mechanisms used in postal, recreational transportation, office and institutional furniture, cabinetry, tool storage and healthcare applications. We also manufacture wake enhancement systems, stainless steel exhaust systems, custom metal fabricated parts, gauges, throttle controls, trim tabs and related hardware and accessories for the recreational marine and other industries through our Marine Components segment.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supply and demand for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raw material and other operating costs (such as zinc, brass, aluminum, steel and energy costs), including as a result of additional or changed tariffs on imported raw materials, and our ability to pass those costs on to our customers or offset them with reductions in other operating costs;</w:t>
            </w:r>
          </w:p>
        </w:tc>
      </w:tr>
    </w:tbl>
    <w:tbl>
      <w:tblPr>
        <w:tblW w:w="7371" w:type="dxa"/>
        <w:jc w:val="left"/>
        <w:tblInd w:w="0" w:type="dxa"/>
        <w:tblLayout w:type="fixed"/>
        <w:tblCellMar>
          <w:top w:w="28" w:type="dxa"/>
          <w:left w:w="28" w:type="dxa"/>
          <w:bottom w:w="28" w:type="dxa"/>
          <w:right w:w="28" w:type="dxa"/>
        </w:tblCellMar>
      </w:tblPr>
      <w:tblGrid>
        <w:gridCol w:w="124"/>
        <w:gridCol w:w="256"/>
        <w:gridCol w:w="6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and product competition from low-cost manufacturing sources (such as China);</w:t>
            </w:r>
          </w:p>
        </w:tc>
      </w:tr>
    </w:tbl>
    <w:tbl>
      <w:tblPr>
        <w:tblW w:w="4446" w:type="dxa"/>
        <w:jc w:val="left"/>
        <w:tblInd w:w="0" w:type="dxa"/>
        <w:tblLayout w:type="fixed"/>
        <w:tblCellMar>
          <w:top w:w="28" w:type="dxa"/>
          <w:left w:w="28" w:type="dxa"/>
          <w:bottom w:w="28" w:type="dxa"/>
          <w:right w:w="28" w:type="dxa"/>
        </w:tblCellMar>
      </w:tblPr>
      <w:tblGrid>
        <w:gridCol w:w="124"/>
        <w:gridCol w:w="256"/>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pricing and production decisions;</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competitor strategies including substitute products;</w:t>
            </w:r>
          </w:p>
        </w:tc>
      </w:tr>
    </w:tbl>
    <w:tbl>
      <w:tblPr>
        <w:tblW w:w="3396" w:type="dxa"/>
        <w:jc w:val="left"/>
        <w:tblInd w:w="0" w:type="dxa"/>
        <w:tblLayout w:type="fixed"/>
        <w:tblCellMar>
          <w:top w:w="28" w:type="dxa"/>
          <w:left w:w="28" w:type="dxa"/>
          <w:bottom w:w="28" w:type="dxa"/>
          <w:right w:w="28" w:type="dxa"/>
        </w:tblCellMar>
      </w:tblPr>
      <w:tblGrid>
        <w:gridCol w:w="124"/>
        <w:gridCol w:w="256"/>
        <w:gridCol w:w="3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key customers;</w:t>
            </w:r>
          </w:p>
        </w:tc>
      </w:tr>
    </w:tbl>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associated with new product development and the development of new product features;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or possible future litigation (such as litigation related to our use of certain permitted chemicals in our production process) or other actions;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- 11 -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or defend our intellectual property rights;</w:t>
            </w:r>
          </w:p>
        </w:tc>
      </w:tr>
    </w:tbl>
    <w:tbl>
      <w:tblPr>
        <w:tblW w:w="6891" w:type="dxa"/>
        <w:jc w:val="left"/>
        <w:tblInd w:w="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to sell operating assets other than in the ordinary course of business;</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 (such as those requiring emission and discharge standards for existing and new facilities);</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outcome of income tax audits, tax settlement initiatives or other tax matters, including future tax reform;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laws and regulations and possible changes therein including new environmental, health and safety, sustainability or other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global economic and political conditions that disrupt our supply chain, reduce demand or perceived demand for component products or impair our ability to operate our facilities (including changes in the level of gross domestic product in various regions of the world, natural disasters, terrorist acts, global conflicts and public health crises);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interruptions (including, but not limited to, labor disputes, leaks, natural disasters, fires, explosions, unscheduled or unplanned downtime, transportation interruptions, certain regional and world events or economic conditions and public health crises);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new, or changes in existing, tariffs, trade barriers or trade disputes (including tariffs imposed by the U.S. government on imports from China and Mexico);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related disruptions (including, but not limited to, cyber-attacks; software implementation, upgrades or improvements; technology processing failures; or other events) related to our technology infrastructure that could impact our ability to continue operations, or at key vendors which could impact our supply chain, or at key customers which could impact their operations and cause them to curtail or pause orders;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disruption of our business or increases in the cost of doing business resulting from terrorist activities or global conflicts.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Should one or more of these risks materialize (or the consequences of such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Operating Income Overview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Operating income in the first quarter of 2026 was $7.1 million compared to $5.9 million in the same period of 2025. The increase in operating income in the first quarter of 2026 compared to 2025 is primarily due to higher gross margin at Security Products and, to a lesser extent, the impact of higher sales at Marine Components.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We sell a large number of products that have a wide variation in selling price and manufacturing cost, which results in certain practical limitations on our ability to quantify the impact of changes in individual product sales quantities and selling prices on our net sales, cost of sales and gross margin. In addition, small variations in period-to-period net sales, cost of sales and gross margin can result from changes in the relative mix of our products sold.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tbl>
      <w:tblPr>
        <w:tblW w:w="6767" w:type="dxa"/>
        <w:jc w:val="left"/>
        <w:tblInd w:w="0" w:type="dxa"/>
        <w:tblLayout w:type="fixed"/>
        <w:tblCellMar>
          <w:top w:w="0" w:type="dxa"/>
          <w:left w:w="0" w:type="dxa"/>
          <w:bottom w:w="0" w:type="dxa"/>
          <w:right w:w="0" w:type="dxa"/>
        </w:tblCellMar>
      </w:tblPr>
      <w:tblGrid>
        <w:gridCol w:w="2506"/>
        <w:gridCol w:w="346"/>
        <w:gridCol w:w="211"/>
        <w:gridCol w:w="676"/>
        <w:gridCol w:w="146"/>
        <w:gridCol w:w="571"/>
        <w:gridCol w:w="361"/>
        <w:gridCol w:w="211"/>
        <w:gridCol w:w="676"/>
        <w:gridCol w:w="146"/>
        <w:gridCol w:w="571"/>
        <w:gridCol w:w="34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591310" cy="175260"/>
                      <wp:effectExtent l="0" t="0" r="0" b="0"/>
                      <wp:wrapNone/>
                      <wp:docPr id="85" name="Frame85"/>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29260" cy="175260"/>
                      <wp:effectExtent l="0" t="0" r="0" b="0"/>
                      <wp:wrapNone/>
                      <wp:docPr id="88" name="Frame8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92710" cy="175260"/>
                      <wp:effectExtent l="0" t="0" r="0" b="0"/>
                      <wp:wrapNone/>
                      <wp:docPr id="89" name="Frame8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62585" cy="175260"/>
                      <wp:effectExtent l="0" t="0" r="0" b="0"/>
                      <wp:wrapNone/>
                      <wp:docPr id="90" name="Frame9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29235" cy="175260"/>
                      <wp:effectExtent l="0" t="0" r="0" b="0"/>
                      <wp:wrapNone/>
                      <wp:docPr id="91" name="Frame9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29260" cy="175260"/>
                      <wp:effectExtent l="0" t="0" r="0" b="0"/>
                      <wp:wrapNone/>
                      <wp:docPr id="93" name="Frame9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92710" cy="175260"/>
                      <wp:effectExtent l="0" t="0" r="0" b="0"/>
                      <wp:wrapNone/>
                      <wp:docPr id="94" name="Frame9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62585" cy="175260"/>
                      <wp:effectExtent l="0" t="0" r="0" b="0"/>
                      <wp:wrapNone/>
                      <wp:docPr id="95" name="Frame9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569" w:type="dxa"/>
            <w:gridSpan w:val="9"/>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6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34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4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61"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4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r>
      <w:tr>
        <w:trPr/>
        <w:tc>
          <w:tcPr>
            <w:tcW w:w="6767"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69" w:type="dxa"/>
            <w:gridSpan w:val="9"/>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46" w:type="dxa"/>
            <w:tcBorders/>
            <w:vAlign w:val="center"/>
          </w:tcPr>
          <w:p>
            <w:pPr>
              <w:pStyle w:val="TableContents"/>
              <w:bidi w:val="0"/>
              <w:spacing w:before="0" w:after="1"/>
              <w:ind w:left="0" w:right="0" w:hanging="0"/>
              <w:jc w:val="left"/>
              <w:rPr/>
            </w:pPr>
            <w:r>
              <w:rPr/>
              <w:t> </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40,272</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40,569</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28,109</w:t>
            </w:r>
          </w:p>
        </w:tc>
        <w:tc>
          <w:tcPr>
            <w:tcW w:w="1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27,317</w:t>
            </w:r>
          </w:p>
        </w:tc>
        <w:tc>
          <w:tcPr>
            <w:tcW w:w="1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67.3</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12,163</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13,252</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32.7</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6,294</w:t>
            </w:r>
          </w:p>
        </w:tc>
        <w:tc>
          <w:tcPr>
            <w:tcW w:w="1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6,202</w:t>
            </w:r>
          </w:p>
        </w:tc>
        <w:tc>
          <w:tcPr>
            <w:tcW w:w="1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15.3</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5,869</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7,050</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i/>
          <w:sz w:val="20"/>
        </w:rPr>
        <w:t>Net sales</w:t>
      </w:r>
      <w:r>
        <w:rPr>
          <w:rFonts w:ascii="Times New Roman;Times;serif" w:hAnsi="Times New Roman;Times;serif"/>
          <w:sz w:val="20"/>
        </w:rPr>
        <w:t xml:space="preserve">. Net sales increased $.3 million in the first quarter of 2026 compared to the same period in 2025 primarily due to higher Marine Components sales to the industrial market partially offset by lower Security Products sales.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- 12 -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segment discussion below.</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 xml:space="preserve">Cost of sales and gross margin. </w:t>
      </w:r>
      <w:r>
        <w:rPr>
          <w:rFonts w:ascii="Times New Roman;Times;serif" w:hAnsi="Times New Roman;Times;serif"/>
          <w:sz w:val="20"/>
        </w:rPr>
        <w:t xml:space="preserve">Cost of sales as a percentage of net sales decreased 2.5% in the first quarter of 2026 compared to the same period in 2025. As a result, gross margin as a percentage of net sales increased over the same period. Gross margin percentage increased in the first quarter of 2026 compared to the same period in 2025 primarily due to higher gross margin percentage at Security Products. See segment discussion below.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i/>
          <w:sz w:val="20"/>
        </w:rPr>
        <w:t>Operating costs and expenses.</w:t>
      </w:r>
      <w:r>
        <w:rPr>
          <w:rFonts w:ascii="Times New Roman;Times;serif" w:hAnsi="Times New Roman;Times;serif"/>
          <w:sz w:val="20"/>
        </w:rPr>
        <w:t xml:space="preserve"> Operating costs and expenses consist primarily of sales and administrative-related personnel costs, sales commissions and advertising expenses directly related to product sales and administrative costs relating to business unit and corporate management activities, as well as any gains and losses on property and equipment. Operating costs and expenses for the first quarter of 2026 were comparable to same period in 2025. Operating costs and expenses as a percentage of net sales for the first quarter of 2026 decreased slightly due to increased coverage of operating costs and expenses as a result of higher sales.</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i/>
          <w:sz w:val="20"/>
        </w:rPr>
        <w:t>Operating income.</w:t>
      </w:r>
      <w:r>
        <w:rPr>
          <w:rFonts w:ascii="Times New Roman;Times;serif" w:hAnsi="Times New Roman;Times;serif"/>
          <w:sz w:val="20"/>
        </w:rPr>
        <w:t xml:space="preserve"> As a percentage of net sales, operating income for the first quarter of 2026 increased compared to the same period of 2025 and was primarily impacted by the factors impacting sales, cost of sales, gross margin and operating costs and expenses. See segment discussion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- 13 -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Interest income. </w:t>
      </w:r>
      <w:r>
        <w:rPr>
          <w:rFonts w:ascii="Times New Roman;Times;serif" w:hAnsi="Times New Roman;Times;serif"/>
          <w:sz w:val="20"/>
        </w:rPr>
        <w:t xml:space="preserve">Interest income decreased $.2 million in the first quarter of 2026 compared to the same period in 2025 primarily due to lower average interest rates and decreased average investment balances.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Provision for income taxes.</w:t>
      </w:r>
      <w:r>
        <w:rPr>
          <w:rFonts w:ascii="Times New Roman;Times;serif" w:hAnsi="Times New Roman;Times;serif"/>
          <w:sz w:val="20"/>
        </w:rPr>
        <w:t xml:space="preserve"> A tabular reconciliation of our actual tax provision to the U.S. federal statutory income tax rate is included in Note 6 to the Condensed Consolidated Financial Statements. Our operations are wholly within the U.S. and therefore our effective income tax rate is primarily reflective of the U.S. federal statutory rate and applicable state taxes.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Segment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Key performance indicators for our segments are gross margin and operating income.</w:t>
      </w:r>
    </w:p>
    <w:tbl>
      <w:tblPr>
        <w:tblW w:w="6445" w:type="dxa"/>
        <w:jc w:val="left"/>
        <w:tblInd w:w="0" w:type="dxa"/>
        <w:tblLayout w:type="fixed"/>
        <w:tblCellMar>
          <w:top w:w="0" w:type="dxa"/>
          <w:left w:w="0" w:type="dxa"/>
          <w:bottom w:w="0" w:type="dxa"/>
          <w:right w:w="0" w:type="dxa"/>
        </w:tblCellMar>
      </w:tblPr>
      <w:tblGrid>
        <w:gridCol w:w="2506"/>
        <w:gridCol w:w="346"/>
        <w:gridCol w:w="211"/>
        <w:gridCol w:w="676"/>
        <w:gridCol w:w="361"/>
        <w:gridCol w:w="211"/>
        <w:gridCol w:w="676"/>
        <w:gridCol w:w="391"/>
        <w:gridCol w:w="751"/>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591310" cy="175260"/>
                      <wp:effectExtent l="0" t="0" r="0" b="0"/>
                      <wp:wrapNone/>
                      <wp:docPr id="97" name="Frame97"/>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29260" cy="175260"/>
                      <wp:effectExtent l="0" t="0" r="0" b="0"/>
                      <wp:wrapNone/>
                      <wp:docPr id="100" name="Frame10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29235" cy="175260"/>
                      <wp:effectExtent l="0" t="0" r="0" b="0"/>
                      <wp:wrapNone/>
                      <wp:docPr id="101" name="Frame10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29260" cy="175260"/>
                      <wp:effectExtent l="0" t="0" r="0" b="0"/>
                      <wp:wrapNone/>
                      <wp:docPr id="103" name="Frame1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48285" cy="175260"/>
                      <wp:effectExtent l="0" t="0" r="0" b="0"/>
                      <wp:wrapNone/>
                      <wp:docPr id="104" name="Frame10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76885" cy="175260"/>
                      <wp:effectExtent l="0" t="0" r="0" b="0"/>
                      <wp:wrapNone/>
                      <wp:docPr id="105" name="Frame105"/>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0660" cy="175260"/>
                      <wp:effectExtent l="0" t="0" r="0" b="0"/>
                      <wp:wrapNone/>
                      <wp:docPr id="106" name="Frame10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  ​ ​ ​</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91" w:type="dxa"/>
            <w:tcBorders/>
            <w:vAlign w:val="center"/>
          </w:tcPr>
          <w:p>
            <w:pPr>
              <w:pStyle w:val="TableContents"/>
              <w:bidi w:val="0"/>
              <w:spacing w:before="0" w:after="1"/>
              <w:ind w:left="0" w:right="0" w:hanging="0"/>
              <w:jc w:val="left"/>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16" w:type="dxa"/>
            <w:tcBorders/>
            <w:vAlign w:val="center"/>
          </w:tcPr>
          <w:p>
            <w:pPr>
              <w:pStyle w:val="TableContents"/>
              <w:bidi w:val="0"/>
              <w:spacing w:before="0" w:after="1"/>
              <w:ind w:left="0" w:right="0" w:hanging="0"/>
              <w:jc w:val="left"/>
              <w:rPr/>
            </w:pPr>
            <w:r>
              <w:rPr/>
              <w:t> </w:t>
            </w:r>
          </w:p>
        </w:tc>
      </w:tr>
      <w:tr>
        <w:trPr/>
        <w:tc>
          <w:tcPr>
            <w:tcW w:w="644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30,230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29,896</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21,232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19,872</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10,024</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3,449</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5,521</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6,575</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33.5</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22.0</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Security Products</w:t>
      </w:r>
      <w:r>
        <w:rPr>
          <w:rFonts w:ascii="Times New Roman;Times;serif" w:hAnsi="Times New Roman;Times;serif"/>
          <w:sz w:val="20"/>
        </w:rPr>
        <w:t>. Security Products net sales decreased 1% in the first quarter of 2026 compared to the same period last year primarily due to lower sales across a variety of markets. The decrease was driven by $.3 million lower sales to the healthcare market and $.2 million lower sales to each of the general cabinetry, electric control panel, and gas station security markets. These decreases were partially offset by $.3 million higher sales to the tool storage market and $.2 million higher sales to the institutional furniture market. Gross margin as a percentage of net sales increased in the first quarter primarily due to a more favorable customer and product mix. Operating income margin also increased, primarily due to the improvement in gross margin discussed above.</w:t>
      </w:r>
    </w:p>
    <w:p>
      <w:pPr>
        <w:pStyle w:val="TextBody"/>
        <w:bidi w:val="0"/>
        <w:spacing w:before="240" w:after="240"/>
        <w:ind w:left="0" w:right="0" w:firstLine="720"/>
        <w:jc w:val="both"/>
        <w:rPr/>
      </w:pPr>
      <w:r>
        <w:rPr/>
        <w:t>​</w:t>
      </w:r>
    </w:p>
    <w:tbl>
      <w:tblPr>
        <w:tblW w:w="6445" w:type="dxa"/>
        <w:jc w:val="left"/>
        <w:tblInd w:w="0" w:type="dxa"/>
        <w:tblLayout w:type="fixed"/>
        <w:tblCellMar>
          <w:top w:w="0" w:type="dxa"/>
          <w:left w:w="0" w:type="dxa"/>
          <w:bottom w:w="0" w:type="dxa"/>
          <w:right w:w="0" w:type="dxa"/>
        </w:tblCellMar>
      </w:tblPr>
      <w:tblGrid>
        <w:gridCol w:w="2506"/>
        <w:gridCol w:w="346"/>
        <w:gridCol w:w="211"/>
        <w:gridCol w:w="676"/>
        <w:gridCol w:w="361"/>
        <w:gridCol w:w="211"/>
        <w:gridCol w:w="676"/>
        <w:gridCol w:w="391"/>
        <w:gridCol w:w="751"/>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591310" cy="175260"/>
                      <wp:effectExtent l="0" t="0" r="0" b="0"/>
                      <wp:wrapNone/>
                      <wp:docPr id="107" name="Frame107"/>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29260" cy="175260"/>
                      <wp:effectExtent l="0" t="0" r="0" b="0"/>
                      <wp:wrapNone/>
                      <wp:docPr id="110" name="Frame11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29235" cy="175260"/>
                      <wp:effectExtent l="0" t="0" r="0" b="0"/>
                      <wp:wrapNone/>
                      <wp:docPr id="111" name="Frame11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29260" cy="175260"/>
                      <wp:effectExtent l="0" t="0" r="0" b="0"/>
                      <wp:wrapNone/>
                      <wp:docPr id="113" name="Frame1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48285" cy="175260"/>
                      <wp:effectExtent l="0" t="0" r="0" b="0"/>
                      <wp:wrapNone/>
                      <wp:docPr id="114" name="Frame11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76885" cy="175260"/>
                      <wp:effectExtent l="0" t="0" r="0" b="0"/>
                      <wp:wrapNone/>
                      <wp:docPr id="115" name="Frame115"/>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0660" cy="175260"/>
                      <wp:effectExtent l="0" t="0" r="0" b="0"/>
                      <wp:wrapNone/>
                      <wp:docPr id="116" name="Frame11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  ​ ​ ​</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91" w:type="dxa"/>
            <w:tcBorders/>
            <w:vAlign w:val="center"/>
          </w:tcPr>
          <w:p>
            <w:pPr>
              <w:pStyle w:val="TableContents"/>
              <w:bidi w:val="0"/>
              <w:spacing w:before="0" w:after="1"/>
              <w:ind w:left="0" w:right="0" w:hanging="0"/>
              <w:jc w:val="left"/>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16" w:type="dxa"/>
            <w:tcBorders/>
            <w:vAlign w:val="center"/>
          </w:tcPr>
          <w:p>
            <w:pPr>
              <w:pStyle w:val="TableContents"/>
              <w:bidi w:val="0"/>
              <w:spacing w:before="0" w:after="1"/>
              <w:ind w:left="0" w:right="0" w:hanging="0"/>
              <w:jc w:val="left"/>
              <w:rPr/>
            </w:pPr>
            <w:r>
              <w:rPr/>
              <w:t> </w:t>
            </w:r>
          </w:p>
        </w:tc>
      </w:tr>
      <w:tr>
        <w:trPr/>
        <w:tc>
          <w:tcPr>
            <w:tcW w:w="644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10,673</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7,445</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3,228</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917</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2,241</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2,311</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30.2</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21.7</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Marine Components</w:t>
      </w:r>
      <w:r>
        <w:rPr>
          <w:rFonts w:ascii="Times New Roman;Times;serif" w:hAnsi="Times New Roman;Times;serif"/>
          <w:sz w:val="20"/>
        </w:rPr>
        <w:t>. Marine Components net sales increased 6% in the first quarter of 2026 compared to the same period last year primarily due to $1.9 million higher sales to the industrial market partially offset by $1.4 million lower sales to the towboat market. Towboat market sales in the first quarter of 2025 benefitted from a one-time customer stocking event that did not repeat in 2026. Gross margin as a percentage of net sales decreased in the first quarter of 2026 compared to the same period last year primarily due to higher cost inventory produced during the fourth quarter of 2025 and sold in the first quarter of 2026, partially offset by increased coverage of fixed costs on higher sales. Operating income margin decreased primarily due to the factors impacting gross margin discussed above, partially offset by increased coverage of operating costs and expenses on higher sales.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- 14 -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Outlook.</w:t>
      </w:r>
      <w:r>
        <w:rPr>
          <w:rFonts w:ascii="Times New Roman;Times;serif" w:hAnsi="Times New Roman;Times;serif"/>
          <w:sz w:val="20"/>
        </w:rPr>
        <w:t xml:space="preserve"> Net sales for the first quarter of 2026 exceeded the prior year period, primarily driven by improved demand in the industrial market at Marine Components. Security Products sales reflected mixed performance across the original equipment manufacturer (“OEM”) markets, driven by differences in customer demand cycles and project timing, resulting in slightly lower net sales compared to the prior year period. Operating income increased compared to the prior year primarily due to a more favorable customer and product mix at Security Products and, to a lesser extent, the impact of higher sales at Marine Components.</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For the full year 2026, we expect modest net sales growth as we continue to align pricing, product features, and service levels with market conditions and customer requirements. Net sales growth at Marine Components is expected to be driven primarily by the industrial market. Recreational marine sales have largely stabilized and sales to the towboat market in 2026 are expected to be generally comparable to 2025 (excluding the impact of the one-time stocking event noted above). At Security Products, we expect net sales to be consistent with the prior year, reflecting anticipated continued variability across multiple OEM markets.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We expect gross margin and operating income margins across both segments in 2026 to remain generally comparable to 2025. Operating income margin at Security Products benefited from favorable mix in the first quarter of 2026; however, margins are expected to moderate over the remainder of the year. We increased inventory levels across both segments during 2025 to support customer demand. These actions included an insourcing initiative at Security Products and a shift in customer mix at Marine Components. Inventory levels at the end of the first quarter of 2026 were comparable to those at December 31, 2025 and are expected to remain at these levels, consistent with near-term operating requirements.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We manufacture substantially all our products in the U.S. and source a substantial majority of our raw materials from U.S. suppliers. We also source certain components, primarily electronic components, from suppliers in Asia, including China. Beginning in the second quarter of 2025 and continuing through the first quarter of 2026, we incurred tariff-related surcharges to certain raw materials, primarily electronic components. In addition, some of our U.S.-based suppliers are applying tariff-related surcharges on certain domestically sourced materials. Where possible, we increase selling prices to recover these higher raw material costs, although the extent to which we can fully recover such costs will depend on a variety of factors including the ultimate tariff rate, duration of tariffs, and our customers’ ability to substitute alternative products. We will continue to monitor current and anticipated near-term customer demand levels to ensure our production capabilities and inventories are aligned accordingly.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Our expectations for our operations and the markets we serve are based on a number of factors outside our control. Currently, our supply chains are stable and transportation and logistical delays are minimal. We have experienced global and domestic supply chain challenges in the past. Any future impacts on our operations will depend on, among other things, disruption to our operations or our suppliers’ operations, the effect of tariffs, and the impact of broader economic conditions, consumer confidence, and geopolitical events affecting demand for our products or our customers’ and suppliers’ operations, all of which remain uncertain and cannot be predicted.</w:t>
      </w:r>
    </w:p>
    <w:p>
      <w:pPr>
        <w:pStyle w:val="TextBody"/>
        <w:bidi w:val="0"/>
        <w:spacing w:before="240" w:after="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b/>
          <w:i/>
          <w:sz w:val="20"/>
        </w:rPr>
        <w:t>Consolidated cash flows</w:t>
      </w:r>
      <w:r>
        <w:rPr>
          <w:rFonts w:ascii="Times New Roman;Times;serif" w:hAnsi="Times New Roman;Times;serif"/>
          <w:sz w:val="20"/>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Operating activities</w:t>
      </w:r>
      <w:r>
        <w:rPr>
          <w:rFonts w:ascii="Times New Roman;Times;serif" w:hAnsi="Times New Roman;Times;serif"/>
          <w:sz w:val="20"/>
        </w:rPr>
        <w:t>. Trends in cash flows from operating activities, excluding changes in assets and liabilities, have generally been similar to the trends 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We generally report a net use of cash from operating activities in the first three months of each year due to seasonal changes in the level of our working capital. Our net cash used by operating activities for the first three months of 2026 increased by $1.0 million as compared to the first three months of 2025. The increase in net cash used is primarily due to the net effects of a $1.9 million increase in the amount of net cash used by relative changes in our inventories, receivables, prepaids, payables and non-tax related accruals in 2026 and a $1.2 million increase in operating income in 2026.</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Changes in working capital can have a significant effect on cash flows from operating activities. As shown below, the change in our average days sales outstanding increased from December 31, 2025 to March 31, 2026, with changes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- 15 -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varying by segment primarily as a result of relative changes in the timing of sales and collections relative to the end of the quarter. For comparative purposes, we have provided December 31, 2024 and March 31, 2025 numbers below.</w:t>
      </w:r>
    </w:p>
    <w:tbl>
      <w:tblPr>
        <w:tblW w:w="8244" w:type="dxa"/>
        <w:jc w:val="left"/>
        <w:tblInd w:w="0" w:type="dxa"/>
        <w:tblLayout w:type="fixed"/>
        <w:tblCellMar>
          <w:top w:w="0" w:type="dxa"/>
          <w:left w:w="0" w:type="dxa"/>
          <w:bottom w:w="0" w:type="dxa"/>
          <w:right w:w="0" w:type="dxa"/>
        </w:tblCellMar>
      </w:tblPr>
      <w:tblGrid>
        <w:gridCol w:w="2161"/>
        <w:gridCol w:w="346"/>
        <w:gridCol w:w="1306"/>
        <w:gridCol w:w="346"/>
        <w:gridCol w:w="1021"/>
        <w:gridCol w:w="346"/>
        <w:gridCol w:w="1306"/>
        <w:gridCol w:w="346"/>
        <w:gridCol w:w="106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72235" cy="175260"/>
                      <wp:effectExtent l="0" t="0" r="0" b="0"/>
                      <wp:wrapNone/>
                      <wp:docPr id="117" name="Frame117"/>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829310" cy="175260"/>
                      <wp:effectExtent l="0" t="0" r="0" b="0"/>
                      <wp:wrapNone/>
                      <wp:docPr id="119" name="Frame119"/>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335" cy="175260"/>
                      <wp:effectExtent l="0" t="0" r="0" b="0"/>
                      <wp:wrapNone/>
                      <wp:docPr id="121" name="Frame121"/>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829310" cy="175260"/>
                      <wp:effectExtent l="0" t="0" r="0" b="0"/>
                      <wp:wrapNone/>
                      <wp:docPr id="123" name="Frame123"/>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76910" cy="175260"/>
                      <wp:effectExtent l="0" t="0" r="0" b="0"/>
                      <wp:wrapNone/>
                      <wp:docPr id="125" name="Frame125"/>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center"/>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34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21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Days Sales Outstanding:</w:t>
            </w:r>
          </w:p>
        </w:tc>
        <w:tc>
          <w:tcPr>
            <w:tcW w:w="346" w:type="dxa"/>
            <w:tcBorders/>
            <w:vAlign w:val="center"/>
          </w:tcPr>
          <w:p>
            <w:pPr>
              <w:pStyle w:val="TableContents"/>
              <w:bidi w:val="0"/>
              <w:spacing w:before="0" w:after="1"/>
              <w:ind w:left="0" w:right="0" w:hanging="0"/>
              <w:jc w:val="center"/>
              <w:rPr/>
            </w:pPr>
            <w:r>
              <w:rPr/>
              <w:t>  ​ ​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center"/>
              <w:rPr/>
            </w:pPr>
            <w:r>
              <w:rPr/>
              <w:t>  ​ ​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36 Days</w:t>
            </w:r>
          </w:p>
        </w:tc>
        <w:tc>
          <w:tcPr>
            <w:tcW w:w="34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43 Days</w:t>
            </w:r>
          </w:p>
        </w:tc>
        <w:tc>
          <w:tcPr>
            <w:tcW w:w="34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35 Days</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42 Days</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23 Days</w:t>
            </w:r>
          </w:p>
        </w:tc>
        <w:tc>
          <w:tcPr>
            <w:tcW w:w="34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34 Days</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26 Days</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43 Days</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CompX</w:t>
            </w:r>
          </w:p>
        </w:tc>
        <w:tc>
          <w:tcPr>
            <w:tcW w:w="34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33 Days</w:t>
            </w:r>
          </w:p>
        </w:tc>
        <w:tc>
          <w:tcPr>
            <w:tcW w:w="34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41 Days</w:t>
            </w:r>
          </w:p>
        </w:tc>
        <w:tc>
          <w:tcPr>
            <w:tcW w:w="34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33 Days</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43 Days</w:t>
            </w:r>
          </w:p>
        </w:tc>
      </w:tr>
    </w:tbl>
    <w:p>
      <w:pPr>
        <w:pStyle w:val="TextBody"/>
        <w:bidi w:val="0"/>
        <w:spacing w:before="0" w:after="240"/>
        <w:ind w:left="0" w:right="0" w:firstLine="720"/>
        <w:jc w:val="both"/>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shown below, our average number of days in inventory decreased from December 31, 2025 to March 31, 2026 primarily due to lower days in inventory at Marine Components driven by higher sales volumes in the first quarter of 2026 as compared to the fourth quarter of 2025. For comparative purposes, we have provided December 31, 2024 and March 31, 2025 numbers below.</w:t>
      </w:r>
    </w:p>
    <w:tbl>
      <w:tblPr>
        <w:tblW w:w="8083" w:type="dxa"/>
        <w:jc w:val="left"/>
        <w:tblInd w:w="0" w:type="dxa"/>
        <w:tblLayout w:type="fixed"/>
        <w:tblCellMar>
          <w:top w:w="0" w:type="dxa"/>
          <w:left w:w="0" w:type="dxa"/>
          <w:bottom w:w="0" w:type="dxa"/>
          <w:right w:w="0" w:type="dxa"/>
        </w:tblCellMar>
      </w:tblPr>
      <w:tblGrid>
        <w:gridCol w:w="1891"/>
        <w:gridCol w:w="346"/>
        <w:gridCol w:w="1306"/>
        <w:gridCol w:w="346"/>
        <w:gridCol w:w="1021"/>
        <w:gridCol w:w="346"/>
        <w:gridCol w:w="1306"/>
        <w:gridCol w:w="346"/>
        <w:gridCol w:w="1021"/>
        <w:gridCol w:w="154"/>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200785" cy="175260"/>
                      <wp:effectExtent l="0" t="0" r="0" b="0"/>
                      <wp:wrapNone/>
                      <wp:docPr id="126" name="Frame126"/>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829310" cy="175260"/>
                      <wp:effectExtent l="0" t="0" r="0" b="0"/>
                      <wp:wrapNone/>
                      <wp:docPr id="128" name="Frame128"/>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335" cy="175260"/>
                      <wp:effectExtent l="0" t="0" r="0" b="0"/>
                      <wp:wrapNone/>
                      <wp:docPr id="130" name="Frame130"/>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829310" cy="175260"/>
                      <wp:effectExtent l="0" t="0" r="0" b="0"/>
                      <wp:wrapNone/>
                      <wp:docPr id="132" name="Frame132"/>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335" cy="175260"/>
                      <wp:effectExtent l="0" t="0" r="0" b="0"/>
                      <wp:wrapNone/>
                      <wp:docPr id="134" name="Frame134"/>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97790" cy="175260"/>
                      <wp:effectExtent l="0" t="0" r="0" b="0"/>
                      <wp:wrapNone/>
                      <wp:docPr id="135" name="Frame13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center"/>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34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center"/>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154" w:type="dxa"/>
            <w:tcBorders/>
            <w:vAlign w:val="center"/>
          </w:tcPr>
          <w:p>
            <w:pPr>
              <w:pStyle w:val="TableContents"/>
              <w:bidi w:val="0"/>
              <w:spacing w:before="0" w:after="1"/>
              <w:ind w:left="0" w:right="0" w:hanging="0"/>
              <w:jc w:val="center"/>
              <w:rPr/>
            </w:pPr>
            <w:r>
              <w:rPr/>
              <w:t>​</w:t>
            </w:r>
          </w:p>
        </w:tc>
      </w:tr>
      <w:tr>
        <w:trPr/>
        <w:tc>
          <w:tcPr>
            <w:tcW w:w="189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Days in Inventory:</w:t>
            </w:r>
          </w:p>
        </w:tc>
        <w:tc>
          <w:tcPr>
            <w:tcW w:w="346" w:type="dxa"/>
            <w:tcBorders/>
            <w:shd w:fill="CCEEFF" w:val="clear"/>
            <w:vAlign w:val="center"/>
          </w:tcPr>
          <w:p>
            <w:pPr>
              <w:pStyle w:val="TableContents"/>
              <w:bidi w:val="0"/>
              <w:spacing w:before="0" w:after="1"/>
              <w:ind w:left="0" w:right="0" w:hanging="0"/>
              <w:jc w:val="center"/>
              <w:rPr/>
            </w:pPr>
            <w:r>
              <w:rPr/>
              <w:t>  ​ ​ ​</w:t>
            </w:r>
          </w:p>
        </w:tc>
        <w:tc>
          <w:tcPr>
            <w:tcW w:w="130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shd w:fill="CCEEFF" w:val="clear"/>
            <w:vAlign w:val="center"/>
          </w:tcPr>
          <w:p>
            <w:pPr>
              <w:pStyle w:val="TableContents"/>
              <w:bidi w:val="0"/>
              <w:spacing w:before="0" w:after="1"/>
              <w:ind w:left="0" w:right="0" w:hanging="0"/>
              <w:jc w:val="center"/>
              <w:rPr/>
            </w:pPr>
            <w:r>
              <w:rPr/>
              <w:t>  ​ ​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shd w:fill="CCEEFF" w:val="clear"/>
            <w:vAlign w:val="center"/>
          </w:tcPr>
          <w:p>
            <w:pPr>
              <w:pStyle w:val="TableContents"/>
              <w:bidi w:val="0"/>
              <w:spacing w:before="0" w:after="1"/>
              <w:ind w:left="0" w:right="0" w:hanging="0"/>
              <w:jc w:val="center"/>
              <w:rPr/>
            </w:pPr>
            <w:r>
              <w:rPr/>
              <w:t>  ​ ​ ​</w:t>
            </w:r>
          </w:p>
        </w:tc>
        <w:tc>
          <w:tcPr>
            <w:tcW w:w="130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shd w:fill="CCEEFF" w:val="clear"/>
            <w:vAlign w:val="center"/>
          </w:tcPr>
          <w:p>
            <w:pPr>
              <w:pStyle w:val="TableContents"/>
              <w:bidi w:val="0"/>
              <w:spacing w:before="0" w:after="1"/>
              <w:ind w:left="0" w:right="0" w:hanging="0"/>
              <w:jc w:val="center"/>
              <w:rPr/>
            </w:pPr>
            <w:r>
              <w:rPr/>
              <w:t>  ​ ​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54" w:type="dxa"/>
            <w:tcBorders/>
            <w:shd w:fill="CCEEFF" w:val="clear"/>
            <w:vAlign w:val="center"/>
          </w:tcPr>
          <w:p>
            <w:pPr>
              <w:pStyle w:val="TableContents"/>
              <w:bidi w:val="0"/>
              <w:spacing w:before="0" w:after="1"/>
              <w:ind w:left="0" w:right="0" w:hanging="0"/>
              <w:jc w:val="center"/>
              <w:rPr/>
            </w:pPr>
            <w:r>
              <w:rPr/>
              <w:t>​</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85 Days</w:t>
            </w:r>
          </w:p>
        </w:tc>
        <w:tc>
          <w:tcPr>
            <w:tcW w:w="34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88 Days</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98 Days</w:t>
            </w:r>
          </w:p>
        </w:tc>
        <w:tc>
          <w:tcPr>
            <w:tcW w:w="34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98 Days</w:t>
            </w:r>
          </w:p>
        </w:tc>
        <w:tc>
          <w:tcPr>
            <w:tcW w:w="154" w:type="dxa"/>
            <w:tcBorders/>
            <w:vAlign w:val="center"/>
          </w:tcPr>
          <w:p>
            <w:pPr>
              <w:pStyle w:val="TableContents"/>
              <w:bidi w:val="0"/>
              <w:spacing w:before="0" w:after="1"/>
              <w:ind w:left="0" w:right="0" w:hanging="0"/>
              <w:jc w:val="left"/>
              <w:rPr/>
            </w:pPr>
            <w:r>
              <w:rPr/>
              <w:t>​</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130 Days</w:t>
            </w:r>
          </w:p>
        </w:tc>
        <w:tc>
          <w:tcPr>
            <w:tcW w:w="34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114 Days</w:t>
            </w:r>
          </w:p>
        </w:tc>
        <w:tc>
          <w:tcPr>
            <w:tcW w:w="34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141 Days</w:t>
            </w:r>
          </w:p>
        </w:tc>
        <w:tc>
          <w:tcPr>
            <w:tcW w:w="34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106 Days</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CompX</w:t>
            </w:r>
          </w:p>
        </w:tc>
        <w:tc>
          <w:tcPr>
            <w:tcW w:w="34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94 Days</w:t>
            </w:r>
          </w:p>
        </w:tc>
        <w:tc>
          <w:tcPr>
            <w:tcW w:w="34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94 Days</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108 Days</w:t>
            </w:r>
          </w:p>
        </w:tc>
        <w:tc>
          <w:tcPr>
            <w:tcW w:w="34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 Days</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 xml:space="preserve">Investing activities. </w:t>
      </w:r>
      <w:r>
        <w:rPr>
          <w:rFonts w:ascii="Times New Roman;Times;serif" w:hAnsi="Times New Roman;Times;serif"/>
          <w:sz w:val="20"/>
        </w:rPr>
        <w:t>Our capital expenditures were $.4 million and $.8 million in the first three months of 2026 and 2025, respectively. During the first three months of 2026, Valhi repaid a net $.6 million under the promissory note ($3.1 million of gross borrowings and $3.7 million of gross repayments). During the first three months of 2025, the promissory note balance with Valhi had net activity of nil ($.5 million of gross borrowings and $.5 million of gross repayments). See Note 10 to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Financing activities. </w:t>
      </w:r>
      <w:r>
        <w:rPr>
          <w:rFonts w:ascii="Times New Roman;Times;serif" w:hAnsi="Times New Roman;Times;serif"/>
          <w:sz w:val="20"/>
        </w:rPr>
        <w:t xml:space="preserve">Financing activities consisted only of cash dividends. Our board of directors declared a regular quarterly dividend of $.30 per share in each of the first quarters of 2025 and 2026.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Future cash requirements</w:t>
      </w:r>
      <w:r>
        <w:rPr>
          <w:rFonts w:ascii="Times New Roman;Times;serif" w:hAnsi="Times New Roman;Times;serif"/>
          <w:sz w:val="20"/>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Liquidity</w:t>
      </w:r>
      <w:r>
        <w:rPr>
          <w:rFonts w:ascii="Times New Roman;Times;serif" w:hAnsi="Times New Roman;Times;serif"/>
          <w:sz w:val="20"/>
        </w:rPr>
        <w:t>. Our primary source of liquidity on an ongoing basis is our cash flow from operating activities, which is generally used to (i) fund capital 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revolving loan to Valhi discussed in Note 10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of our $49.4 million aggregate cash and cash equivalents at March 31, 2026 were held in the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- 16 -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Capital expenditures.</w:t>
      </w:r>
      <w:r>
        <w:rPr>
          <w:rFonts w:ascii="Times New Roman;Times;serif" w:hAnsi="Times New Roman;Times;serif"/>
          <w:sz w:val="20"/>
        </w:rPr>
        <w:t xml:space="preserve"> Firm purchase commitments for capital projects in process at March 31, 2026 totaled $.4 million. We expect our capital expenditures for 2026 will be approximately $4.3 million primarily to improve our manufacturing facilities and invest in manufacturing equipment, including new technologies and increased automation.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Stock repurchase program. </w:t>
      </w:r>
      <w:r>
        <w:rPr>
          <w:rFonts w:ascii="Times New Roman;Times;serif" w:hAnsi="Times New Roman;Times;serif"/>
          <w:sz w:val="20"/>
        </w:rPr>
        <w:t>At March 31, 2026, we have 523,647 shares available for repurchase under a stock repurchase program authorized by our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Commitments and contingencies</w:t>
      </w:r>
      <w:r>
        <w:rPr>
          <w:rFonts w:ascii="Times New Roman;Times;serif" w:hAnsi="Times New Roman;Times;serif"/>
          <w:sz w:val="20"/>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certain commitments and contingencies, as more fully described in our 2025 Annual Report or in Note 8 to our Condensed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Note 11 to our Condensed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changes in the first three months of 2026 with respect to our critical accounting policies presented in Management’s Discussion and Analysis of Financial Condition and Results of Operations in our 2025 Annual Report.</w:t>
      </w:r>
    </w:p>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b/>
          <w:sz w:val="20"/>
        </w:rPr>
      </w:pPr>
      <w:bookmarkStart w:id="530" w:name="ITEM3QUANTITATIVEANDQUALITATIVE_461712"/>
      <w:bookmarkStart w:id="531" w:name="_f29f386b_5b61_4a8c_a062_b0a5d55bd4b3"/>
      <w:bookmarkEnd w:id="530"/>
      <w:bookmarkEnd w:id="531"/>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DISCLOSURES ABOUT MARKET RISK.</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exposed to market risk from changes in interest rates and raw material prices. There have been no material changes in these market risks since we filed our 2025 Annual Report, and we refer you to Part I, Item 7A – “Quantitative and Qualitative Disclosure About Market Risk” in our 2025 Annual Report. See also Note 9 to our Condensed Consolidated Financial Statements.</w:t>
      </w:r>
    </w:p>
    <w:p>
      <w:pPr>
        <w:pStyle w:val="TextBody"/>
        <w:bidi w:val="0"/>
        <w:spacing w:before="0" w:after="240"/>
        <w:ind w:left="0" w:right="0" w:firstLine="720"/>
        <w:jc w:val="both"/>
        <w:rPr/>
      </w:pPr>
      <w:r>
        <w:rPr/>
        <w:t>​</w:t>
      </w:r>
    </w:p>
    <w:p>
      <w:pPr>
        <w:pStyle w:val="TextBody"/>
        <w:pBdr/>
        <w:bidi w:val="0"/>
        <w:spacing w:before="0" w:after="240"/>
        <w:ind w:left="0" w:right="0" w:hanging="0"/>
        <w:jc w:val="left"/>
        <w:rPr>
          <w:rFonts w:ascii="Times New Roman;Times;serif" w:hAnsi="Times New Roman;Times;serif"/>
          <w:b/>
          <w:sz w:val="20"/>
        </w:rPr>
      </w:pPr>
      <w:bookmarkStart w:id="532" w:name="ITEM4CONTROLSANDPROCEDURES_115866"/>
      <w:bookmarkStart w:id="533" w:name="_f075cc31_4561_4a38_8622_fab9d3c53c08"/>
      <w:bookmarkEnd w:id="532"/>
      <w:bookmarkEnd w:id="533"/>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Evaluation of Disclosure Controls and Procedures. </w:t>
      </w:r>
      <w:r>
        <w:rPr>
          <w:rFonts w:ascii="Times New Roman;Times;serif" w:hAnsi="Times New Roman;Times;serif"/>
          <w:sz w:val="20"/>
        </w:rPr>
        <w:t>We maintain disclosure controls and procedures which, as 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Amy A. Samford, our Executive Vice President and Chief Financial Officer, has evaluated the design and operating effectiveness of our disclosure controls and procedures as of March 31, 2026. Based upon their evaluation, these executive officers have concluded that our disclosure controls and procedures are effective as of the date of such evaluation.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Internal Control Over Financial Reporting</w:t>
      </w:r>
      <w:r>
        <w:rPr>
          <w:rFonts w:ascii="Times New Roman;Times;serif" w:hAnsi="Times New Roman;Times;serif"/>
          <w:sz w:val="20"/>
        </w:rPr>
        <w:t>. Our management is responsible for establishing and maintaining adequate internal control over 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our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- 17 -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an unauthorized acquisition, use or disposition of our assets that could have a material effect on our Condensed Consolidated Financial Statements.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Changes in Internal Control Over Financial Reporting</w:t>
      </w:r>
      <w:r>
        <w:rPr>
          <w:rFonts w:ascii="Times New Roman;Times;serif" w:hAnsi="Times New Roman;Times;serif"/>
          <w:sz w:val="20"/>
        </w:rPr>
        <w:t>. There have been no changes in our internal control over financial reporting during the quarter ended March 31, 2026 that have materially affected, or are reasonably likely to materially affect, our internal control over financial reporting.</w:t>
      </w:r>
    </w:p>
    <w:p>
      <w:pPr>
        <w:pStyle w:val="TextBody"/>
        <w:bidi w:val="0"/>
        <w:spacing w:before="240" w:after="240"/>
        <w:ind w:left="0" w:right="0" w:hanging="0"/>
        <w:jc w:val="center"/>
        <w:rPr>
          <w:rFonts w:ascii="Times New Roman;Times;serif" w:hAnsi="Times New Roman;Times;serif"/>
          <w:b/>
          <w:sz w:val="20"/>
        </w:rPr>
      </w:pPr>
      <w:bookmarkStart w:id="534" w:name="PartIIOTHERINFORMATION_828529"/>
      <w:bookmarkStart w:id="535" w:name="_fa66aa0c_dd46_4f6a_aa6d_757ca8dfb12b"/>
      <w:bookmarkEnd w:id="534"/>
      <w:bookmarkEnd w:id="535"/>
      <w:r>
        <w:rPr>
          <w:rFonts w:ascii="Times New Roman;Times;serif" w:hAnsi="Times New Roman;Times;serif"/>
          <w:b/>
          <w:sz w:val="20"/>
        </w:rPr>
        <w:t>Part II. OTHER INFORMATION</w:t>
      </w:r>
    </w:p>
    <w:p>
      <w:pPr>
        <w:pStyle w:val="TextBody"/>
        <w:pBdr/>
        <w:bidi w:val="0"/>
        <w:spacing w:before="0" w:after="240"/>
        <w:ind w:left="0" w:right="0" w:hanging="0"/>
        <w:jc w:val="left"/>
        <w:rPr>
          <w:rFonts w:ascii="Times New Roman;Times;serif" w:hAnsi="Times New Roman;Times;serif"/>
          <w:b/>
          <w:sz w:val="20"/>
        </w:rPr>
      </w:pPr>
      <w:bookmarkStart w:id="536" w:name="ITEM1LEGALPROCEEDINGS"/>
      <w:bookmarkEnd w:id="536"/>
      <w:r>
        <w:rPr>
          <w:rFonts w:ascii="Times New Roman;Times;serif" w:hAnsi="Times New Roman;Times;serif"/>
          <w:b/>
          <w:i w:val="false"/>
          <w:caps w:val="false"/>
          <w:smallCaps w:val="false"/>
          <w:sz w:val="20"/>
        </w:rPr>
        <w:t>ITEM  1.</w:t>
      </w:r>
      <w:r>
        <w:rPr>
          <w:rFonts w:ascii="Times New Roman;Times;serif" w:hAnsi="Times New Roman;Times;serif"/>
          <w:b/>
          <w:sz w:val="20"/>
        </w:rPr>
        <w:t>Legal Proceedings.</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In addition to the matter discussed below, refer to Note 8 to our Condensed Consolidated Financial Statements and our 2025 Annual Report for descriptions of certain legal proceedings.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South Carolina Public Water Company PFAS Litigation</w:t>
      </w:r>
      <w:r>
        <w:rPr>
          <w:rFonts w:ascii="Times New Roman;Times;serif" w:hAnsi="Times New Roman;Times;serif"/>
          <w:sz w:val="20"/>
        </w:rPr>
        <w:t xml:space="preserve">. In April 2026, CompX filed answers denying liability in all four pending PFAS cases. We intend to defend vigorously against all claims.  </w:t>
      </w:r>
    </w:p>
    <w:p>
      <w:pPr>
        <w:pStyle w:val="TextBody"/>
        <w:pBdr/>
        <w:bidi w:val="0"/>
        <w:spacing w:before="240" w:after="240"/>
        <w:ind w:left="0" w:right="0" w:hanging="0"/>
        <w:jc w:val="left"/>
        <w:rPr>
          <w:rFonts w:ascii="Times New Roman;Times;serif" w:hAnsi="Times New Roman;Times;serif"/>
          <w:b/>
          <w:sz w:val="20"/>
        </w:rPr>
      </w:pPr>
      <w:bookmarkStart w:id="537" w:name="ITEM1ARiskFactors_841388"/>
      <w:bookmarkEnd w:id="537"/>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Reference is made to the 2025 Annual Report for a discussion of risk factors related to our businesses.</w:t>
      </w:r>
    </w:p>
    <w:p>
      <w:pPr>
        <w:pStyle w:val="TextBody"/>
        <w:pBdr/>
        <w:bidi w:val="0"/>
        <w:spacing w:before="0" w:after="240"/>
        <w:ind w:left="0" w:right="0" w:hanging="0"/>
        <w:jc w:val="left"/>
        <w:rPr>
          <w:rFonts w:ascii="Times New Roman;Times;serif" w:hAnsi="Times New Roman;Times;serif"/>
          <w:sz w:val="20"/>
        </w:rPr>
      </w:pPr>
      <w:bookmarkStart w:id="538" w:name="ITEM6Exhibits_812943"/>
      <w:bookmarkStart w:id="539" w:name="_bbce409c_abd4_43f7_94a9_8c8b751b522e"/>
      <w:bookmarkEnd w:id="538"/>
      <w:bookmarkEnd w:id="539"/>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tbl>
      <w:tblPr>
        <w:tblW w:w="10205" w:type="dxa"/>
        <w:jc w:val="left"/>
        <w:tblInd w:w="0" w:type="dxa"/>
        <w:tblLayout w:type="fixed"/>
        <w:tblCellMar>
          <w:top w:w="0" w:type="dxa"/>
          <w:left w:w="0" w:type="dxa"/>
          <w:bottom w:w="0" w:type="dxa"/>
          <w:right w:w="0" w:type="dxa"/>
        </w:tblCellMar>
      </w:tblPr>
      <w:tblGrid>
        <w:gridCol w:w="858"/>
        <w:gridCol w:w="346"/>
        <w:gridCol w:w="9001"/>
      </w:tblGrid>
      <w:tr>
        <w:trPr/>
        <w:tc>
          <w:tcPr>
            <w:tcW w:w="85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72415" cy="175260"/>
                      <wp:effectExtent l="0" t="0" r="0" b="0"/>
                      <wp:wrapNone/>
                      <wp:docPr id="136" name="Frame136"/>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09855" cy="175260"/>
                      <wp:effectExtent l="0" t="0" r="0" b="0"/>
                      <wp:wrapNone/>
                      <wp:docPr id="137" name="Frame137"/>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900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857500" cy="175260"/>
                      <wp:effectExtent l="0" t="0" r="0" b="0"/>
                      <wp:wrapNone/>
                      <wp:docPr id="138" name="Frame138"/>
                      <a:graphic xmlns:a="http://schemas.openxmlformats.org/drawingml/2006/main">
                        <a:graphicData uri="http://schemas.microsoft.com/office/word/2010/wordprocessingShape">
                          <wps:wsp>
                            <wps:cNvSpPr txBox="1"/>
                            <wps:spPr>
                              <a:xfrm>
                                <a:off x="0" y="0"/>
                                <a:ext cx="285750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858" w:type="dxa"/>
            <w:tcBorders/>
            <w:vAlign w:val="center"/>
          </w:tcPr>
          <w:p>
            <w:pPr>
              <w:pStyle w:val="TableHeading"/>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No.</w:t>
            </w:r>
          </w:p>
        </w:tc>
        <w:tc>
          <w:tcPr>
            <w:tcW w:w="346" w:type="dxa"/>
            <w:tcBorders/>
            <w:vAlign w:val="center"/>
          </w:tcPr>
          <w:p>
            <w:pPr>
              <w:pStyle w:val="TableHeading"/>
              <w:bidi w:val="0"/>
              <w:spacing w:before="0" w:after="0"/>
              <w:ind w:left="0" w:right="0" w:hanging="0"/>
              <w:jc w:val="left"/>
              <w:rPr/>
            </w:pPr>
            <w:r>
              <w:rPr/>
              <w:t>  ​ ​ ​</w:t>
            </w:r>
          </w:p>
        </w:tc>
        <w:tc>
          <w:tcPr>
            <w:tcW w:w="9001" w:type="dxa"/>
            <w:tcBorders/>
            <w:vAlign w:val="center"/>
          </w:tcPr>
          <w:p>
            <w:pPr>
              <w:pStyle w:val="TableHeading"/>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Exhibit Index</w:t>
            </w:r>
          </w:p>
        </w:tc>
      </w:tr>
      <w:tr>
        <w:trPr/>
        <w:tc>
          <w:tcPr>
            <w:tcW w:w="8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1"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9001" w:type="dxa"/>
            <w:tcBorders/>
            <w:vAlign w:val="center"/>
          </w:tcPr>
          <w:p>
            <w:pPr>
              <w:pStyle w:val="TableContents"/>
              <w:bidi w:val="0"/>
              <w:spacing w:before="0" w:after="120"/>
              <w:ind w:left="0" w:right="0" w:hanging="0"/>
              <w:jc w:val="both"/>
              <w:rPr/>
            </w:pPr>
            <w:hyperlink w:anchor="cix-20260331xex31d1.htm">
              <w:r>
                <w:rPr>
                  <w:rStyle w:val="InternetLink"/>
                  <w:rFonts w:ascii="Times New Roman;Times;serif" w:hAnsi="Times New Roman;Times;serif"/>
                  <w:b w:val="false"/>
                  <w:i w:val="false"/>
                  <w:caps w:val="false"/>
                  <w:smallCaps w:val="false"/>
                  <w:sz w:val="20"/>
                </w:rPr>
                <w:t>Certification</w:t>
              </w:r>
            </w:hyperlink>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9001" w:type="dxa"/>
            <w:tcBorders/>
            <w:vAlign w:val="center"/>
          </w:tcPr>
          <w:p>
            <w:pPr>
              <w:pStyle w:val="TableContents"/>
              <w:bidi w:val="0"/>
              <w:spacing w:before="0" w:after="120"/>
              <w:ind w:left="0" w:right="0" w:hanging="0"/>
              <w:jc w:val="both"/>
              <w:rPr/>
            </w:pPr>
            <w:hyperlink w:anchor="cix-20260331xex31d2.htm">
              <w:r>
                <w:rPr>
                  <w:rStyle w:val="InternetLink"/>
                  <w:rFonts w:ascii="Times New Roman;Times;serif" w:hAnsi="Times New Roman;Times;serif"/>
                  <w:b w:val="false"/>
                  <w:i w:val="false"/>
                  <w:caps w:val="false"/>
                  <w:smallCaps w:val="false"/>
                  <w:sz w:val="20"/>
                </w:rPr>
                <w:t>Certification</w:t>
              </w:r>
            </w:hyperlink>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9001" w:type="dxa"/>
            <w:tcBorders/>
            <w:vAlign w:val="center"/>
          </w:tcPr>
          <w:p>
            <w:pPr>
              <w:pStyle w:val="TableContents"/>
              <w:bidi w:val="0"/>
              <w:spacing w:before="0" w:after="120"/>
              <w:ind w:left="0" w:right="0" w:hanging="0"/>
              <w:jc w:val="both"/>
              <w:rPr/>
            </w:pPr>
            <w:hyperlink w:anchor="cix-20260331xex32d1.htm">
              <w:r>
                <w:rPr>
                  <w:rStyle w:val="InternetLink"/>
                  <w:rFonts w:ascii="Times New Roman;Times;serif" w:hAnsi="Times New Roman;Times;serif"/>
                  <w:b w:val="false"/>
                  <w:i w:val="false"/>
                  <w:caps w:val="false"/>
                  <w:smallCaps w:val="false"/>
                  <w:sz w:val="20"/>
                </w:rPr>
                <w:t>Certification</w:t>
              </w:r>
            </w:hyperlink>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900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900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Schema</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900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900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w:t>
            </w:r>
          </w:p>
        </w:tc>
        <w:tc>
          <w:tcPr>
            <w:tcW w:w="900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900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w:t>
            </w:r>
          </w:p>
        </w:tc>
      </w:tr>
      <w:tr>
        <w:trPr/>
        <w:tc>
          <w:tcPr>
            <w:tcW w:w="85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9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bookmarkStart w:id="540" w:name="_172e3b41_096e_4572_84e2_b2cba0f7e023"/>
      <w:bookmarkEnd w:id="540"/>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- 18 -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555" w:type="dxa"/>
        <w:jc w:val="left"/>
        <w:tblInd w:w="0" w:type="dxa"/>
        <w:tblLayout w:type="fixed"/>
        <w:tblCellMar>
          <w:top w:w="0" w:type="dxa"/>
          <w:left w:w="0" w:type="dxa"/>
          <w:bottom w:w="0" w:type="dxa"/>
          <w:right w:w="0" w:type="dxa"/>
        </w:tblCellMar>
      </w:tblPr>
      <w:tblGrid>
        <w:gridCol w:w="1681"/>
        <w:gridCol w:w="346"/>
        <w:gridCol w:w="256"/>
        <w:gridCol w:w="604"/>
        <w:gridCol w:w="1326"/>
        <w:gridCol w:w="2628"/>
        <w:gridCol w:w="560"/>
        <w:gridCol w:w="154"/>
      </w:tblGrid>
      <w:tr>
        <w:trPr/>
        <w:tc>
          <w:tcPr>
            <w:tcW w:w="2283"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449705" cy="525780"/>
                      <wp:effectExtent l="0" t="0" r="0" b="0"/>
                      <wp:wrapNone/>
                      <wp:docPr id="139" name="Frame139"/>
                      <a:graphic xmlns:a="http://schemas.openxmlformats.org/drawingml/2006/main">
                        <a:graphicData uri="http://schemas.microsoft.com/office/word/2010/wordprocessingShape">
                          <wps:wsp>
                            <wps:cNvSpPr txBox="1"/>
                            <wps:spPr>
                              <a:xfrm>
                                <a:off x="0" y="0"/>
                                <a:ext cx="1449705" cy="525780"/>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1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930" w:type="dxa"/>
            <w:gridSpan w:val="2"/>
            <w:tcBorders/>
            <w:vAlign w:val="center"/>
          </w:tcPr>
          <w:p>
            <w:pPr>
              <w:pStyle w:val="TableContents"/>
              <w:bidi w:val="0"/>
              <w:spacing w:before="0" w:after="0"/>
              <w:ind w:left="0" w:right="0" w:hanging="0"/>
              <w:jc w:val="left"/>
              <w:rPr/>
            </w:pPr>
            <w:r>
              <w:rPr/>
              <w:t>​</w:t>
            </w:r>
          </w:p>
        </w:tc>
        <w:tc>
          <w:tcPr>
            <w:tcW w:w="26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668780" cy="175260"/>
                      <wp:effectExtent l="0" t="0" r="0" b="0"/>
                      <wp:wrapNone/>
                      <wp:docPr id="140" name="Frame140"/>
                      <a:graphic xmlns:a="http://schemas.openxmlformats.org/drawingml/2006/main">
                        <a:graphicData uri="http://schemas.microsoft.com/office/word/2010/wordprocessingShape">
                          <wps:wsp>
                            <wps:cNvSpPr txBox="1"/>
                            <wps:spPr>
                              <a:xfrm>
                                <a:off x="0" y="0"/>
                                <a:ext cx="1668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53390" cy="175260"/>
                      <wp:effectExtent l="0" t="0" r="0" b="0"/>
                      <wp:wrapNone/>
                      <wp:docPr id="141" name="Frame141"/>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374"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COMPX INTERNATIONAL INC.</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74"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74" w:type="dxa"/>
            <w:gridSpan w:val="5"/>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5, 2026</w:t>
            </w:r>
          </w:p>
        </w:tc>
        <w:tc>
          <w:tcPr>
            <w:tcW w:w="346" w:type="dxa"/>
            <w:tcBorders/>
            <w:vAlign w:val="center"/>
          </w:tcPr>
          <w:p>
            <w:pPr>
              <w:pStyle w:val="TableContents"/>
              <w:bidi w:val="0"/>
              <w:spacing w:before="0" w:after="0"/>
              <w:ind w:left="0" w:right="0" w:hanging="0"/>
              <w:jc w:val="left"/>
              <w:rPr/>
            </w:pPr>
            <w:r>
              <w:rPr/>
              <w:t>​</w:t>
            </w:r>
          </w:p>
        </w:tc>
        <w:tc>
          <w:tcPr>
            <w:tcW w:w="86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14" w:type="dxa"/>
            <w:gridSpan w:val="3"/>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60" w:type="dxa"/>
            <w:gridSpan w:val="2"/>
            <w:tcBorders/>
            <w:vAlign w:val="center"/>
          </w:tcPr>
          <w:p>
            <w:pPr>
              <w:pStyle w:val="TableContents"/>
              <w:bidi w:val="0"/>
              <w:spacing w:before="0" w:after="0"/>
              <w:ind w:left="0" w:right="0" w:hanging="0"/>
              <w:jc w:val="left"/>
              <w:rPr/>
            </w:pPr>
            <w:r>
              <w:rPr/>
              <w:t>​</w:t>
            </w:r>
          </w:p>
        </w:tc>
        <w:tc>
          <w:tcPr>
            <w:tcW w:w="4514" w:type="dxa"/>
            <w:gridSpan w:val="3"/>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60" w:type="dxa"/>
            <w:gridSpan w:val="2"/>
            <w:tcBorders/>
            <w:vAlign w:val="center"/>
          </w:tcPr>
          <w:p>
            <w:pPr>
              <w:pStyle w:val="TableContents"/>
              <w:bidi w:val="0"/>
              <w:spacing w:before="0" w:after="0"/>
              <w:ind w:left="0" w:right="0" w:hanging="0"/>
              <w:jc w:val="left"/>
              <w:rPr/>
            </w:pPr>
            <w:r>
              <w:rPr/>
              <w:t>​</w:t>
            </w:r>
          </w:p>
        </w:tc>
        <w:tc>
          <w:tcPr>
            <w:tcW w:w="451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60" w:type="dxa"/>
            <w:gridSpan w:val="2"/>
            <w:tcBorders/>
            <w:vAlign w:val="center"/>
          </w:tcPr>
          <w:p>
            <w:pPr>
              <w:pStyle w:val="TableContents"/>
              <w:bidi w:val="0"/>
              <w:spacing w:before="0" w:after="0"/>
              <w:ind w:left="0" w:right="0" w:hanging="0"/>
              <w:jc w:val="left"/>
              <w:rPr/>
            </w:pPr>
            <w:r>
              <w:rPr/>
              <w:t>​</w:t>
            </w:r>
          </w:p>
        </w:tc>
        <w:tc>
          <w:tcPr>
            <w:tcW w:w="4514" w:type="dxa"/>
            <w:gridSpan w:val="3"/>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60" w:type="dxa"/>
            <w:gridSpan w:val="2"/>
            <w:tcBorders/>
            <w:vAlign w:val="center"/>
          </w:tcPr>
          <w:p>
            <w:pPr>
              <w:pStyle w:val="TableContents"/>
              <w:bidi w:val="0"/>
              <w:spacing w:before="0" w:after="0"/>
              <w:ind w:left="0" w:right="0" w:hanging="0"/>
              <w:jc w:val="left"/>
              <w:rPr/>
            </w:pPr>
            <w:r>
              <w:rPr/>
              <w:t>​</w:t>
            </w:r>
          </w:p>
        </w:tc>
        <w:tc>
          <w:tcPr>
            <w:tcW w:w="4514" w:type="dxa"/>
            <w:gridSpan w:val="3"/>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6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14" w:type="dxa"/>
            <w:gridSpan w:val="3"/>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E. Ruf</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60" w:type="dxa"/>
            <w:gridSpan w:val="2"/>
            <w:tcBorders/>
            <w:vAlign w:val="center"/>
          </w:tcPr>
          <w:p>
            <w:pPr>
              <w:pStyle w:val="TableContents"/>
              <w:bidi w:val="0"/>
              <w:spacing w:before="0" w:after="0"/>
              <w:ind w:left="0" w:right="0" w:hanging="0"/>
              <w:jc w:val="left"/>
              <w:rPr/>
            </w:pPr>
            <w:r>
              <w:rPr/>
              <w:t>​</w:t>
            </w:r>
          </w:p>
        </w:tc>
        <w:tc>
          <w:tcPr>
            <w:tcW w:w="4514" w:type="dxa"/>
            <w:gridSpan w:val="3"/>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E. Ruf</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60" w:type="dxa"/>
            <w:gridSpan w:val="2"/>
            <w:tcBorders/>
            <w:vAlign w:val="center"/>
          </w:tcPr>
          <w:p>
            <w:pPr>
              <w:pStyle w:val="TableContents"/>
              <w:bidi w:val="0"/>
              <w:spacing w:before="0" w:after="0"/>
              <w:ind w:left="0" w:right="0" w:hanging="0"/>
              <w:jc w:val="left"/>
              <w:rPr/>
            </w:pPr>
            <w:r>
              <w:rPr/>
              <w:t>​</w:t>
            </w:r>
          </w:p>
        </w:tc>
        <w:tc>
          <w:tcPr>
            <w:tcW w:w="451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Controller)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- 19 -</w:t>
      </w:r>
    </w:p>
    <w:p>
      <w:pPr>
        <w:pStyle w:val="TextBody"/>
        <w:bidi w:val="0"/>
        <w:spacing w:before="0" w:after="240"/>
        <w:ind w:left="0" w:right="0" w:hanging="0"/>
        <w:jc w:val="right"/>
        <w:rPr>
          <w:rFonts w:ascii="Times New Roman;Times;serif" w:hAnsi="Times New Roman;Times;serif"/>
          <w:b/>
          <w:sz w:val="20"/>
        </w:rPr>
      </w:pPr>
      <w:bookmarkStart w:id="541" w:name="cix-20260331xex31d1.htm"/>
      <w:bookmarkStart w:id="542" w:name="kscix20260331xex31d1"/>
      <w:bookmarkEnd w:id="541"/>
      <w:bookmarkEnd w:id="542"/>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Scott C. James, certify that:</w:t>
      </w:r>
    </w:p>
    <w:tbl>
      <w:tblPr>
        <w:tblW w:w="6685" w:type="dxa"/>
        <w:jc w:val="left"/>
        <w:tblInd w:w="0" w:type="dxa"/>
        <w:tblLayout w:type="fixed"/>
        <w:tblCellMar>
          <w:top w:w="0" w:type="dxa"/>
          <w:left w:w="0" w:type="dxa"/>
          <w:bottom w:w="0" w:type="dxa"/>
          <w:right w:w="0" w:type="dxa"/>
        </w:tblCellMar>
      </w:tblPr>
      <w:tblGrid>
        <w:gridCol w:w="185"/>
        <w:gridCol w:w="650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CompX International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May 5, 2026</w:t>
      </w:r>
    </w:p>
    <w:p>
      <w:pPr>
        <w:pStyle w:val="TextBody"/>
        <w:bidi w:val="0"/>
        <w:spacing w:before="0" w:after="0"/>
        <w:ind w:left="0" w:right="0" w:hanging="0"/>
        <w:jc w:val="left"/>
        <w:rPr/>
      </w:pPr>
      <w:r>
        <w:rPr/>
        <w:t>​</w:t>
      </w:r>
    </w:p>
    <w:tbl>
      <w:tblPr>
        <w:tblW w:w="3741" w:type="dxa"/>
        <w:jc w:val="center"/>
        <w:tblInd w:w="0" w:type="dxa"/>
        <w:tblLayout w:type="fixed"/>
        <w:tblCellMar>
          <w:top w:w="0" w:type="dxa"/>
          <w:left w:w="0" w:type="dxa"/>
          <w:bottom w:w="0" w:type="dxa"/>
          <w:right w:w="0" w:type="dxa"/>
        </w:tblCellMar>
      </w:tblPr>
      <w:tblGrid>
        <w:gridCol w:w="421"/>
        <w:gridCol w:w="3166"/>
        <w:gridCol w:w="154"/>
      </w:tblGrid>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Scott C. James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31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Scott C. James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543" w:name="cix-20260331xex31d2.htm"/>
      <w:bookmarkStart w:id="544" w:name="kscix20260331xex31d2"/>
      <w:bookmarkEnd w:id="543"/>
      <w:bookmarkEnd w:id="544"/>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Amy A. Samford, certify that:</w:t>
      </w:r>
    </w:p>
    <w:tbl>
      <w:tblPr>
        <w:tblW w:w="6685" w:type="dxa"/>
        <w:jc w:val="left"/>
        <w:tblInd w:w="0" w:type="dxa"/>
        <w:tblLayout w:type="fixed"/>
        <w:tblCellMar>
          <w:top w:w="0" w:type="dxa"/>
          <w:left w:w="0" w:type="dxa"/>
          <w:bottom w:w="0" w:type="dxa"/>
          <w:right w:w="0" w:type="dxa"/>
        </w:tblCellMar>
      </w:tblPr>
      <w:tblGrid>
        <w:gridCol w:w="185"/>
        <w:gridCol w:w="650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CompX International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5, 2026</w:t>
      </w:r>
    </w:p>
    <w:p>
      <w:pPr>
        <w:pStyle w:val="TextBody"/>
        <w:bidi w:val="0"/>
        <w:spacing w:before="0" w:after="0"/>
        <w:ind w:left="0" w:right="0" w:hanging="0"/>
        <w:jc w:val="left"/>
        <w:rPr/>
      </w:pPr>
      <w:r>
        <w:rPr/>
        <w:t>​</w:t>
      </w:r>
    </w:p>
    <w:tbl>
      <w:tblPr>
        <w:tblW w:w="4971" w:type="dxa"/>
        <w:jc w:val="center"/>
        <w:tblInd w:w="0" w:type="dxa"/>
        <w:tblLayout w:type="fixed"/>
        <w:tblCellMar>
          <w:top w:w="0" w:type="dxa"/>
          <w:left w:w="0" w:type="dxa"/>
          <w:bottom w:w="0" w:type="dxa"/>
          <w:right w:w="0" w:type="dxa"/>
        </w:tblCellMar>
      </w:tblPr>
      <w:tblGrid>
        <w:gridCol w:w="421"/>
        <w:gridCol w:w="4396"/>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67335" cy="175260"/>
                      <wp:effectExtent l="0" t="0" r="0" b="0"/>
                      <wp:wrapNone/>
                      <wp:docPr id="142" name="Frame14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791460" cy="175260"/>
                      <wp:effectExtent l="0" t="0" r="0" b="0"/>
                      <wp:wrapNone/>
                      <wp:docPr id="143" name="Frame143"/>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43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439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545" w:name="cix-20260331xex32d1.htm"/>
      <w:bookmarkStart w:id="546" w:name="kscix20260331xex32d1"/>
      <w:bookmarkEnd w:id="545"/>
      <w:bookmarkEnd w:id="546"/>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CompX International Inc. (the Company) on Form 10-Q for the period ending March 31, 2026, as filed with the Securities and Exchange Commission on the date hereof (the Report), I, Scott C. James, President and Chief Executive Officer of the Company and I, Amy A. Samford, Executive Vice President and Chief Financial Officer of the Company, certify, pursuant to 18 U.S.C. §1350, as adopted pursuant to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pPr>
      <w:r>
        <w:rPr/>
        <w:t>​</w:t>
      </w:r>
    </w:p>
    <w:tbl>
      <w:tblPr>
        <w:tblW w:w="5016" w:type="dxa"/>
        <w:jc w:val="center"/>
        <w:tblInd w:w="0" w:type="dxa"/>
        <w:tblLayout w:type="fixed"/>
        <w:tblCellMar>
          <w:top w:w="0" w:type="dxa"/>
          <w:left w:w="0" w:type="dxa"/>
          <w:bottom w:w="0" w:type="dxa"/>
          <w:right w:w="0" w:type="dxa"/>
        </w:tblCellMar>
      </w:tblPr>
      <w:tblGrid>
        <w:gridCol w:w="421"/>
        <w:gridCol w:w="4441"/>
        <w:gridCol w:w="154"/>
      </w:tblGrid>
      <w:tr>
        <w:trPr/>
        <w:tc>
          <w:tcPr>
            <w:tcW w:w="421"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Scott C. James</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Scott C. James</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Amy A. Samford</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Amy A. Samford</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Executive Vice President and Chief Financial Officer </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Date: May 5, 2026</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8314</Words>
  <Characters>45458</Characters>
  <CharactersWithSpaces>54629</CharactersWithSpaces>
  <Paragraphs>2589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