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195580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QUARTERLY REPORT UNDER SECTION 13 OR 15(d) OF THE SECURITIES</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COMPX INTERNATIONAL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57-0981653</w:t>
            </w:r>
          </w:p>
        </w:tc>
      </w:tr>
      <w:tr>
        <w:trPr>
          <w:trHeight w:val="149"/>
        </w:trPr>
        <w:tc>
          <w:tcPr>
            <w:tcW w:w="4700" w:type="dxa"/>
            <w:vAlign w:val="bottom"/>
          </w:tcPr>
          <w:p>
            <w:pPr>
              <w:jc w:val="center"/>
              <w:ind w:right="1879"/>
              <w:spacing w:after="0" w:line="149" w:lineRule="exact"/>
              <w:rPr>
                <w:sz w:val="20"/>
                <w:szCs w:val="20"/>
                <w:color w:val="auto"/>
              </w:rPr>
            </w:pPr>
            <w:r>
              <w:rPr>
                <w:rFonts w:ascii="Arial" w:cs="Arial" w:eastAsia="Arial" w:hAnsi="Arial"/>
                <w:sz w:val="14"/>
                <w:szCs w:val="14"/>
                <w:color w:val="auto"/>
                <w:w w:val="94"/>
              </w:rPr>
              <w:t>(State or other jurisdiction of</w:t>
            </w:r>
          </w:p>
        </w:tc>
        <w:tc>
          <w:tcPr>
            <w:tcW w:w="3020" w:type="dxa"/>
            <w:vAlign w:val="bottom"/>
          </w:tcPr>
          <w:p>
            <w:pPr>
              <w:jc w:val="center"/>
              <w:ind w:left="186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Incorporation or organization)</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5430 LBJ Freeway, Suite 1700,</w:t>
            </w:r>
          </w:p>
        </w:tc>
        <w:tc>
          <w:tcPr>
            <w:tcW w:w="3020" w:type="dxa"/>
            <w:vAlign w:val="bottom"/>
          </w:tcPr>
          <w:p>
            <w:pPr>
              <w:spacing w:after="0"/>
              <w:rPr>
                <w:sz w:val="24"/>
                <w:szCs w:val="24"/>
                <w:color w:val="auto"/>
              </w:rPr>
            </w:pPr>
          </w:p>
        </w:tc>
      </w:tr>
      <w:tr>
        <w:trPr>
          <w:trHeight w:val="22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Three Lincoln Centre, Dallas, Texas</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75240-2697</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(Address of principal executive offices)</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checkmark:</w:t>
      </w:r>
    </w:p>
    <w:p>
      <w:pPr>
        <w:spacing w:after="0" w:line="225"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(1) has filed all reports required to be filed by Section 13 or 15(d) of the Securities Exchange Act of 1934 during the preceding 12 months (or for such a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p>
      <w:pPr>
        <w:spacing w:after="0" w:line="207" w:lineRule="exact"/>
        <w:tabs>
          <w:tab w:leader="none" w:pos="2100" w:val="left"/>
          <w:tab w:leader="none" w:pos="376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(Do not check if a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Smaller reporting company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080" w:val="left"/>
          <w:tab w:leader="none" w:pos="7760" w:val="left"/>
        </w:tabs>
        <w:rPr>
          <w:sz w:val="20"/>
          <w:szCs w:val="20"/>
          <w:color w:val="auto"/>
        </w:rPr>
      </w:pPr>
      <w:r>
        <w:rPr>
          <w:rFonts w:ascii="Arial" w:cs="Arial" w:eastAsia="Arial" w:hAnsi="Arial"/>
          <w:sz w:val="17"/>
          <w:szCs w:val="17"/>
          <w:b w:val="1"/>
          <w:bCs w:val="1"/>
          <w:color w:val="auto"/>
        </w:rPr>
        <w:t>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r>
        <w:rPr>
          <w:rFonts w:ascii="Arial" w:cs="Arial" w:eastAsia="Arial" w:hAnsi="Arial"/>
          <w:sz w:val="17"/>
          <w:szCs w:val="17"/>
          <w:b w:val="1"/>
          <w:bCs w:val="1"/>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common stock outstanding on October 26, 2017:</w:t>
      </w:r>
    </w:p>
    <w:p>
      <w:pPr>
        <w:spacing w:after="0" w:line="36" w:lineRule="exact"/>
        <w:rPr>
          <w:sz w:val="24"/>
          <w:szCs w:val="24"/>
          <w:color w:val="auto"/>
        </w:rPr>
      </w:pPr>
    </w:p>
    <w:p>
      <w:pPr>
        <w:ind w:left="520"/>
        <w:spacing w:after="0"/>
        <w:tabs>
          <w:tab w:leader="none" w:pos="2180" w:val="left"/>
        </w:tabs>
        <w:rPr>
          <w:sz w:val="20"/>
          <w:szCs w:val="20"/>
          <w:color w:val="auto"/>
        </w:rPr>
      </w:pPr>
      <w:r>
        <w:rPr>
          <w:rFonts w:ascii="Arial" w:cs="Arial" w:eastAsia="Arial" w:hAnsi="Arial"/>
          <w:sz w:val="18"/>
          <w:szCs w:val="18"/>
          <w:b w:val="1"/>
          <w:bCs w:val="1"/>
          <w:color w:val="auto"/>
        </w:rPr>
        <w:t>Class A: 2,426,107</w:t>
      </w:r>
      <w:r>
        <w:rPr>
          <w:sz w:val="20"/>
          <w:szCs w:val="20"/>
          <w:color w:val="auto"/>
        </w:rPr>
        <w:tab/>
      </w:r>
      <w:r>
        <w:rPr>
          <w:rFonts w:ascii="Arial" w:cs="Arial" w:eastAsia="Arial" w:hAnsi="Arial"/>
          <w:sz w:val="15"/>
          <w:szCs w:val="15"/>
          <w:b w:val="1"/>
          <w:bCs w:val="1"/>
          <w:color w:val="auto"/>
        </w:rPr>
        <w:t>Class B: 10,000,000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253365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rPr>
              <w:t>COMPX INTERNATIONAL INC.</w:t>
            </w:r>
          </w:p>
        </w:tc>
        <w:tc>
          <w:tcPr>
            <w:tcW w:w="1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Arial" w:cs="Arial" w:eastAsia="Arial" w:hAnsi="Arial"/>
                <w:sz w:val="18"/>
                <w:szCs w:val="18"/>
                <w:b w:val="1"/>
                <w:bCs w:val="1"/>
                <w:color w:val="auto"/>
                <w:w w:val="93"/>
              </w:rPr>
              <w:t>Index</w:t>
            </w:r>
          </w:p>
        </w:tc>
        <w:tc>
          <w:tcPr>
            <w:tcW w:w="1100" w:type="dxa"/>
            <w:vAlign w:val="bottom"/>
          </w:tcPr>
          <w:p>
            <w:pPr>
              <w:spacing w:after="0"/>
              <w:rPr>
                <w:sz w:val="24"/>
                <w:szCs w:val="24"/>
                <w:color w:val="auto"/>
              </w:rPr>
            </w:pPr>
          </w:p>
        </w:tc>
      </w:tr>
      <w:tr>
        <w:trPr>
          <w:trHeight w:val="446"/>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Page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18"/>
                <w:szCs w:val="18"/>
                <w:color w:val="auto"/>
              </w:rPr>
            </w:pPr>
          </w:p>
        </w:tc>
      </w:tr>
      <w:tr>
        <w:trPr>
          <w:trHeight w:val="296"/>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2016 and September 30, 2017 (unaudited)</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- 3 -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Income (unaudited) – Three and nine months ended September 30, 2016 and 2017</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- 4 -</w:t>
            </w:r>
          </w:p>
        </w:tc>
      </w:tr>
      <w:tr>
        <w:trPr>
          <w:trHeight w:val="318"/>
        </w:trPr>
        <w:tc>
          <w:tcPr>
            <w:tcW w:w="760" w:type="dxa"/>
            <w:vAlign w:val="bottom"/>
          </w:tcPr>
          <w:p>
            <w:pPr>
              <w:spacing w:after="0"/>
              <w:rPr>
                <w:sz w:val="24"/>
                <w:szCs w:val="24"/>
                <w:color w:val="auto"/>
              </w:rPr>
            </w:pPr>
          </w:p>
        </w:tc>
        <w:tc>
          <w:tcPr>
            <w:tcW w:w="8780" w:type="dxa"/>
            <w:vAlign w:val="bottom"/>
            <w:tcBorders>
              <w:top w:val="single" w:sz="8" w:color="0000EE"/>
            </w:tcBorders>
            <w:gridSpan w:val="11"/>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(unaudited) - Nine months ended September 30, 2016 and 2017</w:t>
              </w:r>
            </w:hyperlink>
          </w:p>
        </w:tc>
        <w:tc>
          <w:tcPr>
            <w:tcW w:w="7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- 5 -</w:t>
            </w:r>
          </w:p>
        </w:tc>
      </w:tr>
      <w:tr>
        <w:trPr>
          <w:trHeight w:val="318"/>
        </w:trPr>
        <w:tc>
          <w:tcPr>
            <w:tcW w:w="760" w:type="dxa"/>
            <w:vAlign w:val="bottom"/>
          </w:tcPr>
          <w:p>
            <w:pPr>
              <w:spacing w:after="0"/>
              <w:rPr>
                <w:sz w:val="24"/>
                <w:szCs w:val="24"/>
                <w:color w:val="auto"/>
              </w:rPr>
            </w:pPr>
          </w:p>
        </w:tc>
        <w:tc>
          <w:tcPr>
            <w:tcW w:w="8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Stockholders’ Equity (unaudited) – Nine months ended September 30, 2017</w:t>
              </w:r>
            </w:hyperlink>
          </w:p>
        </w:tc>
        <w:tc>
          <w:tcPr>
            <w:tcW w:w="60" w:type="dxa"/>
            <w:vAlign w:val="bottom"/>
            <w:tcBorders>
              <w:top w:val="single" w:sz="8" w:color="0000EE"/>
            </w:tcBorders>
          </w:tcPr>
          <w:p>
            <w:pPr>
              <w:spacing w:after="0"/>
              <w:rPr>
                <w:sz w:val="24"/>
                <w:szCs w:val="24"/>
                <w:color w:val="auto"/>
              </w:rPr>
            </w:pPr>
          </w:p>
        </w:tc>
        <w:tc>
          <w:tcPr>
            <w:tcW w:w="1240" w:type="dxa"/>
            <w:vAlign w:val="bottom"/>
            <w:gridSpan w:val="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- 6 -</w:t>
            </w:r>
          </w:p>
        </w:tc>
      </w:tr>
      <w:tr>
        <w:trPr>
          <w:trHeight w:val="318"/>
        </w:trPr>
        <w:tc>
          <w:tcPr>
            <w:tcW w:w="760" w:type="dxa"/>
            <w:vAlign w:val="bottom"/>
          </w:tcPr>
          <w:p>
            <w:pPr>
              <w:spacing w:after="0"/>
              <w:rPr>
                <w:sz w:val="24"/>
                <w:szCs w:val="24"/>
                <w:color w:val="auto"/>
              </w:rPr>
            </w:pPr>
          </w:p>
        </w:tc>
        <w:tc>
          <w:tcPr>
            <w:tcW w:w="48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700" w:type="dxa"/>
            <w:vAlign w:val="bottom"/>
            <w:gridSpan w:val="6"/>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- 7 -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- 11 -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- 15 -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- 16 -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754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8660" w:type="dxa"/>
            <w:vAlign w:val="bottom"/>
            <w:gridSpan w:val="10"/>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- 17 -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Exhibits</w:t>
              </w:r>
            </w:hyperlink>
          </w:p>
        </w:tc>
        <w:tc>
          <w:tcPr>
            <w:tcW w:w="8960" w:type="dxa"/>
            <w:vAlign w:val="bottom"/>
            <w:gridSpan w:val="11"/>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- 17 -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ind w:right="52"/>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33,153</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66,868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143,980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150,182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11,882</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Class B common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143,980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left="454"/>
              <w:spacing w:after="0" w:line="155"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center"/>
              <w:ind w:left="434"/>
              <w:spacing w:after="0" w:line="155"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26,992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82,586</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18,794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56,496</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8,198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3,914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Arial" w:cs="Arial" w:eastAsia="Arial" w:hAnsi="Arial"/>
                <w:sz w:val="18"/>
                <w:szCs w:val="18"/>
                <w:color w:val="auto"/>
              </w:rPr>
              <w:t>Basic and diluted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24"/>
                <w:szCs w:val="24"/>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28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0.61</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12,419</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12,426</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12,415</w:t>
            </w: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0"/>
              </w:rPr>
              <w:t>Nine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9"/>
                <w:szCs w:val="19"/>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center"/>
              <w:ind w:left="393"/>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8,951</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2,747</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252</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(4,289)</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(1,386)</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(475)</w:t>
            </w: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(599)</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(584)</w:t>
            </w: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(40)</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8,928</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(2,127)</w:t>
            </w: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40,400</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(15,100)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(49,700)</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(11,427)</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 -</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(1,864)</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(4,363)</w:t>
            </w: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33,153</w:t>
            </w:r>
          </w:p>
        </w:tc>
        <w:tc>
          <w:tcPr>
            <w:tcW w:w="120" w:type="dxa"/>
            <w:vAlign w:val="bottom"/>
            <w:shd w:val="clear" w:color="auto" w:fill="CFF0FC"/>
          </w:tcPr>
          <w:p>
            <w:pPr>
              <w:spacing w:after="0"/>
              <w:rPr>
                <w:sz w:val="19"/>
                <w:szCs w:val="19"/>
                <w:color w:val="auto"/>
              </w:rPr>
            </w:pPr>
          </w:p>
        </w:tc>
      </w:tr>
      <w:tr>
        <w:trPr>
          <w:trHeight w:val="263"/>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28,790</w:t>
            </w:r>
          </w:p>
        </w:tc>
        <w:tc>
          <w:tcPr>
            <w:tcW w:w="120" w:type="dxa"/>
            <w:vAlign w:val="bottom"/>
            <w:tcBorders>
              <w:bottom w:val="single" w:sz="8" w:color="CFF0FC"/>
            </w:tcBorders>
          </w:tcPr>
          <w:p>
            <w:pPr>
              <w:spacing w:after="0"/>
              <w:rPr>
                <w:sz w:val="22"/>
                <w:szCs w:val="22"/>
                <w:color w:val="auto"/>
              </w:rPr>
            </w:pPr>
          </w:p>
        </w:tc>
      </w:tr>
      <w:tr>
        <w:trPr>
          <w:trHeight w:val="21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5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3,355</w:t>
            </w:r>
          </w:p>
        </w:tc>
        <w:tc>
          <w:tcPr>
            <w:tcW w:w="180" w:type="dxa"/>
            <w:vAlign w:val="bottom"/>
          </w:tcPr>
          <w:p>
            <w:pPr>
              <w:spacing w:after="0"/>
              <w:rPr>
                <w:sz w:val="20"/>
                <w:szCs w:val="20"/>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5,431</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4240" w:type="dxa"/>
            <w:vAlign w:val="bottom"/>
          </w:tcPr>
          <w:p>
            <w:pPr>
              <w:spacing w:after="0"/>
              <w:rPr>
                <w:sz w:val="14"/>
                <w:szCs w:val="14"/>
                <w:color w:val="auto"/>
              </w:rPr>
            </w:pPr>
          </w:p>
        </w:tc>
        <w:tc>
          <w:tcPr>
            <w:tcW w:w="2560" w:type="dxa"/>
            <w:vAlign w:val="bottom"/>
            <w:gridSpan w:val="6"/>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42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Class A</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equity</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55,515</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70,131</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8,951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Cash dividends</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(1,864)</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(1,864)</w:t>
            </w: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2017</w:t>
            </w: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55,612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77,218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132,954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2017</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We (NYSE MKT: CIX) are 87% owned by NL Industries, Inc. (NYSE: NL) at September 30, 2017. We manufacture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products (security products and recreational marine components). At September 30, 2017, Valhi, Inc. (NYSE: VHI) owns 83% of NL’s outstanding common stock and a wholly-owned subsidiary of Contran Corporation owns 93%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93" w:lineRule="exact"/>
        <w:rPr>
          <w:sz w:val="20"/>
          <w:szCs w:val="20"/>
          <w:color w:val="auto"/>
        </w:rPr>
      </w:pPr>
    </w:p>
    <w:p>
      <w:pPr>
        <w:jc w:val="both"/>
        <w:ind w:right="20" w:firstLine="518"/>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 subsidiaries. The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contained in this Quarterly Report have been prepared on the same basis as the audited Consolidated Financial Statements included in our Annual Report on Form 10-K for the year ended December 31, 2016 that we filed with the Securities and Exchange Commission (“SEC”) on March 1, 2017 (the “2016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2016 contained in this Quarterly Report as compared to our audited Consolidated Financial Statements at that date, and we have omitted certain information and footnote disclosures (including those related to the Consolidated Balance Sheet at December 31, 2016) normally included in financial statements prepared in accordance with accounting principles generally accepted in the United States of America (“GAAP”). Our results of operations for the interim periods ended September 30, 2017 may not be indicative of our operating results for the full year. The Condensed Consolidated Financial Statements contained in this Quarterly Report should be read in conjunction with our 2016 Consolidated Financial Statements contained in our 2016 Annual Report.</w:t>
      </w:r>
    </w:p>
    <w:p>
      <w:pPr>
        <w:spacing w:after="0" w:line="183"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September 30, 2016, December 31, 2016 and September 30, 2017. The actual dates of our annual and quarterly periods are October 2, 2016, January 1, 2017 and October 1, 2017, respectively. Unless otherwise indicated, references in this report to “we”, “us” or “our” refer to CompX International Inc. and its subsidiaries, taken as a whole.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24,680</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22,854</w:t>
            </w:r>
          </w:p>
        </w:tc>
        <w:tc>
          <w:tcPr>
            <w:tcW w:w="280" w:type="dxa"/>
            <w:vAlign w:val="bottom"/>
          </w:tcPr>
          <w:p>
            <w:pPr>
              <w:spacing w:after="0"/>
              <w:rPr>
                <w:sz w:val="21"/>
                <w:szCs w:val="2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71,289</w:t>
            </w:r>
          </w:p>
        </w:tc>
        <w:tc>
          <w:tcPr>
            <w:tcW w:w="16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74,903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3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12,040</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1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28,404</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26,992</w:t>
            </w:r>
          </w:p>
        </w:tc>
        <w:tc>
          <w:tcPr>
            <w:tcW w:w="28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82,586</w:t>
            </w:r>
          </w:p>
        </w:tc>
        <w:tc>
          <w:tcPr>
            <w:tcW w:w="16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86,943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0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4,249</w:t>
            </w:r>
          </w:p>
        </w:tc>
        <w:tc>
          <w:tcPr>
            <w:tcW w:w="2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14,676</w:t>
            </w:r>
          </w:p>
        </w:tc>
        <w:tc>
          <w:tcPr>
            <w:tcW w:w="1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15,301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(1,495)</w:t>
            </w: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(1,298)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(4,569)</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3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12,494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3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1,363</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Income before taxes</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4,561</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3,914</w:t>
            </w:r>
          </w:p>
        </w:tc>
        <w:tc>
          <w:tcPr>
            <w:tcW w:w="28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11,704</w:t>
            </w:r>
          </w:p>
        </w:tc>
        <w:tc>
          <w:tcPr>
            <w:tcW w:w="1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13,857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380" w:type="dxa"/>
            <w:vAlign w:val="bottom"/>
            <w:vMerge w:val="restart"/>
          </w:tcPr>
          <w:p>
            <w:pPr>
              <w:jc w:val="right"/>
              <w:ind w:right="530"/>
              <w:spacing w:after="0"/>
              <w:rPr>
                <w:sz w:val="20"/>
                <w:szCs w:val="20"/>
                <w:color w:val="auto"/>
              </w:rPr>
            </w:pPr>
            <w:r>
              <w:rPr>
                <w:rFonts w:ascii="Arial" w:cs="Arial" w:eastAsia="Arial" w:hAnsi="Arial"/>
                <w:sz w:val="18"/>
                <w:szCs w:val="18"/>
                <w:color w:val="auto"/>
              </w:rPr>
              <w:t>- 7 -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color w:val="auto"/>
        </w:rPr>
        <w:t>Intersegment sales are not material.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9,329</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10,153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37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0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5"/>
          </w:tcPr>
          <w:p>
            <w:pPr>
              <w:jc w:val="right"/>
              <w:ind w:right="91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2,365</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3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3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9,684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3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3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15,313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Note 5 – Accounts payable and accrued liabilities:</w:t>
            </w: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0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5"/>
          </w:tcPr>
          <w:p>
            <w:pPr>
              <w:jc w:val="right"/>
              <w:ind w:right="91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Accrued liabilities: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3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11,422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740" w:type="dxa"/>
            <w:vAlign w:val="bottom"/>
            <w:vMerge w:val="restart"/>
          </w:tcPr>
          <w:p>
            <w:pPr>
              <w:jc w:val="right"/>
              <w:ind w:right="2490"/>
              <w:spacing w:after="0"/>
              <w:rPr>
                <w:sz w:val="20"/>
                <w:szCs w:val="20"/>
                <w:color w:val="auto"/>
              </w:rPr>
            </w:pPr>
            <w:r>
              <w:rPr>
                <w:rFonts w:ascii="Arial" w:cs="Arial" w:eastAsia="Arial" w:hAnsi="Arial"/>
                <w:sz w:val="18"/>
                <w:szCs w:val="18"/>
                <w:color w:val="auto"/>
              </w:rPr>
              <w:t>- 8 -</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6 – Provision for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gridSpan w:val="2"/>
            <w:vMerge w:val="restart"/>
            <w:shd w:val="clear" w:color="auto" w:fill="CFF0FC"/>
          </w:tcPr>
          <w:p>
            <w:pPr>
              <w:jc w:val="right"/>
              <w:ind w:right="305"/>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rate of 35%</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4,096</w:t>
            </w:r>
          </w:p>
        </w:tc>
        <w:tc>
          <w:tcPr>
            <w:tcW w:w="180" w:type="dxa"/>
            <w:vAlign w:val="bottom"/>
            <w:shd w:val="clear" w:color="auto" w:fill="CFF0FC"/>
          </w:tcPr>
          <w:p>
            <w:pPr>
              <w:spacing w:after="0"/>
              <w:rPr>
                <w:sz w:val="20"/>
                <w:szCs w:val="20"/>
                <w:color w:val="auto"/>
              </w:rPr>
            </w:pPr>
          </w:p>
        </w:tc>
        <w:tc>
          <w:tcPr>
            <w:tcW w:w="580" w:type="dxa"/>
            <w:vAlign w:val="bottom"/>
            <w:gridSpan w:val="2"/>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8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w:t>
            </w:r>
          </w:p>
        </w:tc>
        <w:tc>
          <w:tcPr>
            <w:tcW w:w="80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4,097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2016</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2017</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7"/>
              </w:rPr>
              <w:t>Carrying</w:t>
            </w:r>
          </w:p>
        </w:tc>
        <w:tc>
          <w:tcPr>
            <w:tcW w:w="660" w:type="dxa"/>
            <w:vAlign w:val="bottom"/>
          </w:tcPr>
          <w:p>
            <w:pPr>
              <w:spacing w:after="0"/>
              <w:rPr>
                <w:sz w:val="12"/>
                <w:szCs w:val="12"/>
                <w:color w:val="auto"/>
              </w:rPr>
            </w:pPr>
          </w:p>
        </w:tc>
        <w:tc>
          <w:tcPr>
            <w:tcW w:w="880" w:type="dxa"/>
            <w:vAlign w:val="bottom"/>
          </w:tcPr>
          <w:p>
            <w:pPr>
              <w:jc w:val="center"/>
              <w:ind w:right="29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3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33,153</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28,790</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28,790</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10,347</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11,717</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11,717</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2,911</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2,911</w:t>
            </w:r>
          </w:p>
        </w:tc>
        <w:tc>
          <w:tcPr>
            <w:tcW w:w="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2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in August 2016 we entered into an unsecured revolving demand promissory note with Valhi whereby we agreed to loan Valhi up to $40 million. Our loan to Valhi, as amended, bears interest at prime plus 1.00%, payable quarterly, with all principal due on demand, but in any event no earlier than December 31, 2018. The amount of our outstanding loans to Valhi at any time is at our discretion. At September 30, 2017, the outstanding principal balance receivable from Valhi under the promissory note was $36.7 million. Interest income (including unused commitment fees) on our loan to Valhi was $0.5 million and $1.3 million for the third quarter and nine months ended September 30, 2017, respectively.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which aims to simplify the subsequent measurement of goodwill by eliminating Step 2 from the goodwill impairment test. Previously, Step 2 measured a goodwill impairment loss by comparing the implied fair value of a reporting unit’s goodwill with the carrying amount of that goodwill. Instead, under the new ASU, an entity should perform its annual, or interim, goodwill impairment test by comparing the fair value of a reporting unit with its carrying amount, and a goodwill impairment charge would be recognized for the amount by which the carrying amount exceeds the reporting unit’s fair value. In no circumstances would the loss recognized exceed the total amount of goodwill allocated to that reporting unit. We have elected to adopt this ASU beginning with our goodwill impairment test performed in the third quarter of 2017. The application of ASU 2017-04 did not have a material effect on our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Pending Adoption</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This standard replaces existing revenue recognition guidance, which in many cases was tailored for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with a uniform accounting standard applicable to all industries and transactions. The new standard, as amended, is currently effective for us beginning with the first quarter of 2018. Entities may elect to adopt ASU No. 2014-09 retrospectively for all periods for all contracts and transactions which occurred during the period (with a few exceptions for practical expediency) or retrospectively with a cumulative effect recognized as of the date of adoption. We expect to adopt the standard in the first quarter of 2018 using the modified retrospective approach to adoption. Our sales generally involve single performance obligations to ship goods pursuant to customer purchase orders without further underlying contracts, and as such we expect adoption of this standard will have minimal effect on our revenues. We are in the process of evaluating the additional disclosure requirements.</w:t>
      </w:r>
    </w:p>
    <w:p>
      <w:pPr>
        <w:spacing w:after="0" w:line="17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a comprehensive rewriting of the lease accounting guidance which aims to increase comparability and transparency with regard to lease transactions. The primary change will be the recognition of lease assets for the right-of– use of the underlying asset and lease liabilities for the obligation to make payments by lessees on the balance sheet for leases currently classified as operating leases. The ASU also requires increased qualitative disclosure about leases in addition to quantitative disclosures currently required. Companies are required to use a modified retrospective approach to adoption with a practical expedient which will allow companies to continue to account for existing leases under the prior guidance unless a lease is modified, other than the requirement to recognize the right-of-use asset and lease liability for all operating leases. The changes indicated above will be effective for us beginning in the first quarter of 2019, with early adoption permitted. We have not yet evaluated the effect this ASU will have on our Consolidated Financial Statements, but given the amount of our future minimum payments under non-cancellable operating leases at December 31, 2016 totaling $0.6 million, we do not expect the adoption of this standard to have a material effect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and trim tabs for the recreational marine and other non-marine industries through our Marine Components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8" w:lineRule="exact"/>
        <w:rPr>
          <w:sz w:val="20"/>
          <w:szCs w:val="20"/>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upgrading or implementing new manufacturing and accounting software systems,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Operations Overview</w:t>
      </w:r>
    </w:p>
    <w:p>
      <w:pPr>
        <w:spacing w:after="0" w:line="22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reported operating income of $3.4 million in the third quarter of 2017 compared to $4.5 million in the same period of 2016. As expected, the decrease in operating income for the period is primarily the result of Security Products sales volumes to a single government security customer during 2016 that did not recur in 2017. Operating income for the first nine months of 2017 was $12.5 million compared to $11.5 million for the comparable period in 2016. The increase in operating income from 2016 to 2017 primarily resulted from higher Security Products sales volumes to existing government customers principally during the first half of 2017.</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product offerings consist of a significantly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28,404</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26,992</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19,005</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18,794</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69.6%</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8,198</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30.4%</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4,926</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4,830</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17.9%</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3,368</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12.5%</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376"/>
        </w:trPr>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0"/>
              </w:rPr>
              <w:t>Nine months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80"/>
        </w:trPr>
        <w:tc>
          <w:tcPr>
            <w:tcW w:w="6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9"/>
        </w:trPr>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82,586</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86,943</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56,496</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59,552</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68.5%</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26,090</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27,391</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31.5%</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14,547</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14,897</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17.1%</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12,494</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14.4%</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decreased $1.4 million in the third quarter of 2017 relative to the same period in 2016 primarily as a result of Security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 the third quarter of 2016 to a single government security customer that, as expected, did not recur in the third quarter of 2017. Net sales increased $4.4 million in the first nine months of 2017 compared to the respective period of 2016 primarily due to higher Security Products sales volumes to existing government security customers predominately during the first half of 2017, partially offset by a decrease in sales of security products to an original equipment manufacturer of recreational transportation products. Relative changes in selling prices did not have a material impact on net sales comparisons.</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 xml:space="preserve">Cost of goods sold and gross profit. </w:t>
      </w:r>
      <w:r>
        <w:rPr>
          <w:rFonts w:ascii="Arial" w:cs="Arial" w:eastAsia="Arial" w:hAnsi="Arial"/>
          <w:sz w:val="18"/>
          <w:szCs w:val="18"/>
          <w:color w:val="auto"/>
        </w:rPr>
        <w:t>Cost of goods sold as a percentage of sales increased 2.7% in the third quarter of 2017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2016. Consequently, gross profit as a percentage of sales decreased over the same period. Gross profit dollars decreased due primarily to lower sales in the Security Products segment. The decrease in gross profit percentage is primarily due to unfavorable relative changes in customer and product mix in the Security Products segment as well as higher manufacturing costs at the Marine Components segment. Cost of goods sold and gross profit as a percentage of sales for the first nine months of 2017 were comparable to the same period in 2016. Gross profit dollars increased for the year-to-date period due to higher sales at Security Products.</w:t>
      </w:r>
    </w:p>
    <w:p>
      <w:pPr>
        <w:spacing w:after="0" w:line="193"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Operating costs and expenses consist primarily of sales and administrative-related personnel costs, sales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advertising expenses. Operating costs and expenses for the third quarter and first nine months of 2017 were comparable to the same periods in 2016.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jc w:val="both"/>
        <w:ind w:right="20" w:firstLine="518"/>
        <w:spacing w:after="0" w:line="308"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As a percentage of net sales, operating income comparisons for the third quarter and first nine months of 2017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periods of 2016 was primarily impacted by the factors impacting cost of goods sold, gross margin and operating costs discussed above.</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Our operations are wholly within the U.S. and therefore our effective income tax rate is primarily reflective of the U.S. federal statutory 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0"/>
              </w:rPr>
              <w:t>Nine months ended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24,680</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22,854</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71,289</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74,903</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4,138</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12,040</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28,404</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26,992</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82,586</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86,943</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8,311</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7,216</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22,980</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24,380</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982</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3,011</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9,399</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8,198</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26,090</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27,391</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4,249</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14,676</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15,301</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417</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1,284</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Corporate operating expenses</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(1,298)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(4,091)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3,368</w:t>
            </w:r>
          </w:p>
        </w:tc>
        <w:tc>
          <w:tcPr>
            <w:tcW w:w="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12,494</w:t>
            </w:r>
          </w:p>
        </w:tc>
        <w:tc>
          <w:tcPr>
            <w:tcW w:w="3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Gross profit margin:</w:t>
            </w:r>
          </w:p>
        </w:tc>
        <w:tc>
          <w:tcPr>
            <w:tcW w:w="2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3"/>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33.7%</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31.6%</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32.2%</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32.5%</w:t>
            </w: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29.2%</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23.7%</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27.5%</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25.0%</w:t>
            </w:r>
          </w:p>
        </w:tc>
      </w:tr>
      <w:tr>
        <w:trPr>
          <w:trHeight w:val="243"/>
        </w:trPr>
        <w:tc>
          <w:tcPr>
            <w:tcW w:w="4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gross profit margin</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33.1%</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30.4%</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31.6%</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31.5%</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43"/>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22.0%</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18.6%</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20.6%</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20.4%</w:t>
            </w: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14.7%</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10.1%</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12.7%</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10.7%</w:t>
            </w:r>
          </w:p>
        </w:tc>
      </w:tr>
      <w:tr>
        <w:trPr>
          <w:trHeight w:val="243"/>
        </w:trPr>
        <w:tc>
          <w:tcPr>
            <w:tcW w:w="4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 margin</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15.7%</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12.5%</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14.0%</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14.4%</w:t>
            </w:r>
          </w:p>
        </w:tc>
      </w:tr>
    </w:tbl>
    <w:p>
      <w:pPr>
        <w:spacing w:after="0" w:line="24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Security Products net sales decreased 7% in the third quarter of 2017 compared to the same period last year. The decrease in sales 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approximately $1.9 million in sales of products to a single government security customer during the third quarter of 2016 that, as expected, did not recur in the third quarter of 2017. In addition, lower sales of approximately $0.9 million to a customer serving the recreational transportation market during the third quarter of 2017 were offset by higher sales to other Security Products customers. Gross profit margin as a percentage of sales for the third quarter of 2017 decreased compared to the same period in 2016 due to unfavorable relative changes in customer and product mix and higher fixed costs as a percentage of sales due to lower production volumes. Operating income as a percentage of sales was also impacted by administrative costs, which although comparable to the prior period, represent a larger percentage of the reduced sales.</w:t>
      </w:r>
    </w:p>
    <w:p>
      <w:pPr>
        <w:spacing w:after="0" w:line="24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Security Products net sales increased 5% for the first nine months of 2017 compared to the same period last year primarily due to approximately $4.5 million in higher sales volumes to existing government security customers, partially offset by a decrease of approximately $2.5 million in sales to a customer serving the recreational transportation market. Gross profit margin and operating income as a percentage of sales for the first nine months of 2017 were comparable to the same period in the prior year.</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Marine Components net sales increased 11% and 7% in the third quarter and first nine months of 2017, respectively,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periods last year. The increase in sales for the first nine months of 2017 reflects generally improved demand for products sold to various markets. Gross profit margin and operating income as a percentage of net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ind w:right="40"/>
        <w:spacing w:after="0" w:line="277" w:lineRule="auto"/>
        <w:rPr>
          <w:sz w:val="20"/>
          <w:szCs w:val="20"/>
          <w:color w:val="auto"/>
        </w:rPr>
      </w:pPr>
      <w:r>
        <w:rPr>
          <w:rFonts w:ascii="Arial" w:cs="Arial" w:eastAsia="Arial" w:hAnsi="Arial"/>
          <w:sz w:val="18"/>
          <w:szCs w:val="18"/>
          <w:color w:val="auto"/>
        </w:rPr>
        <w:t>decreased in the third quarter and first nine months of 2017 compared to the same periods last year due principally to unfavorable relative changes in customer and product mix and higher manufacturing costs resulting from temporary personnel turnover in key departments.</w:t>
      </w:r>
    </w:p>
    <w:p>
      <w:pPr>
        <w:spacing w:after="0" w:line="62" w:lineRule="exact"/>
        <w:rPr>
          <w:sz w:val="20"/>
          <w:szCs w:val="20"/>
          <w:color w:val="auto"/>
        </w:rPr>
      </w:pPr>
    </w:p>
    <w:p>
      <w:pPr>
        <w:jc w:val="both"/>
        <w:ind w:right="20" w:firstLine="518"/>
        <w:spacing w:after="0" w:line="270"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As expected, third quarter sales did not match the levels achieved in the first half of 2017 as government security sales moderated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softness in recreational transportation sales continued due to a significant customer experiencing weakened sales volumes. Nevertheless, we believe full year sales of security products for 2017 should meet or exceed 2016 levels. Similarly, we expect 2017 sales of marine products to meet or exceed 2016, as our growing Marine Components segment continues to benefit from innovation and diversification in our product offerings to the recreational boat market. We believe we have resolved the production challenges caused by temporary personnel turnover and expect margins to improve in the last quarter of the year. As in prior periods, we will continue to monitor general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 trends</w:t>
      </w:r>
      <w:r>
        <w:rPr>
          <w:rFonts w:ascii="Arial" w:cs="Arial" w:eastAsia="Arial" w:hAnsi="Arial"/>
          <w:sz w:val="18"/>
          <w:szCs w:val="18"/>
          <w:i w:val="1"/>
          <w:iCs w:val="1"/>
          <w:color w:val="auto"/>
        </w:rPr>
        <w:t xml:space="preserve"> </w:t>
      </w:r>
      <w:r>
        <w:rPr>
          <w:rFonts w:ascii="Arial" w:cs="Arial" w:eastAsia="Arial" w:hAnsi="Arial"/>
          <w:sz w:val="18"/>
          <w:szCs w:val="18"/>
          <w:color w:val="auto"/>
        </w:rPr>
        <w:t>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6"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2017 increased by $1.0 million as compared to the first nine months of 2016. The increase is primarily due to the net effects of:</w:t>
      </w:r>
    </w:p>
    <w:p>
      <w:pPr>
        <w:spacing w:after="0" w:line="62"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positive impact of higher operating income in 2017 of $1.0 million;</w:t>
      </w:r>
    </w:p>
    <w:p>
      <w:pPr>
        <w:spacing w:after="0" w:line="117"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positive impact of lower net cash used by relative changes in our inventories, receivables, prepaids, payables and non-tax related accruals attributable to our operations of approximately $1.1 million in 2017;</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positive impact of higher interest income received of $1.2 million in 2017;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negative impact of higher cash paid for taxes of $2.1 million in 2017, due to higher earnings in 2017.</w:t>
      </w:r>
    </w:p>
    <w:p>
      <w:pPr>
        <w:spacing w:after="0" w:line="198"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2016 to September 30, 2017 varied by segment. Generally, we expect our average days sales outstanding to increase from December to September as the result of seasonally higher sales during the third quarter as compared to the fourth quarter. Overall, our September 30, 2017 days sales outstanding compared to December 31, 2016 is in line with our expectations. For comparative purposes, we have provided December 31, 2015 and September 30, 2016 numbers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2016</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30, 2017</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32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42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36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26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37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33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35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31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42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36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r>
    </w:tbl>
    <w:p>
      <w:pPr>
        <w:spacing w:after="0" w:line="16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As expected, our total average number of days in inventory decreased from December 31, 2016 to September 30, 2017 primarily as a result of seasonally higher sales during the third quarter 2017 as compared to the fourth quarter of 2016. The variability in days in inventory among our segments primarily relates to the differences in the complexity of the production processes and therefore the length of time it takes to produce and sell end-products. For comparative purposes, we have provided December 31, 2015 and September 30, 2016 numbers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2016</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30, 2017</w:t>
            </w:r>
          </w:p>
        </w:tc>
        <w:tc>
          <w:tcPr>
            <w:tcW w:w="20" w:type="dxa"/>
            <w:vAlign w:val="bottom"/>
          </w:tcPr>
          <w:p>
            <w:pPr>
              <w:spacing w:after="0"/>
              <w:rPr>
                <w:sz w:val="14"/>
                <w:szCs w:val="14"/>
                <w:color w:val="auto"/>
              </w:rPr>
            </w:pP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70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68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73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73 Days</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120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83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122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80 Days</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76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70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79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74 Days</w:t>
            </w:r>
          </w:p>
        </w:tc>
        <w:tc>
          <w:tcPr>
            <w:tcW w:w="20" w:type="dxa"/>
            <w:vAlign w:val="bottom"/>
          </w:tcPr>
          <w:p>
            <w:pPr>
              <w:spacing w:after="0"/>
              <w:rPr>
                <w:sz w:val="18"/>
                <w:szCs w:val="18"/>
                <w:color w:val="auto"/>
              </w:rPr>
            </w:pPr>
          </w:p>
        </w:tc>
      </w:tr>
      <w:tr>
        <w:trPr>
          <w:trHeight w:val="648"/>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- 14 -</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4" w:name="page15"/>
    <w:bookmarkEnd w:id="14"/>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$2.1 million in the first nine months of 2017 compared to $2.3 million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Capital expenditures for 2016 include approximately $1.0 million related to the expansion of our Grayslake facility which was completed in April 2016. In addition, we loaned a net $9.3 million to Valhi in the first nine months of 2017 under the terms of our unsecured revolving demand promissory note receivable entered into in August 2016 ($49.7 million of gross borrowings by Valhi and $40.4 million of gross repayments). See Note 8 to the Condensed Consolidated Financial Statements.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consisted only of quarterly cash dividends ($0.05 per share) and were comparable for the noted periods.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$28.8 million aggregate cash and cash equivalents at September 30, 2017 were held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September 30, 2017 totaled $0.6 million. Our 2017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limited to those expenditures required to meet our expected customer demand and those required to properly maintain our facilities and technology infrastructure.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2016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 other than the operating leases discussed in our 2016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the first nine months of 2017 with respect to our critical accounting policies presented in Management’s Discussion and Analysis of Financial Condition and Results of Operations in our 2016 Annual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2016 Annual Report, and we refer you to Part I, Item 7A – “Quantitative and Qualitative Disclosure About Market Risk” in our 2016 Annual Report. See also Note 7 to the Condensed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September 30, 2017. Based upon their evaluation, these executive officers have concluded that our disclosure controls and procedures are effective as of the date of such evaluation.</w:t>
      </w:r>
    </w:p>
    <w:p>
      <w:pPr>
        <w:spacing w:after="0" w:line="178"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66" w:lineRule="exact"/>
        <w:rPr>
          <w:sz w:val="20"/>
          <w:szCs w:val="20"/>
          <w:color w:val="auto"/>
        </w:rPr>
      </w:pPr>
    </w:p>
    <w:p>
      <w:pPr>
        <w:ind w:firstLine="518"/>
        <w:spacing w:after="0" w:line="313"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September 30, 2017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Reference is made to the 2016 Annual Report for a discussion of the risk factors related to our businesses. There have been no material changes in such risk factors during the first nine months of 2017.</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8"/>
              </w:rPr>
              <w:t>Exhibit Index</w:t>
            </w:r>
          </w:p>
        </w:tc>
        <w:tc>
          <w:tcPr>
            <w:tcW w:w="9220" w:type="dxa"/>
            <w:vAlign w:val="bottom"/>
            <w:tcBorders>
              <w:bottom w:val="single" w:sz="8" w:color="auto"/>
            </w:tcBorders>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2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retained a signed original of any of the above exhibits that contains signatures, and we will provide such exhibit to the Commission or its staff upon request. We will also furnish, without charge, a copy of our Code of Business Conduct and Ethics, and Audit Committee Charter, each as adopted by our board of directors on June 3, 2015, upon request. Such requests should be directed to the attention of our Corporate Secretary at our corporate offices located at 5430 LBJ Freeway, Suite 1700, Dallas, Texas 75240.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400" w:type="dxa"/>
            <w:vAlign w:val="bottom"/>
          </w:tcPr>
          <w:p>
            <w:pPr>
              <w:spacing w:after="0"/>
              <w:rPr>
                <w:sz w:val="17"/>
                <w:szCs w:val="17"/>
                <w:color w:val="auto"/>
              </w:rPr>
            </w:pPr>
          </w:p>
        </w:tc>
      </w:tr>
      <w:tr>
        <w:trPr>
          <w:trHeight w:val="237"/>
        </w:trPr>
        <w:tc>
          <w:tcPr>
            <w:tcW w:w="36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00" w:type="dxa"/>
            <w:vAlign w:val="bottom"/>
            <w:gridSpan w:val="2"/>
          </w:tcPr>
          <w:p>
            <w:pPr>
              <w:ind w:left="500"/>
              <w:spacing w:after="0"/>
              <w:rPr>
                <w:sz w:val="20"/>
                <w:szCs w:val="20"/>
                <w:color w:val="auto"/>
              </w:rPr>
            </w:pPr>
            <w:r>
              <w:rPr>
                <w:rFonts w:ascii="Arial" w:cs="Arial" w:eastAsia="Arial" w:hAnsi="Arial"/>
                <w:sz w:val="18"/>
                <w:szCs w:val="18"/>
                <w:b w:val="1"/>
                <w:bCs w:val="1"/>
                <w:color w:val="auto"/>
              </w:rPr>
              <w:t>(Registrant)</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November 1, 2017</w:t>
            </w:r>
          </w:p>
        </w:tc>
        <w:tc>
          <w:tcPr>
            <w:tcW w:w="2660" w:type="dxa"/>
            <w:vAlign w:val="bottom"/>
          </w:tcPr>
          <w:p>
            <w:pPr>
              <w:spacing w:after="0"/>
              <w:rPr>
                <w:sz w:val="24"/>
                <w:szCs w:val="24"/>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By:  /s/ James W. Brown</w:t>
            </w:r>
          </w:p>
        </w:tc>
      </w:tr>
      <w:tr>
        <w:trPr>
          <w:trHeight w:val="195"/>
        </w:trPr>
        <w:tc>
          <w:tcPr>
            <w:tcW w:w="36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W. Brown</w:t>
            </w:r>
          </w:p>
        </w:tc>
      </w:tr>
      <w:tr>
        <w:trPr>
          <w:trHeight w:val="230"/>
        </w:trPr>
        <w:tc>
          <w:tcPr>
            <w:tcW w:w="36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and Controller</w:t>
            </w:r>
          </w:p>
        </w:tc>
      </w:tr>
      <w:tr>
        <w:trPr>
          <w:trHeight w:val="864"/>
        </w:trPr>
        <w:tc>
          <w:tcPr>
            <w:tcW w:w="3680" w:type="dxa"/>
            <w:vAlign w:val="bottom"/>
          </w:tcPr>
          <w:p>
            <w:pPr>
              <w:spacing w:after="0"/>
              <w:rPr>
                <w:sz w:val="24"/>
                <w:szCs w:val="24"/>
                <w:color w:val="auto"/>
              </w:rPr>
            </w:pPr>
          </w:p>
        </w:tc>
        <w:tc>
          <w:tcPr>
            <w:tcW w:w="2660" w:type="dxa"/>
            <w:vAlign w:val="bottom"/>
          </w:tcPr>
          <w:p>
            <w:pPr>
              <w:jc w:val="right"/>
              <w:ind w:right="350"/>
              <w:spacing w:after="0"/>
              <w:rPr>
                <w:sz w:val="20"/>
                <w:szCs w:val="20"/>
                <w:color w:val="auto"/>
              </w:rPr>
            </w:pPr>
            <w:r>
              <w:rPr>
                <w:rFonts w:ascii="Arial" w:cs="Arial" w:eastAsia="Arial" w:hAnsi="Arial"/>
                <w:sz w:val="18"/>
                <w:szCs w:val="18"/>
                <w:color w:val="auto"/>
              </w:rPr>
              <w:t>- 18 -</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C. James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W. Brown,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September 30, 2017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 and Controller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2019-12-29T04:13:26Z</dcterms:created>
  <dcterms:modified xsi:type="dcterms:W3CDTF">2019-12-29T04:13:26Z</dcterms:modified>
</cp:coreProperties>
</file>