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May 3, 2022</w:t>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w:t>
      </w:r>
      <w:r>
        <w:rPr>
          <w:rFonts w:ascii="Times New Roman" w:cs="Times New Roman" w:eastAsia="Times New Roman" w:hAnsi="Times New Roman"/>
          <w:sz w:val="22"/>
          <w:szCs w:val="22"/>
          <w:b w:val="1"/>
          <w:bCs w:val="1"/>
          <w:color w:val="auto"/>
        </w:rPr>
        <w:t>omp</w:t>
      </w:r>
      <w:r>
        <w:rPr>
          <w:rFonts w:ascii="Times New Roman" w:cs="Times New Roman" w:eastAsia="Times New Roman" w:hAnsi="Times New Roman"/>
          <w:sz w:val="32"/>
          <w:szCs w:val="32"/>
          <w:b w:val="1"/>
          <w:bCs w:val="1"/>
          <w:color w:val="auto"/>
        </w:rPr>
        <w:t>X I</w:t>
      </w:r>
      <w:r>
        <w:rPr>
          <w:rFonts w:ascii="Times New Roman" w:cs="Times New Roman" w:eastAsia="Times New Roman" w:hAnsi="Times New Roman"/>
          <w:sz w:val="22"/>
          <w:szCs w:val="22"/>
          <w:b w:val="1"/>
          <w:bCs w:val="1"/>
          <w:color w:val="auto"/>
        </w:rPr>
        <w:t>nternational</w:t>
      </w:r>
      <w:r>
        <w:rPr>
          <w:rFonts w:ascii="Times New Roman" w:cs="Times New Roman" w:eastAsia="Times New Roman" w:hAnsi="Times New Roman"/>
          <w:sz w:val="32"/>
          <w:szCs w:val="32"/>
          <w:b w:val="1"/>
          <w:bCs w:val="1"/>
          <w:color w:val="auto"/>
        </w:rPr>
        <w:t xml:space="preserve"> I</w:t>
      </w:r>
      <w:r>
        <w:rPr>
          <w:rFonts w:ascii="Times New Roman" w:cs="Times New Roman" w:eastAsia="Times New Roman" w:hAnsi="Times New Roman"/>
          <w:sz w:val="22"/>
          <w:szCs w:val="22"/>
          <w:b w:val="1"/>
          <w:bCs w:val="1"/>
          <w:color w:val="auto"/>
        </w:rPr>
        <w:t>nc</w:t>
      </w:r>
      <w:r>
        <w:rPr>
          <w:rFonts w:ascii="Times New Roman" w:cs="Times New Roman" w:eastAsia="Times New Roman" w:hAnsi="Times New Roman"/>
          <w:sz w:val="32"/>
          <w:szCs w:val="32"/>
          <w:b w:val="1"/>
          <w:bCs w:val="1"/>
          <w:color w:val="auto"/>
        </w:rPr>
        <w:t>.</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4" w:lineRule="exact"/>
        <w:rPr>
          <w:sz w:val="24"/>
          <w:szCs w:val="24"/>
          <w:color w:val="auto"/>
        </w:rPr>
      </w:pPr>
    </w:p>
    <w:tbl>
      <w:tblPr>
        <w:tblLayout w:type="fixed"/>
        <w:tblInd w:w="300" w:type="dxa"/>
        <w:tblCellMar>
          <w:top w:w="0" w:type="dxa"/>
          <w:left w:w="0" w:type="dxa"/>
          <w:bottom w:w="0" w:type="dxa"/>
          <w:right w:w="0" w:type="dxa"/>
        </w:tblCellMar>
      </w:tblPr>
      <w:tr>
        <w:trPr>
          <w:trHeight w:val="256"/>
        </w:trPr>
        <w:tc>
          <w:tcPr>
            <w:tcW w:w="4000" w:type="dxa"/>
            <w:vAlign w:val="bottom"/>
          </w:tcPr>
          <w:p>
            <w:pPr>
              <w:jc w:val="center"/>
              <w:ind w:right="741"/>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100" w:type="dxa"/>
            <w:vAlign w:val="bottom"/>
          </w:tcPr>
          <w:p>
            <w:pPr>
              <w:jc w:val="center"/>
              <w:ind w:right="364"/>
              <w:spacing w:after="0"/>
              <w:rPr>
                <w:sz w:val="20"/>
                <w:szCs w:val="20"/>
                <w:color w:val="auto"/>
              </w:rPr>
            </w:pPr>
            <w:r>
              <w:rPr>
                <w:rFonts w:ascii="Times New Roman" w:cs="Times New Roman" w:eastAsia="Times New Roman" w:hAnsi="Times New Roman"/>
                <w:sz w:val="22"/>
                <w:szCs w:val="22"/>
                <w:b w:val="1"/>
                <w:bCs w:val="1"/>
                <w:color w:val="auto"/>
                <w:w w:val="98"/>
              </w:rPr>
              <w:t>1-13905</w:t>
            </w:r>
          </w:p>
        </w:tc>
        <w:tc>
          <w:tcPr>
            <w:tcW w:w="2640" w:type="dxa"/>
            <w:vAlign w:val="bottom"/>
          </w:tcPr>
          <w:p>
            <w:pPr>
              <w:jc w:val="center"/>
              <w:ind w:left="1203"/>
              <w:spacing w:after="0"/>
              <w:rPr>
                <w:sz w:val="20"/>
                <w:szCs w:val="20"/>
                <w:color w:val="auto"/>
              </w:rPr>
            </w:pPr>
            <w:r>
              <w:rPr>
                <w:rFonts w:ascii="Times New Roman" w:cs="Times New Roman" w:eastAsia="Times New Roman" w:hAnsi="Times New Roman"/>
                <w:sz w:val="22"/>
                <w:szCs w:val="22"/>
                <w:b w:val="1"/>
                <w:bCs w:val="1"/>
                <w:color w:val="auto"/>
                <w:w w:val="99"/>
              </w:rPr>
              <w:t>57-0981653</w:t>
            </w:r>
          </w:p>
        </w:tc>
      </w:tr>
      <w:tr>
        <w:trPr>
          <w:trHeight w:val="216"/>
        </w:trPr>
        <w:tc>
          <w:tcPr>
            <w:tcW w:w="4000" w:type="dxa"/>
            <w:vAlign w:val="bottom"/>
          </w:tcPr>
          <w:p>
            <w:pPr>
              <w:jc w:val="center"/>
              <w:ind w:right="741"/>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364"/>
              <w:spacing w:after="0"/>
              <w:rPr>
                <w:sz w:val="20"/>
                <w:szCs w:val="20"/>
                <w:color w:val="auto"/>
              </w:rPr>
            </w:pPr>
            <w:r>
              <w:rPr>
                <w:rFonts w:ascii="Times New Roman" w:cs="Times New Roman" w:eastAsia="Times New Roman" w:hAnsi="Times New Roman"/>
                <w:sz w:val="18"/>
                <w:szCs w:val="18"/>
                <w:color w:val="auto"/>
                <w:w w:val="98"/>
              </w:rPr>
              <w:t>(Commission</w:t>
            </w:r>
          </w:p>
        </w:tc>
        <w:tc>
          <w:tcPr>
            <w:tcW w:w="2640" w:type="dxa"/>
            <w:vAlign w:val="bottom"/>
          </w:tcPr>
          <w:p>
            <w:pPr>
              <w:jc w:val="center"/>
              <w:ind w:left="1203"/>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000" w:type="dxa"/>
            <w:vAlign w:val="bottom"/>
          </w:tcPr>
          <w:p>
            <w:pPr>
              <w:spacing w:after="0"/>
              <w:rPr>
                <w:sz w:val="20"/>
                <w:szCs w:val="20"/>
                <w:color w:val="auto"/>
              </w:rPr>
            </w:pPr>
          </w:p>
        </w:tc>
        <w:tc>
          <w:tcPr>
            <w:tcW w:w="3100" w:type="dxa"/>
            <w:vAlign w:val="bottom"/>
          </w:tcPr>
          <w:p>
            <w:pPr>
              <w:jc w:val="center"/>
              <w:ind w:right="344"/>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03"/>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57"/>
        </w:trPr>
        <w:tc>
          <w:tcPr>
            <w:tcW w:w="7100" w:type="dxa"/>
            <w:vAlign w:val="bottom"/>
            <w:gridSpan w:val="2"/>
          </w:tcPr>
          <w:p>
            <w:pPr>
              <w:jc w:val="center"/>
              <w:ind w:right="84"/>
              <w:spacing w:after="0"/>
              <w:rPr>
                <w:sz w:val="20"/>
                <w:szCs w:val="20"/>
                <w:color w:val="auto"/>
              </w:rPr>
            </w:pPr>
            <w:r>
              <w:rPr>
                <w:rFonts w:ascii="Times New Roman" w:cs="Times New Roman" w:eastAsia="Times New Roman" w:hAnsi="Times New Roman"/>
                <w:sz w:val="22"/>
                <w:szCs w:val="22"/>
                <w:b w:val="1"/>
                <w:bCs w:val="1"/>
                <w:color w:val="auto"/>
                <w:w w:val="97"/>
              </w:rPr>
              <w:t>5430 LBJ Freeway, Suite 1700, Dallas, Texas</w:t>
            </w:r>
          </w:p>
        </w:tc>
        <w:tc>
          <w:tcPr>
            <w:tcW w:w="2640" w:type="dxa"/>
            <w:vAlign w:val="bottom"/>
          </w:tcPr>
          <w:p>
            <w:pPr>
              <w:jc w:val="center"/>
              <w:ind w:left="1223"/>
              <w:spacing w:after="0"/>
              <w:rPr>
                <w:sz w:val="20"/>
                <w:szCs w:val="20"/>
                <w:color w:val="auto"/>
              </w:rPr>
            </w:pPr>
            <w:r>
              <w:rPr>
                <w:rFonts w:ascii="Times New Roman" w:cs="Times New Roman" w:eastAsia="Times New Roman" w:hAnsi="Times New Roman"/>
                <w:sz w:val="22"/>
                <w:szCs w:val="22"/>
                <w:b w:val="1"/>
                <w:bCs w:val="1"/>
                <w:color w:val="auto"/>
                <w:w w:val="97"/>
              </w:rPr>
              <w:t>75240-2620</w:t>
            </w:r>
          </w:p>
        </w:tc>
      </w:tr>
      <w:tr>
        <w:trPr>
          <w:trHeight w:val="234"/>
        </w:trPr>
        <w:tc>
          <w:tcPr>
            <w:tcW w:w="7100" w:type="dxa"/>
            <w:vAlign w:val="bottom"/>
            <w:gridSpan w:val="2"/>
          </w:tcPr>
          <w:p>
            <w:pPr>
              <w:jc w:val="center"/>
              <w:ind w:right="84"/>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640" w:type="dxa"/>
            <w:vAlign w:val="bottom"/>
          </w:tcPr>
          <w:p>
            <w:pPr>
              <w:jc w:val="center"/>
              <w:ind w:left="1223"/>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201295</wp:posOffset>
            </wp:positionV>
            <wp:extent cx="37630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3010" cy="17145"/>
                    </a:xfrm>
                    <a:prstGeom prst="rect">
                      <a:avLst/>
                    </a:prstGeom>
                    <a:noFill/>
                  </pic:spPr>
                </pic:pic>
              </a:graphicData>
            </a:graphic>
          </wp:anchor>
        </w:drawing>
      </w: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240"/>
          </w:cols>
          <w:pgMar w:left="320" w:top="225" w:right="339" w:bottom="1440" w:gutter="0" w:footer="0" w:header="0"/>
        </w:sectPr>
      </w:pPr>
    </w:p>
    <w:p>
      <w:pPr>
        <w:spacing w:after="0" w:line="14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440"/>
          </w:cols>
          <w:pgMar w:left="320" w:top="225" w:right="339" w:bottom="1440" w:gutter="0" w:footer="0" w:header="0"/>
          <w:type w:val="continuous"/>
        </w:sect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0"/>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2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Class A Common stock</w:t>
            </w:r>
          </w:p>
        </w:tc>
        <w:tc>
          <w:tcPr>
            <w:tcW w:w="120" w:type="dxa"/>
            <w:vAlign w:val="bottom"/>
          </w:tcPr>
          <w:p>
            <w:pPr>
              <w:spacing w:after="0"/>
              <w:rPr>
                <w:sz w:val="10"/>
                <w:szCs w:val="10"/>
                <w:color w:val="auto"/>
              </w:rPr>
            </w:pPr>
          </w:p>
        </w:tc>
        <w:tc>
          <w:tcPr>
            <w:tcW w:w="16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CIX</w:t>
            </w:r>
          </w:p>
        </w:tc>
        <w:tc>
          <w:tcPr>
            <w:tcW w:w="120" w:type="dxa"/>
            <w:vAlign w:val="bottom"/>
          </w:tcPr>
          <w:p>
            <w:pPr>
              <w:spacing w:after="0"/>
              <w:rPr>
                <w:sz w:val="10"/>
                <w:szCs w:val="10"/>
                <w:color w:val="auto"/>
              </w:rPr>
            </w:pPr>
          </w:p>
        </w:tc>
        <w:tc>
          <w:tcPr>
            <w:tcW w:w="50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NYSE American</w:t>
            </w:r>
          </w:p>
        </w:tc>
        <w:tc>
          <w:tcPr>
            <w:tcW w:w="0" w:type="dxa"/>
            <w:vAlign w:val="bottom"/>
          </w:tcPr>
          <w:p>
            <w:pPr>
              <w:spacing w:after="0"/>
              <w:rPr>
                <w:sz w:val="1"/>
                <w:szCs w:val="1"/>
                <w:color w:val="auto"/>
              </w:rPr>
            </w:pPr>
          </w:p>
        </w:tc>
      </w:tr>
      <w:tr>
        <w:trPr>
          <w:trHeight w:val="188"/>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($.01 par value per share)</w:t>
            </w: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47"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1"/>
          <w:szCs w:val="21"/>
          <w:b w:val="1"/>
          <w:bCs w:val="1"/>
          <w:color w:val="auto"/>
        </w:rPr>
        <w:t>Results of Operations and Financial Condition.</w:t>
      </w:r>
    </w:p>
    <w:p>
      <w:pPr>
        <w:spacing w:after="0" w:line="2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registrant hereby furnishes the information set forth in its press release issued on May 3, 2022, a copy of which is attached hereto as Exhibit 99.1 and incorporated herein by reference.</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(d)</w:t>
            </w:r>
          </w:p>
        </w:tc>
        <w:tc>
          <w:tcPr>
            <w:tcW w:w="24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Exhibits</w:t>
            </w: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4"/>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22"/>
                <w:szCs w:val="22"/>
                <w:b w:val="1"/>
                <w:bCs w:val="1"/>
                <w:color w:val="auto"/>
              </w:rPr>
              <w:t>Item No.</w:t>
            </w:r>
          </w:p>
        </w:tc>
        <w:tc>
          <w:tcPr>
            <w:tcW w:w="30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gridSpan w:val="2"/>
          </w:tcPr>
          <w:p>
            <w:pPr>
              <w:ind w:left="140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418"/>
        </w:trPr>
        <w:tc>
          <w:tcPr>
            <w:tcW w:w="460" w:type="dxa"/>
            <w:vAlign w:val="bottom"/>
          </w:tcPr>
          <w:p>
            <w:pPr>
              <w:spacing w:after="0"/>
              <w:rPr>
                <w:sz w:val="24"/>
                <w:szCs w:val="24"/>
                <w:color w:val="auto"/>
              </w:rPr>
            </w:pPr>
          </w:p>
        </w:tc>
        <w:tc>
          <w:tcPr>
            <w:tcW w:w="244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99.1</w:t>
            </w:r>
          </w:p>
        </w:tc>
        <w:tc>
          <w:tcPr>
            <w:tcW w:w="30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22"/>
                <w:szCs w:val="22"/>
                <w:color w:val="0000EE"/>
              </w:rPr>
              <w:t>Press release dated May 3, 2022 entitled “CompX Reports First Quarter 2022 Results” and</w:t>
            </w:r>
          </w:p>
        </w:tc>
      </w:tr>
      <w:tr>
        <w:trPr>
          <w:trHeight w:val="223"/>
        </w:trPr>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20" w:type="dxa"/>
            <w:vAlign w:val="bottom"/>
            <w:tcBorders>
              <w:top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EE"/>
              </w:rPr>
              <w:t>issued by the registrant</w:t>
            </w:r>
            <w:r>
              <w:rPr>
                <w:rFonts w:ascii="Times New Roman" w:cs="Times New Roman" w:eastAsia="Times New Roman" w:hAnsi="Times New Roman"/>
                <w:sz w:val="22"/>
                <w:szCs w:val="22"/>
                <w:color w:val="000000"/>
              </w:rPr>
              <w:t>.</w:t>
            </w:r>
          </w:p>
        </w:tc>
        <w:tc>
          <w:tcPr>
            <w:tcW w:w="2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r>
      <w:tr>
        <w:trPr>
          <w:trHeight w:val="491"/>
        </w:trPr>
        <w:tc>
          <w:tcPr>
            <w:tcW w:w="460" w:type="dxa"/>
            <w:vAlign w:val="bottom"/>
          </w:tcPr>
          <w:p>
            <w:pPr>
              <w:spacing w:after="0"/>
              <w:rPr>
                <w:sz w:val="24"/>
                <w:szCs w:val="24"/>
                <w:color w:val="auto"/>
              </w:rPr>
            </w:pPr>
          </w:p>
        </w:tc>
        <w:tc>
          <w:tcPr>
            <w:tcW w:w="2440" w:type="dxa"/>
            <w:vAlign w:val="bottom"/>
            <w:gridSpan w:val="2"/>
          </w:tcPr>
          <w:p>
            <w:pPr>
              <w:jc w:val="right"/>
              <w:ind w:right="852"/>
              <w:spacing w:after="0"/>
              <w:rPr>
                <w:sz w:val="20"/>
                <w:szCs w:val="20"/>
                <w:color w:val="auto"/>
              </w:rPr>
            </w:pPr>
            <w:r>
              <w:rPr>
                <w:rFonts w:ascii="Times New Roman" w:cs="Times New Roman" w:eastAsia="Times New Roman" w:hAnsi="Times New Roman"/>
                <w:sz w:val="22"/>
                <w:szCs w:val="22"/>
                <w:color w:val="auto"/>
              </w:rPr>
              <w:t>104</w:t>
            </w:r>
          </w:p>
        </w:tc>
        <w:tc>
          <w:tcPr>
            <w:tcW w:w="30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Cover Page Interactive Data File (embedded within the Inline XBRL document)</w:t>
            </w:r>
          </w:p>
        </w:tc>
      </w:tr>
      <w:tr>
        <w:trPr>
          <w:trHeight w:val="873"/>
        </w:trPr>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566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w:t>
            </w:r>
            <w:r>
              <w:rPr>
                <w:rFonts w:ascii="Times New Roman" w:cs="Times New Roman" w:eastAsia="Times New Roman" w:hAnsi="Times New Roman"/>
                <w:sz w:val="22"/>
                <w:szCs w:val="22"/>
                <w:b w:val="1"/>
                <w:bCs w:val="1"/>
                <w:color w:val="auto"/>
              </w:rPr>
              <w:t>X I</w:t>
            </w:r>
            <w:r>
              <w:rPr>
                <w:rFonts w:ascii="Times New Roman" w:cs="Times New Roman" w:eastAsia="Times New Roman" w:hAnsi="Times New Roman"/>
                <w:sz w:val="14"/>
                <w:szCs w:val="14"/>
                <w:b w:val="1"/>
                <w:bCs w:val="1"/>
                <w:color w:val="auto"/>
              </w:rPr>
              <w:t>nternational</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tc>
        <w:tc>
          <w:tcPr>
            <w:tcW w:w="0" w:type="dxa"/>
            <w:vAlign w:val="bottom"/>
          </w:tcPr>
          <w:p>
            <w:pPr>
              <w:spacing w:after="0"/>
              <w:rPr>
                <w:sz w:val="1"/>
                <w:szCs w:val="1"/>
                <w:color w:val="auto"/>
              </w:rPr>
            </w:pPr>
          </w:p>
        </w:tc>
      </w:tr>
      <w:tr>
        <w:trPr>
          <w:trHeight w:val="282"/>
        </w:trPr>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(Registrant)</w:t>
            </w:r>
          </w:p>
        </w:tc>
        <w:tc>
          <w:tcPr>
            <w:tcW w:w="0" w:type="dxa"/>
            <w:vAlign w:val="bottom"/>
          </w:tcPr>
          <w:p>
            <w:pPr>
              <w:spacing w:after="0"/>
              <w:rPr>
                <w:sz w:val="1"/>
                <w:szCs w:val="1"/>
                <w:color w:val="auto"/>
              </w:rPr>
            </w:pPr>
          </w:p>
        </w:tc>
      </w:tr>
      <w:tr>
        <w:trPr>
          <w:trHeight w:val="886"/>
        </w:trPr>
        <w:tc>
          <w:tcPr>
            <w:tcW w:w="36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Date: May 3, 2022</w:t>
            </w:r>
          </w:p>
        </w:tc>
        <w:tc>
          <w:tcPr>
            <w:tcW w:w="7600" w:type="dxa"/>
            <w:vAlign w:val="bottom"/>
            <w:gridSpan w:val="2"/>
          </w:tcPr>
          <w:p>
            <w:pPr>
              <w:ind w:left="1940"/>
              <w:spacing w:after="0"/>
              <w:rPr>
                <w:sz w:val="20"/>
                <w:szCs w:val="20"/>
                <w:color w:val="auto"/>
              </w:rPr>
            </w:pPr>
            <w:r>
              <w:rPr>
                <w:rFonts w:ascii="Times New Roman" w:cs="Times New Roman" w:eastAsia="Times New Roman" w:hAnsi="Times New Roman"/>
                <w:sz w:val="22"/>
                <w:szCs w:val="22"/>
                <w:color w:val="auto"/>
              </w:rPr>
              <w:t>By:  /s/ Michael S. Simmons</w:t>
            </w:r>
          </w:p>
        </w:tc>
        <w:tc>
          <w:tcPr>
            <w:tcW w:w="0" w:type="dxa"/>
            <w:vAlign w:val="bottom"/>
          </w:tcPr>
          <w:p>
            <w:pPr>
              <w:spacing w:after="0"/>
              <w:rPr>
                <w:sz w:val="1"/>
                <w:szCs w:val="1"/>
                <w:color w:val="auto"/>
              </w:rPr>
            </w:pPr>
          </w:p>
        </w:tc>
      </w:tr>
      <w:tr>
        <w:trPr>
          <w:trHeight w:val="212"/>
        </w:trPr>
        <w:tc>
          <w:tcPr>
            <w:tcW w:w="364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Borders>
              <w:top w:val="single" w:sz="8" w:color="auto"/>
            </w:tcBorders>
          </w:tcPr>
          <w:p>
            <w:pPr>
              <w:ind w:left="480"/>
              <w:spacing w:after="0" w:line="211" w:lineRule="exact"/>
              <w:rPr>
                <w:sz w:val="20"/>
                <w:szCs w:val="20"/>
                <w:color w:val="auto"/>
              </w:rPr>
            </w:pPr>
            <w:r>
              <w:rPr>
                <w:rFonts w:ascii="Times New Roman" w:cs="Times New Roman" w:eastAsia="Times New Roman" w:hAnsi="Times New Roman"/>
                <w:sz w:val="22"/>
                <w:szCs w:val="22"/>
                <w:i w:val="1"/>
                <w:iCs w:val="1"/>
                <w:color w:val="auto"/>
              </w:rPr>
              <w:t>Michael S. Simmons</w:t>
            </w: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6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i w:val="1"/>
                <w:iCs w:val="1"/>
                <w:color w:val="auto"/>
              </w:rPr>
              <w:t>Senior Vice President and</w:t>
            </w:r>
          </w:p>
        </w:tc>
        <w:tc>
          <w:tcPr>
            <w:tcW w:w="0" w:type="dxa"/>
            <w:vAlign w:val="bottom"/>
          </w:tcPr>
          <w:p>
            <w:pPr>
              <w:spacing w:after="0"/>
              <w:rPr>
                <w:sz w:val="1"/>
                <w:szCs w:val="1"/>
                <w:color w:val="auto"/>
              </w:rPr>
            </w:pPr>
          </w:p>
        </w:tc>
      </w:tr>
      <w:tr>
        <w:trPr>
          <w:trHeight w:val="286"/>
        </w:trPr>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60" w:type="dxa"/>
            <w:vAlign w:val="bottom"/>
          </w:tcPr>
          <w:p>
            <w:pPr>
              <w:ind w:left="580"/>
              <w:spacing w:after="0"/>
              <w:rPr>
                <w:sz w:val="20"/>
                <w:szCs w:val="20"/>
                <w:color w:val="auto"/>
              </w:rPr>
            </w:pPr>
            <w:r>
              <w:rPr>
                <w:rFonts w:ascii="Times New Roman" w:cs="Times New Roman" w:eastAsia="Times New Roman" w:hAnsi="Times New Roman"/>
                <w:sz w:val="22"/>
                <w:szCs w:val="22"/>
                <w:i w:val="1"/>
                <w:iCs w:val="1"/>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59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2633980</wp:posOffset>
            </wp:positionH>
            <wp:positionV relativeFrom="page">
              <wp:posOffset>243205</wp:posOffset>
            </wp:positionV>
            <wp:extent cx="2280285" cy="1002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28028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PRESS RELEASE</w:t>
      </w:r>
    </w:p>
    <w:p>
      <w:pPr>
        <w:sectPr>
          <w:pgSz w:w="11900" w:h="16838" w:orient="portrait"/>
          <w:cols w:equalWidth="0" w:num="1">
            <w:col w:w="11240"/>
          </w:cols>
          <w:pgMar w:left="320" w:top="1440" w:right="339" w:bottom="1440" w:gutter="0" w:footer="0" w:header="0"/>
        </w:sect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CONTACT:</w:t>
      </w:r>
    </w:p>
    <w:p>
      <w:pPr>
        <w:spacing w:after="0" w:line="200" w:lineRule="exact"/>
        <w:rPr>
          <w:sz w:val="20"/>
          <w:szCs w:val="20"/>
          <w:color w:val="auto"/>
        </w:rPr>
      </w:pPr>
    </w:p>
    <w:p>
      <w:pPr>
        <w:sectPr>
          <w:pgSz w:w="11900" w:h="16838" w:orient="portrait"/>
          <w:cols w:equalWidth="0" w:num="2">
            <w:col w:w="6460" w:space="720"/>
            <w:col w:w="4060"/>
          </w:cols>
          <w:pgMar w:left="320" w:top="1440" w:right="3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CompX International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5430 LBJ Freeway, Suite 1700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Texas 75240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Janet G. Keckeisen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rPr>
          <w:sz w:val="20"/>
          <w:szCs w:val="20"/>
          <w:color w:val="auto"/>
        </w:rPr>
      </w:pPr>
      <w:r>
        <w:rPr>
          <w:rFonts w:ascii="Times New Roman" w:cs="Times New Roman" w:eastAsia="Times New Roman" w:hAnsi="Times New Roman"/>
          <w:sz w:val="22"/>
          <w:szCs w:val="22"/>
          <w:color w:val="auto"/>
        </w:rPr>
        <w:t>Tel. 972-233-1700</w:t>
      </w:r>
    </w:p>
    <w:p>
      <w:pPr>
        <w:spacing w:after="0" w:line="200" w:lineRule="exact"/>
        <w:rPr>
          <w:sz w:val="20"/>
          <w:szCs w:val="20"/>
          <w:color w:val="auto"/>
        </w:rPr>
      </w:pPr>
    </w:p>
    <w:p>
      <w:pPr>
        <w:sectPr>
          <w:pgSz w:w="11900" w:h="16838" w:orient="portrait"/>
          <w:cols w:equalWidth="0" w:num="2">
            <w:col w:w="6460" w:space="720"/>
            <w:col w:w="4060"/>
          </w:cols>
          <w:pgMar w:left="320" w:top="1440" w:right="339" w:bottom="1440" w:gutter="0" w:footer="0" w:header="0"/>
          <w:type w:val="continuous"/>
        </w:sect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COMPX REPORTS FIRST QUARTER 2022 RESULTS</w:t>
      </w:r>
    </w:p>
    <w:p>
      <w:pPr>
        <w:spacing w:after="0" w:line="11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DALLAS, TEXAS … May 3, 2022 … CompX International Inc. (NYSE American: CIX) announced today sales of $42.1 million for the first quarter of 2022 compared to $35.9 million in the same period of 2021. Operating income was $6.3 million in the first quarter of 2022 compared to $5.8 million in the first quarter of 2021. Net income was $5.0 million, or $.40 per basic and diluted common share, for the first quarter of 2022 compared to $4.7 million, or $.38 per basic and diluted common share, in the same period of 2021.</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Net sales increased for the quarter primarily due to higher Security Products sales across a variety of markets and to a lesser extent higher Marine Components sales primarily to the towboat market. Operating income increased during the first quarter of 2022 due to the higher sales offset by increased production costs including increased raw material costs, higher shipping costs, and increased labor costs due to higher wages, overtime and increased headcount.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CompX is a leading manufacturer of security products and recreational marine components. It operates from three locations in the U.S. and employs approximately 600 people.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statements in this press release relating to matters that are not historical facts are forward-looking statements that represent management’s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The factors that could cause our actual future results to differ materially include, but are not limited to, the following:</w:t>
      </w:r>
    </w:p>
    <w:p>
      <w:pPr>
        <w:spacing w:after="0" w:line="166" w:lineRule="exact"/>
        <w:rPr>
          <w:sz w:val="20"/>
          <w:szCs w:val="20"/>
          <w:color w:val="auto"/>
        </w:rPr>
      </w:pPr>
    </w:p>
    <w:p>
      <w:pPr>
        <w:ind w:left="880" w:hanging="440"/>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Future demand for our products,</w:t>
      </w:r>
    </w:p>
    <w:p>
      <w:pPr>
        <w:spacing w:after="0" w:line="98" w:lineRule="exact"/>
        <w:rPr>
          <w:rFonts w:ascii="Times New Roman" w:cs="Times New Roman" w:eastAsia="Times New Roman" w:hAnsi="Times New Roman"/>
          <w:sz w:val="18"/>
          <w:szCs w:val="18"/>
          <w:color w:val="auto"/>
        </w:rPr>
      </w:pPr>
    </w:p>
    <w:p>
      <w:pPr>
        <w:ind w:left="880" w:hanging="440"/>
        <w:spacing w:after="0" w:line="258" w:lineRule="auto"/>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Changes in our raw material and other operating costs (such as zinc, brass, aluminum, steel and energy costs) and our ability to pass those costs on to our customers or offset them with reductions in other operating costs,</w:t>
      </w:r>
    </w:p>
    <w:p>
      <w:pPr>
        <w:spacing w:after="0" w:line="50"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Price and product competition from low-cost manufacturing sources (such as China),</w:t>
      </w:r>
    </w:p>
    <w:p>
      <w:pPr>
        <w:spacing w:after="0" w:line="9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impact of pricing and production decisions,</w:t>
      </w:r>
    </w:p>
    <w:p>
      <w:pPr>
        <w:spacing w:after="0" w:line="9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Customer and competitor strategies including substitute products,</w:t>
      </w:r>
    </w:p>
    <w:p>
      <w:pPr>
        <w:spacing w:after="0" w:line="9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Uncertainties associated with the development of new products and product features,</w:t>
      </w:r>
    </w:p>
    <w:p>
      <w:pPr>
        <w:spacing w:after="0" w:line="9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Future litigation,</w:t>
      </w:r>
    </w:p>
    <w:p>
      <w:pPr>
        <w:spacing w:after="0" w:line="9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Our ability to protect or defend our intellectual property rights,</w:t>
      </w:r>
    </w:p>
    <w:p>
      <w:pPr>
        <w:spacing w:after="0" w:line="9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Potential difficulties in integrating future acquisitions,</w:t>
      </w:r>
    </w:p>
    <w:p>
      <w:pPr>
        <w:spacing w:after="0" w:line="9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Decisions to sell operating assets other than in the ordinary course of business,</w:t>
      </w:r>
    </w:p>
    <w:p>
      <w:pPr>
        <w:spacing w:after="0" w:line="9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Environmental matters (such as those requiring emission and discharge standards for existing and new facilities),</w:t>
      </w:r>
    </w:p>
    <w:p>
      <w:pPr>
        <w:spacing w:after="0" w:line="9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The ultimate outcome of income tax audits, tax settlement initiatives or other tax matters, including future tax reform,</w:t>
      </w:r>
    </w:p>
    <w:p>
      <w:pPr>
        <w:spacing w:after="0" w:line="109" w:lineRule="exact"/>
        <w:rPr>
          <w:rFonts w:ascii="Times New Roman" w:cs="Times New Roman" w:eastAsia="Times New Roman" w:hAnsi="Times New Roman"/>
          <w:sz w:val="17"/>
          <w:szCs w:val="17"/>
          <w:color w:val="auto"/>
        </w:rPr>
      </w:pPr>
    </w:p>
    <w:p>
      <w:pPr>
        <w:ind w:left="880" w:hanging="440"/>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impact of current or future government regulations (including employee healthcare benefit related regulations),</w:t>
      </w:r>
    </w:p>
    <w:p>
      <w:pPr>
        <w:spacing w:after="0" w:line="98" w:lineRule="exact"/>
        <w:rPr>
          <w:rFonts w:ascii="Times New Roman" w:cs="Times New Roman" w:eastAsia="Times New Roman" w:hAnsi="Times New Roman"/>
          <w:sz w:val="18"/>
          <w:szCs w:val="18"/>
          <w:color w:val="auto"/>
        </w:rPr>
      </w:pPr>
    </w:p>
    <w:p>
      <w:pPr>
        <w:jc w:val="both"/>
        <w:ind w:left="880" w:hanging="440"/>
        <w:spacing w:after="0" w:line="239" w:lineRule="auto"/>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General global economic and political conditions that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72" w:lineRule="exact"/>
        <w:rPr>
          <w:rFonts w:ascii="Times New Roman" w:cs="Times New Roman" w:eastAsia="Times New Roman" w:hAnsi="Times New Roman"/>
          <w:sz w:val="18"/>
          <w:szCs w:val="18"/>
          <w:color w:val="auto"/>
        </w:rPr>
      </w:pPr>
    </w:p>
    <w:p>
      <w:pPr>
        <w:jc w:val="both"/>
        <w:ind w:left="880" w:hanging="440"/>
        <w:spacing w:after="0" w:line="244" w:lineRule="auto"/>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65" w:lineRule="exact"/>
        <w:rPr>
          <w:rFonts w:ascii="Times New Roman" w:cs="Times New Roman" w:eastAsia="Times New Roman" w:hAnsi="Times New Roman"/>
          <w:sz w:val="18"/>
          <w:szCs w:val="18"/>
          <w:color w:val="auto"/>
        </w:rPr>
      </w:pPr>
    </w:p>
    <w:p>
      <w:pPr>
        <w:ind w:left="880" w:hanging="440"/>
        <w:spacing w:after="0" w:line="258" w:lineRule="auto"/>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Possible disruption of our business or increases in the cost of doing business resulting from terrorist activities or global conflicts.</w:t>
      </w:r>
    </w:p>
    <w:p>
      <w:pPr>
        <w:spacing w:after="0" w:line="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Should one or more of these risks materialize or if the consequences worsen, or if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5"/>
          <w:szCs w:val="25"/>
          <w:b w:val="1"/>
          <w:bCs w:val="1"/>
          <w:color w:val="auto"/>
        </w:rPr>
        <w:t>COMPX INTERNATIONAL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SUMMARY OF CONSOLIDATED OPERATIONS</w:t>
      </w:r>
    </w:p>
    <w:p>
      <w:pPr>
        <w:jc w:val="center"/>
        <w:spacing w:after="0"/>
        <w:rPr>
          <w:sz w:val="20"/>
          <w:szCs w:val="20"/>
          <w:color w:val="auto"/>
        </w:rPr>
      </w:pPr>
      <w:r>
        <w:rPr>
          <w:rFonts w:ascii="Times New Roman" w:cs="Times New Roman" w:eastAsia="Times New Roman" w:hAnsi="Times New Roman"/>
          <w:sz w:val="22"/>
          <w:szCs w:val="22"/>
          <w:b w:val="1"/>
          <w:bCs w:val="1"/>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22"/>
          <w:szCs w:val="22"/>
          <w:b w:val="1"/>
          <w:bCs w:val="1"/>
          <w:color w:val="auto"/>
        </w:rPr>
        <w:t>Three months ended</w:t>
      </w:r>
    </w:p>
    <w:p>
      <w:pPr>
        <w:spacing w:after="0" w:line="1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22"/>
          <w:szCs w:val="22"/>
          <w:b w:val="1"/>
          <w:bCs w:val="1"/>
          <w:color w:val="auto"/>
        </w:rPr>
        <w:t>March 31,</w:t>
      </w:r>
    </w:p>
    <w:tbl>
      <w:tblPr>
        <w:tblLayout w:type="fixed"/>
        <w:tblInd w:w="0" w:type="dxa"/>
        <w:tblCellMar>
          <w:top w:w="0" w:type="dxa"/>
          <w:left w:w="0" w:type="dxa"/>
          <w:bottom w:w="0" w:type="dxa"/>
          <w:right w:w="0" w:type="dxa"/>
        </w:tblCellMar>
      </w:tblPr>
      <w:tr>
        <w:trPr>
          <w:trHeight w:val="257"/>
        </w:trPr>
        <w:tc>
          <w:tcPr>
            <w:tcW w:w="86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32"/>
              <w:spacing w:after="0" w:line="250" w:lineRule="exact"/>
              <w:rPr>
                <w:sz w:val="20"/>
                <w:szCs w:val="20"/>
                <w:color w:val="auto"/>
              </w:rPr>
            </w:pPr>
            <w:r>
              <w:rPr>
                <w:rFonts w:ascii="Times New Roman" w:cs="Times New Roman" w:eastAsia="Times New Roman" w:hAnsi="Times New Roman"/>
                <w:sz w:val="22"/>
                <w:szCs w:val="22"/>
                <w:b w:val="1"/>
                <w:bCs w:val="1"/>
                <w:color w:val="auto"/>
              </w:rPr>
              <w:t>2021</w:t>
            </w:r>
          </w:p>
        </w:tc>
        <w:tc>
          <w:tcPr>
            <w:tcW w:w="2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32"/>
              <w:spacing w:after="0" w:line="250" w:lineRule="exact"/>
              <w:rPr>
                <w:sz w:val="20"/>
                <w:szCs w:val="20"/>
                <w:color w:val="auto"/>
              </w:rPr>
            </w:pPr>
            <w:r>
              <w:rPr>
                <w:rFonts w:ascii="Times New Roman" w:cs="Times New Roman" w:eastAsia="Times New Roman" w:hAnsi="Times New Roman"/>
                <w:sz w:val="22"/>
                <w:szCs w:val="22"/>
                <w:b w:val="1"/>
                <w:bCs w:val="1"/>
                <w:color w:val="auto"/>
              </w:rPr>
              <w:t>2022</w:t>
            </w:r>
          </w:p>
        </w:tc>
        <w:tc>
          <w:tcPr>
            <w:tcW w:w="100" w:type="dxa"/>
            <w:vAlign w:val="bottom"/>
          </w:tcPr>
          <w:p>
            <w:pPr>
              <w:spacing w:after="0"/>
              <w:rPr>
                <w:sz w:val="22"/>
                <w:szCs w:val="22"/>
                <w:color w:val="auto"/>
              </w:rPr>
            </w:pPr>
          </w:p>
        </w:tc>
      </w:tr>
      <w:tr>
        <w:trPr>
          <w:trHeight w:val="243"/>
        </w:trPr>
        <w:tc>
          <w:tcPr>
            <w:tcW w:w="8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5"/>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(unaudited)</w:t>
            </w: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sales</w:t>
            </w:r>
          </w:p>
        </w:tc>
        <w:tc>
          <w:tcPr>
            <w:tcW w:w="220" w:type="dxa"/>
            <w:vAlign w:val="bottom"/>
            <w:shd w:val="clear" w:color="auto" w:fill="CCEE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35.9</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100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42.1</w:t>
            </w:r>
          </w:p>
        </w:tc>
      </w:tr>
      <w:tr>
        <w:trPr>
          <w:trHeight w:val="250"/>
        </w:trPr>
        <w:tc>
          <w:tcPr>
            <w:tcW w:w="8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Cost of sales</w:t>
            </w:r>
          </w:p>
        </w:tc>
        <w:tc>
          <w:tcPr>
            <w:tcW w:w="2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30.0</w:t>
            </w: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Gross margin</w:t>
            </w:r>
          </w:p>
        </w:tc>
        <w:tc>
          <w:tcPr>
            <w:tcW w:w="2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11.0</w:t>
            </w:r>
          </w:p>
        </w:tc>
        <w:tc>
          <w:tcPr>
            <w:tcW w:w="22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12.1</w:t>
            </w:r>
          </w:p>
        </w:tc>
        <w:tc>
          <w:tcPr>
            <w:tcW w:w="100" w:type="dxa"/>
            <w:vAlign w:val="bottom"/>
            <w:shd w:val="clear" w:color="auto" w:fill="CCEEFF"/>
          </w:tcPr>
          <w:p>
            <w:pPr>
              <w:spacing w:after="0"/>
              <w:rPr>
                <w:sz w:val="21"/>
                <w:szCs w:val="21"/>
                <w:color w:val="auto"/>
              </w:rPr>
            </w:pPr>
          </w:p>
        </w:tc>
      </w:tr>
      <w:tr>
        <w:trPr>
          <w:trHeight w:val="250"/>
        </w:trPr>
        <w:tc>
          <w:tcPr>
            <w:tcW w:w="8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Selling, general and administrative expense</w:t>
            </w:r>
          </w:p>
        </w:tc>
        <w:tc>
          <w:tcPr>
            <w:tcW w:w="2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5.8</w:t>
            </w: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Operating income</w:t>
            </w:r>
          </w:p>
        </w:tc>
        <w:tc>
          <w:tcPr>
            <w:tcW w:w="2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c>
          <w:tcPr>
            <w:tcW w:w="22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6.3</w:t>
            </w:r>
          </w:p>
        </w:tc>
        <w:tc>
          <w:tcPr>
            <w:tcW w:w="100" w:type="dxa"/>
            <w:vAlign w:val="bottom"/>
            <w:shd w:val="clear" w:color="auto" w:fill="CCEEFF"/>
          </w:tcPr>
          <w:p>
            <w:pPr>
              <w:spacing w:after="0"/>
              <w:rPr>
                <w:sz w:val="21"/>
                <w:szCs w:val="21"/>
                <w:color w:val="auto"/>
              </w:rPr>
            </w:pPr>
          </w:p>
        </w:tc>
      </w:tr>
      <w:tr>
        <w:trPr>
          <w:trHeight w:val="250"/>
        </w:trPr>
        <w:tc>
          <w:tcPr>
            <w:tcW w:w="8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Interest income</w:t>
            </w:r>
          </w:p>
        </w:tc>
        <w:tc>
          <w:tcPr>
            <w:tcW w:w="2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.2</w:t>
            </w: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Income before taxes</w:t>
            </w:r>
          </w:p>
        </w:tc>
        <w:tc>
          <w:tcPr>
            <w:tcW w:w="2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22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6.5</w:t>
            </w:r>
          </w:p>
        </w:tc>
        <w:tc>
          <w:tcPr>
            <w:tcW w:w="100" w:type="dxa"/>
            <w:vAlign w:val="bottom"/>
            <w:shd w:val="clear" w:color="auto" w:fill="CCEEFF"/>
          </w:tcPr>
          <w:p>
            <w:pPr>
              <w:spacing w:after="0"/>
              <w:rPr>
                <w:sz w:val="21"/>
                <w:szCs w:val="21"/>
                <w:color w:val="auto"/>
              </w:rPr>
            </w:pPr>
          </w:p>
        </w:tc>
      </w:tr>
      <w:tr>
        <w:trPr>
          <w:trHeight w:val="250"/>
        </w:trPr>
        <w:tc>
          <w:tcPr>
            <w:tcW w:w="8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Provision for income taxes</w:t>
            </w:r>
          </w:p>
        </w:tc>
        <w:tc>
          <w:tcPr>
            <w:tcW w:w="2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1.5</w:t>
            </w:r>
          </w:p>
        </w:tc>
      </w:tr>
      <w:tr>
        <w:trPr>
          <w:trHeight w:val="283"/>
        </w:trPr>
        <w:tc>
          <w:tcPr>
            <w:tcW w:w="868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income</w:t>
            </w:r>
          </w:p>
        </w:tc>
        <w:tc>
          <w:tcPr>
            <w:tcW w:w="220" w:type="dxa"/>
            <w:vAlign w:val="bottom"/>
            <w:tcBorders>
              <w:top w:val="single" w:sz="8" w:color="auto"/>
              <w:bottom w:val="single" w:sz="8" w:color="auto"/>
            </w:tcBorders>
            <w:shd w:val="clear" w:color="auto" w:fill="CCEE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9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5.0</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10"/>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83"/>
        </w:trPr>
        <w:tc>
          <w:tcPr>
            <w:tcW w:w="868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Basic and diluted net income per common share</w:t>
            </w:r>
          </w:p>
        </w:tc>
        <w:tc>
          <w:tcPr>
            <w:tcW w:w="220" w:type="dxa"/>
            <w:vAlign w:val="bottom"/>
            <w:tcBorders>
              <w:bottom w:val="single" w:sz="8" w:color="auto"/>
            </w:tcBorders>
            <w:shd w:val="clear" w:color="auto" w:fill="CCEE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90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.40</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37"/>
        </w:trPr>
        <w:tc>
          <w:tcPr>
            <w:tcW w:w="86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Weighted average diluted common shares outstanding</w:t>
            </w:r>
          </w:p>
        </w:tc>
        <w:tc>
          <w:tcPr>
            <w:tcW w:w="220" w:type="dxa"/>
            <w:vAlign w:val="bottom"/>
          </w:tcPr>
          <w:p>
            <w:pPr>
              <w:spacing w:after="0"/>
              <w:rPr>
                <w:sz w:val="20"/>
                <w:szCs w:val="20"/>
                <w:color w:val="auto"/>
              </w:rPr>
            </w:pPr>
          </w:p>
        </w:tc>
        <w:tc>
          <w:tcPr>
            <w:tcW w:w="9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12.4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b w:val="1"/>
                <w:bCs w:val="1"/>
                <w:color w:val="auto"/>
              </w:rPr>
              <w:t>12.4</w:t>
            </w: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- 3 -</w:t>
      </w:r>
    </w:p>
    <w:sectPr>
      <w:pgSz w:w="11900" w:h="16838" w:orient="portrait"/>
      <w:cols w:equalWidth="0" w:num="1">
        <w:col w:w="11240"/>
      </w:cols>
      <w:pgMar w:left="320" w:top="3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2022-05-03T15:35:23Z</dcterms:created>
  <dcterms:modified xsi:type="dcterms:W3CDTF">2022-05-03T15:35:23Z</dcterms:modified>
</cp:coreProperties>
</file>