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205492015</w:t>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333"/>
        </w:trPr>
        <w:tc>
          <w:tcPr>
            <w:tcW w:w="43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25"/>
                <w:szCs w:val="25"/>
                <w:b w:val="1"/>
                <w:bCs w:val="1"/>
                <w:color w:val="auto"/>
              </w:rPr>
              <w:t>Delaware</w:t>
            </w:r>
          </w:p>
        </w:tc>
        <w:tc>
          <w:tcPr>
            <w:tcW w:w="3120" w:type="dxa"/>
            <w:vAlign w:val="bottom"/>
            <w:tcBorders>
              <w:bottom w:val="single" w:sz="8" w:color="auto"/>
            </w:tcBorders>
          </w:tcPr>
          <w:p>
            <w:pPr>
              <w:jc w:val="center"/>
              <w:ind w:right="378"/>
              <w:spacing w:after="0"/>
              <w:rPr>
                <w:sz w:val="20"/>
                <w:szCs w:val="20"/>
                <w:color w:val="auto"/>
              </w:rPr>
            </w:pPr>
            <w:r>
              <w:rPr>
                <w:rFonts w:ascii="Times New Roman" w:cs="Times New Roman" w:eastAsia="Times New Roman" w:hAnsi="Times New Roman"/>
                <w:sz w:val="25"/>
                <w:szCs w:val="25"/>
                <w:b w:val="1"/>
                <w:bCs w:val="1"/>
                <w:color w:val="auto"/>
              </w:rPr>
              <w:t>1-13905</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57-0981653</w:t>
            </w:r>
          </w:p>
        </w:tc>
      </w:tr>
      <w:tr>
        <w:trPr>
          <w:trHeight w:val="198"/>
        </w:trPr>
        <w:tc>
          <w:tcPr>
            <w:tcW w:w="430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120" w:type="dxa"/>
            <w:vAlign w:val="bottom"/>
          </w:tcPr>
          <w:p>
            <w:pPr>
              <w:jc w:val="center"/>
              <w:ind w:right="378"/>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3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00" w:type="dxa"/>
            <w:vAlign w:val="bottom"/>
          </w:tcPr>
          <w:p>
            <w:pPr>
              <w:spacing w:after="0"/>
              <w:rPr>
                <w:sz w:val="20"/>
                <w:szCs w:val="20"/>
                <w:color w:val="auto"/>
              </w:rPr>
            </w:pPr>
          </w:p>
        </w:tc>
        <w:tc>
          <w:tcPr>
            <w:tcW w:w="3120" w:type="dxa"/>
            <w:vAlign w:val="bottom"/>
          </w:tcPr>
          <w:p>
            <w:pPr>
              <w:jc w:val="center"/>
              <w:ind w:right="358"/>
              <w:spacing w:after="0"/>
              <w:rPr>
                <w:sz w:val="20"/>
                <w:szCs w:val="20"/>
                <w:color w:val="auto"/>
              </w:rPr>
            </w:pPr>
            <w:r>
              <w:rPr>
                <w:rFonts w:ascii="Times New Roman" w:cs="Times New Roman" w:eastAsia="Times New Roman" w:hAnsi="Times New Roman"/>
                <w:sz w:val="18"/>
                <w:szCs w:val="18"/>
                <w:color w:val="auto"/>
              </w:rPr>
              <w:t>File Number)</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736"/>
        </w:trPr>
        <w:tc>
          <w:tcPr>
            <w:tcW w:w="742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25"/>
                <w:szCs w:val="25"/>
                <w:b w:val="1"/>
                <w:bCs w:val="1"/>
                <w:color w:val="auto"/>
              </w:rPr>
              <w:t>5430 LBJ Freeway, Suite 1700, Dallas, Texas</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75240-2620</w:t>
            </w:r>
          </w:p>
        </w:tc>
      </w:tr>
      <w:tr>
        <w:trPr>
          <w:trHeight w:val="213"/>
        </w:trPr>
        <w:tc>
          <w:tcPr>
            <w:tcW w:w="74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Jane Grimm</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Vice President and Secretary</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Three Lincoln Centre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5430 LBJ Freeway, Suite 1700</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Dallas, Texas 75240-2620</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(972) 233-1700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73" w:lineRule="exact"/>
        <w:rPr>
          <w:sz w:val="24"/>
          <w:szCs w:val="24"/>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ind w:left="800" w:hanging="792"/>
        <w:spacing w:after="0" w:line="208" w:lineRule="auto"/>
        <w:tabs>
          <w:tab w:leader="none" w:pos="800" w:val="left"/>
        </w:tabs>
        <w:numPr>
          <w:ilvl w:val="0"/>
          <w:numId w:val="1"/>
        </w:numPr>
        <w:rPr>
          <w:rFonts w:ascii="MS PGothic" w:cs="MS PGothic" w:eastAsia="MS PGothic" w:hAnsi="MS PGothic"/>
          <w:sz w:val="50"/>
          <w:szCs w:val="50"/>
          <w:color w:val="auto"/>
          <w:vertAlign w:val="subscript"/>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1" w:lineRule="exact"/>
        <w:rPr>
          <w:rFonts w:ascii="MS PGothic" w:cs="MS PGothic" w:eastAsia="MS PGothic" w:hAnsi="MS PGothic"/>
          <w:sz w:val="50"/>
          <w:szCs w:val="50"/>
          <w:color w:val="auto"/>
          <w:vertAlign w:val="subscript"/>
        </w:rPr>
      </w:pPr>
    </w:p>
    <w:p>
      <w:pPr>
        <w:ind w:left="800"/>
        <w:spacing w:after="0"/>
        <w:rPr>
          <w:rFonts w:ascii="MS PGothic" w:cs="MS PGothic" w:eastAsia="MS PGothic" w:hAnsi="MS PGothic"/>
          <w:sz w:val="50"/>
          <w:szCs w:val="50"/>
          <w:color w:val="auto"/>
          <w:vertAlign w:val="subscript"/>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Disclosure</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For the calendar year 2023,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Accordingly, we conducted in good faith a reasonable country of origin inquiry regarding the conflict minerals in our products for the calendar year 2023.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2023. We sent a total of 472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w:t>
            </w:r>
          </w:p>
        </w:tc>
      </w:tr>
      <w:tr>
        <w:trPr>
          <w:trHeight w:val="243"/>
        </w:trPr>
        <w:tc>
          <w:tcPr>
            <w:tcW w:w="752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Vendors</w:t>
            </w:r>
          </w:p>
        </w:tc>
        <w:tc>
          <w:tcPr>
            <w:tcW w:w="2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Vendors Responding</w:t>
            </w:r>
          </w:p>
        </w:tc>
      </w:tr>
      <w:tr>
        <w:trPr>
          <w:trHeight w:val="243"/>
        </w:trPr>
        <w:tc>
          <w:tcPr>
            <w:tcW w:w="7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w w:val="99"/>
              </w:rPr>
              <w:t>Category of Description of the Certification Regarding the Vendor’s Provided</w:t>
            </w:r>
          </w:p>
        </w:tc>
        <w:tc>
          <w:tcPr>
            <w:tcW w:w="1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Responding by</w:t>
            </w:r>
          </w:p>
        </w:tc>
        <w:tc>
          <w:tcPr>
            <w:tcW w:w="2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by Category</w:t>
            </w:r>
          </w:p>
        </w:tc>
      </w:tr>
      <w:tr>
        <w:trPr>
          <w:trHeight w:val="281"/>
        </w:trPr>
        <w:tc>
          <w:tcPr>
            <w:tcW w:w="752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22"/>
                <w:szCs w:val="22"/>
                <w:b w:val="1"/>
                <w:bCs w:val="1"/>
                <w:color w:val="auto"/>
              </w:rPr>
              <w:t>Products</w:t>
            </w:r>
          </w:p>
        </w:tc>
        <w:tc>
          <w:tcPr>
            <w:tcW w:w="17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9"/>
              </w:rPr>
              <w:t>Category</w:t>
            </w:r>
          </w:p>
        </w:tc>
        <w:tc>
          <w:tcPr>
            <w:tcW w:w="2020" w:type="dxa"/>
            <w:vAlign w:val="bottom"/>
            <w:tcBorders>
              <w:bottom w:val="single" w:sz="8" w:color="auto"/>
            </w:tcBorders>
          </w:tcPr>
          <w:p>
            <w:pPr>
              <w:spacing w:after="0"/>
              <w:rPr>
                <w:sz w:val="24"/>
                <w:szCs w:val="24"/>
                <w:color w:val="auto"/>
              </w:rPr>
            </w:pPr>
          </w:p>
        </w:tc>
      </w:tr>
      <w:tr>
        <w:trPr>
          <w:trHeight w:val="484"/>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Contained </w:t>
            </w:r>
            <w:r>
              <w:rPr>
                <w:rFonts w:ascii="Times New Roman" w:cs="Times New Roman" w:eastAsia="Times New Roman" w:hAnsi="Times New Roman"/>
                <w:sz w:val="22"/>
                <w:szCs w:val="22"/>
                <w:b w:val="1"/>
                <w:bCs w:val="1"/>
                <w:color w:val="auto"/>
              </w:rPr>
              <w:t>no amount</w:t>
            </w:r>
            <w:r>
              <w:rPr>
                <w:rFonts w:ascii="Times New Roman" w:cs="Times New Roman" w:eastAsia="Times New Roman" w:hAnsi="Times New Roman"/>
                <w:sz w:val="22"/>
                <w:szCs w:val="22"/>
                <w:color w:val="auto"/>
              </w:rPr>
              <w:t xml:space="preserve"> of conflict minerals</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359</w:t>
            </w:r>
          </w:p>
        </w:tc>
        <w:tc>
          <w:tcPr>
            <w:tcW w:w="2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76.1%</w:t>
            </w:r>
          </w:p>
        </w:tc>
      </w:tr>
      <w:tr>
        <w:trPr>
          <w:trHeight w:val="416"/>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Contained some amount of conflict mineral(s) but all such conflict mineral(s) </w:t>
            </w:r>
            <w:r>
              <w:rPr>
                <w:rFonts w:ascii="Times New Roman" w:cs="Times New Roman" w:eastAsia="Times New Roman" w:hAnsi="Times New Roman"/>
                <w:sz w:val="22"/>
                <w:szCs w:val="22"/>
                <w:b w:val="1"/>
                <w:bCs w:val="1"/>
                <w:color w:val="auto"/>
              </w:rPr>
              <w:t>came</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86"/>
        </w:trPr>
        <w:tc>
          <w:tcPr>
            <w:tcW w:w="7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from recycled or scrap sources</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w:t>
            </w:r>
          </w:p>
        </w:tc>
        <w:tc>
          <w:tcPr>
            <w:tcW w:w="2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2.1%</w:t>
            </w:r>
          </w:p>
        </w:tc>
      </w:tr>
      <w:tr>
        <w:trPr>
          <w:trHeight w:val="420"/>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Contained some amount (including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amounts) of one or more conflict</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3"/>
        </w:trPr>
        <w:tc>
          <w:tcPr>
            <w:tcW w:w="7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mineral(s), but such conflict mineral(s) did not originate in the Democratic Republic</w:t>
            </w:r>
          </w:p>
        </w:tc>
        <w:tc>
          <w:tcPr>
            <w:tcW w:w="1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82"/>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of the Congo or an adjoining country or were from conformant sources</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102</w:t>
            </w:r>
          </w:p>
        </w:tc>
        <w:tc>
          <w:tcPr>
            <w:tcW w:w="2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21.6%</w:t>
            </w:r>
          </w:p>
        </w:tc>
      </w:tr>
      <w:tr>
        <w:trPr>
          <w:trHeight w:val="416"/>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Contained some amount (including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amounts) of one or more conflict</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7"/>
        </w:trPr>
        <w:tc>
          <w:tcPr>
            <w:tcW w:w="7520" w:type="dxa"/>
            <w:vAlign w:val="bottom"/>
          </w:tcPr>
          <w:p>
            <w:pPr>
              <w:spacing w:after="0" w:line="247" w:lineRule="exact"/>
              <w:rPr>
                <w:sz w:val="20"/>
                <w:szCs w:val="20"/>
                <w:color w:val="auto"/>
              </w:rPr>
            </w:pPr>
            <w:r>
              <w:rPr>
                <w:rFonts w:ascii="Times New Roman" w:cs="Times New Roman" w:eastAsia="Times New Roman" w:hAnsi="Times New Roman"/>
                <w:sz w:val="22"/>
                <w:szCs w:val="22"/>
                <w:color w:val="auto"/>
              </w:rPr>
              <w:t xml:space="preserve">mineral(s), with such conflict mineral(s) </w:t>
            </w:r>
            <w:r>
              <w:rPr>
                <w:rFonts w:ascii="Times New Roman" w:cs="Times New Roman" w:eastAsia="Times New Roman" w:hAnsi="Times New Roman"/>
                <w:sz w:val="22"/>
                <w:szCs w:val="22"/>
                <w:b w:val="1"/>
                <w:bCs w:val="1"/>
                <w:color w:val="auto"/>
              </w:rPr>
              <w:t>originating or possibly originating</w:t>
            </w:r>
            <w:r>
              <w:rPr>
                <w:rFonts w:ascii="Times New Roman" w:cs="Times New Roman" w:eastAsia="Times New Roman" w:hAnsi="Times New Roman"/>
                <w:sz w:val="22"/>
                <w:szCs w:val="22"/>
                <w:color w:val="auto"/>
              </w:rPr>
              <w:t xml:space="preserve"> in the</w:t>
            </w:r>
          </w:p>
        </w:tc>
        <w:tc>
          <w:tcPr>
            <w:tcW w:w="1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82"/>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Democratic Republic of the Congo or an adjoining country</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w:t>
            </w:r>
          </w:p>
        </w:tc>
        <w:tc>
          <w:tcPr>
            <w:tcW w:w="2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0.2%</w:t>
            </w:r>
          </w:p>
        </w:tc>
      </w:tr>
      <w:tr>
        <w:trPr>
          <w:trHeight w:val="447"/>
        </w:trPr>
        <w:tc>
          <w:tcPr>
            <w:tcW w:w="7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472</w:t>
            </w:r>
          </w:p>
        </w:tc>
        <w:tc>
          <w:tcPr>
            <w:tcW w:w="2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100.0%</w:t>
            </w:r>
          </w:p>
        </w:tc>
      </w:tr>
      <w:tr>
        <w:trPr>
          <w:trHeight w:val="20"/>
        </w:trPr>
        <w:tc>
          <w:tcPr>
            <w:tcW w:w="75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With respect to the one response regarding conflict minerals originating or possibly originating in the Democratic Republic of the Congo or an adjoining company, we contacted the vendor. This vendor provides products from the electronic component industry with extensive product lines. We purchase relatively few item SKUs compared to total vendor offerings. The vendor informed us that they have made efforts to ensure conflict free sourcing, expect suppliers to source responsibly, or are in various stages of compliance. This vendor does not directly provide product specific reports as to the sourcing of their conflict minerals. These conditions create a level of uncertainty related to the term “possibly originating” as it relates to the specific products the registrant purchases from this vendor. As a result (and even though we were able to satisfy ourselves, by further researching the manufacturers sourced by this vendor, that certain specific products sourced from this vendor did not fall into the fourth category above), the registrant does not have sufficient information to assess whether all of the products it purchased from this vendor did not contain some amount of one or more conflict minerals originating or possibly originating in the Democratic Republic of the Congo or an adjoining country. The total value of the registrant’s purchases from this vendor (not including purchases from the vendors of products that we were able to remove from the fourth category by further researching manufacturers) represents an aggregate of 0.009% of total purchases from all of the registrant’s vendors in 2023.</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used above, “conformant sources” means sources conformant to the assessment protocols for conflict-free sourcing of the Responsible Minerals Initiative (RMI) or industry equivalent program.</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Conflicts Minerals Disclosure is also posted on our website at</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https://compxinternational.com/governance/#conflict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937"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980" w:type="dxa"/>
            <w:vAlign w:val="bottom"/>
            <w:gridSpan w:val="2"/>
          </w:tcPr>
          <w:p>
            <w:pPr>
              <w:ind w:left="5580"/>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 Jane Grimm</w:t>
            </w:r>
          </w:p>
        </w:tc>
      </w:tr>
      <w:tr>
        <w:trPr>
          <w:trHeight w:val="212"/>
        </w:trPr>
        <w:tc>
          <w:tcPr>
            <w:tcW w:w="5580" w:type="dxa"/>
            <w:vAlign w:val="bottom"/>
          </w:tcPr>
          <w:p>
            <w:pPr>
              <w:spacing w:after="0" w:line="211" w:lineRule="exact"/>
              <w:rPr>
                <w:sz w:val="20"/>
                <w:szCs w:val="20"/>
                <w:color w:val="auto"/>
              </w:rPr>
            </w:pPr>
            <w:r>
              <w:rPr>
                <w:rFonts w:ascii="Times New Roman" w:cs="Times New Roman" w:eastAsia="Times New Roman" w:hAnsi="Times New Roman"/>
                <w:sz w:val="22"/>
                <w:szCs w:val="22"/>
                <w:color w:val="auto"/>
              </w:rPr>
              <w:t>Date:  May 21, 2024</w:t>
            </w:r>
          </w:p>
        </w:tc>
        <w:tc>
          <w:tcPr>
            <w:tcW w:w="40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tcPr>
          <w:p>
            <w:pPr>
              <w:ind w:left="80"/>
              <w:spacing w:after="0" w:line="211" w:lineRule="exact"/>
              <w:rPr>
                <w:sz w:val="20"/>
                <w:szCs w:val="20"/>
                <w:color w:val="auto"/>
              </w:rPr>
            </w:pPr>
            <w:r>
              <w:rPr>
                <w:rFonts w:ascii="Times New Roman" w:cs="Times New Roman" w:eastAsia="Times New Roman" w:hAnsi="Times New Roman"/>
                <w:sz w:val="22"/>
                <w:szCs w:val="22"/>
                <w:i w:val="1"/>
                <w:iCs w:val="1"/>
                <w:color w:val="auto"/>
              </w:rPr>
              <w:t>Jane Grimm</w:t>
            </w:r>
          </w:p>
        </w:tc>
      </w:tr>
      <w:tr>
        <w:trPr>
          <w:trHeight w:val="286"/>
        </w:trPr>
        <w:tc>
          <w:tcPr>
            <w:tcW w:w="5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Vice President and Secretary</w:t>
            </w:r>
          </w:p>
        </w:tc>
      </w:tr>
    </w:tbl>
    <w:p>
      <w:pPr>
        <w:spacing w:after="0" w:line="1" w:lineRule="exact"/>
        <w:rPr>
          <w:sz w:val="20"/>
          <w:szCs w:val="20"/>
          <w:color w:val="auto"/>
        </w:rPr>
      </w:pPr>
    </w:p>
    <w:sectPr>
      <w:pgSz w:w="11900" w:h="16838" w:orient="portrait"/>
      <w:cols w:equalWidth="0" w:num="1">
        <w:col w:w="11240"/>
      </w:cols>
      <w:pgMar w:left="320" w:top="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2024-05-21T09:26:24Z</dcterms:created>
  <dcterms:modified xsi:type="dcterms:W3CDTF">2024-05-21T09:26:24Z</dcterms:modified>
</cp:coreProperties>
</file>