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53975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78105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53" w:lineRule="exact"/>
        <w:rPr>
          <w:sz w:val="24"/>
          <w:szCs w:val="24"/>
          <w:color w:val="auto"/>
        </w:rPr>
      </w:pPr>
    </w:p>
    <w:p>
      <w:pPr>
        <w:ind w:left="2860" w:right="1560" w:hanging="1307"/>
        <w:spacing w:after="0" w:line="262" w:lineRule="auto"/>
        <w:tabs>
          <w:tab w:leader="none" w:pos="219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2024</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0" w:lineRule="exact"/>
        <w:rPr>
          <w:sz w:val="24"/>
          <w:szCs w:val="24"/>
          <w:color w:val="auto"/>
        </w:rPr>
      </w:pPr>
    </w:p>
    <w:p>
      <w:pPr>
        <w:ind w:left="2860" w:right="1560" w:hanging="1315"/>
        <w:spacing w:after="0" w:line="262" w:lineRule="auto"/>
        <w:tabs>
          <w:tab w:leader="none" w:pos="2185"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0"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 to _________</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1-13905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124460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COMPX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133985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7" w:lineRule="exact"/>
        <w:rPr>
          <w:sz w:val="24"/>
          <w:szCs w:val="24"/>
          <w:color w:val="auto"/>
        </w:rPr>
      </w:pPr>
    </w:p>
    <w:p>
      <w:pPr>
        <w:ind w:left="19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57-0981653</w:t>
      </w:r>
    </w:p>
    <w:p>
      <w:pPr>
        <w:spacing w:after="0" w:line="31" w:lineRule="exact"/>
        <w:rPr>
          <w:sz w:val="24"/>
          <w:szCs w:val="24"/>
          <w:color w:val="auto"/>
        </w:rPr>
      </w:pPr>
    </w:p>
    <w:p>
      <w:pPr>
        <w:ind w:left="138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(State or other jurisdiction of</w:t>
      </w:r>
      <w:r>
        <w:rPr>
          <w:sz w:val="20"/>
          <w:szCs w:val="20"/>
          <w:color w:val="auto"/>
        </w:rPr>
        <w:tab/>
      </w: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ind w:left="1320"/>
        <w:spacing w:after="0"/>
        <w:tabs>
          <w:tab w:leader="none" w:pos="6980" w:val="left"/>
        </w:tabs>
        <w:rPr>
          <w:sz w:val="20"/>
          <w:szCs w:val="20"/>
          <w:color w:val="auto"/>
        </w:rPr>
      </w:pPr>
      <w:r>
        <w:rPr>
          <w:rFonts w:ascii="Times New Roman" w:cs="Times New Roman" w:eastAsia="Times New Roman" w:hAnsi="Times New Roman"/>
          <w:sz w:val="18"/>
          <w:szCs w:val="18"/>
          <w:b w:val="1"/>
          <w:bCs w:val="1"/>
          <w:color w:val="auto"/>
        </w:rPr>
        <w:t>incorporation or organization)</w:t>
      </w:r>
      <w:r>
        <w:rPr>
          <w:sz w:val="20"/>
          <w:szCs w:val="20"/>
          <w:color w:val="auto"/>
        </w:rPr>
        <w:tab/>
      </w:r>
      <w:r>
        <w:rPr>
          <w:rFonts w:ascii="Times New Roman" w:cs="Times New Roman" w:eastAsia="Times New Roman" w:hAnsi="Times New Roman"/>
          <w:sz w:val="18"/>
          <w:szCs w:val="18"/>
          <w:b w:val="1"/>
          <w:bCs w:val="1"/>
          <w:color w:val="auto"/>
        </w:rPr>
        <w:t>Identification No.)</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5430 LBJ Freeway, Suite 1700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75240-2620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448-1400</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1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311"/>
        </w:trPr>
        <w:tc>
          <w:tcPr>
            <w:tcW w:w="20" w:type="dxa"/>
            <w:vAlign w:val="bottom"/>
          </w:tcPr>
          <w:p>
            <w:pPr>
              <w:spacing w:after="0"/>
              <w:rPr>
                <w:sz w:val="24"/>
                <w:szCs w:val="24"/>
                <w:color w:val="auto"/>
              </w:rPr>
            </w:pPr>
          </w:p>
        </w:tc>
        <w:tc>
          <w:tcPr>
            <w:tcW w:w="41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Class A common stock</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CIX</w:t>
            </w:r>
          </w:p>
        </w:tc>
        <w:tc>
          <w:tcPr>
            <w:tcW w:w="160" w:type="dxa"/>
            <w:vAlign w:val="bottom"/>
          </w:tcPr>
          <w:p>
            <w:pPr>
              <w:spacing w:after="0"/>
              <w:rPr>
                <w:sz w:val="18"/>
                <w:szCs w:val="18"/>
                <w:color w:val="auto"/>
              </w:rPr>
            </w:pPr>
          </w:p>
        </w:tc>
        <w:tc>
          <w:tcPr>
            <w:tcW w:w="4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NYSE American</w:t>
            </w:r>
          </w:p>
        </w:tc>
      </w:tr>
    </w:tbl>
    <w:p>
      <w:pPr>
        <w:spacing w:after="0" w:line="9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7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87"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line="207" w:lineRule="exact"/>
        <w:tabs>
          <w:tab w:leader="none" w:pos="38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Accelerated filer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tabs>
          <w:tab w:leader="none" w:pos="2900" w:val="left"/>
          <w:tab w:leader="none" w:pos="52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46" w:lineRule="exact"/>
        <w:rPr>
          <w:sz w:val="24"/>
          <w:szCs w:val="24"/>
          <w:color w:val="auto"/>
        </w:rPr>
      </w:pPr>
    </w:p>
    <w:p>
      <w:pPr>
        <w:sectPr>
          <w:pgSz w:w="11900" w:h="16838" w:orient="portrait"/>
          <w:cols w:equalWidth="0" w:num="2">
            <w:col w:w="4100" w:space="720"/>
            <w:col w:w="5400"/>
          </w:cols>
          <w:pgMar w:left="840" w:top="661" w:right="839" w:bottom="1440" w:gutter="0" w:footer="0" w:header="0"/>
          <w:type w:val="continuous"/>
        </w:sectPr>
      </w:pPr>
    </w:p>
    <w:p>
      <w:pPr>
        <w:ind w:right="20"/>
        <w:spacing w:after="0" w:line="221"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52" w:lineRule="exact"/>
        <w:rPr>
          <w:sz w:val="24"/>
          <w:szCs w:val="24"/>
          <w:color w:val="auto"/>
        </w:rPr>
      </w:pPr>
    </w:p>
    <w:p>
      <w:pPr>
        <w:jc w:val="right"/>
        <w:ind w:right="1220"/>
        <w:spacing w:after="0" w:line="184" w:lineRule="exact"/>
        <w:tabs>
          <w:tab w:leader="none" w:pos="1640" w:val="left"/>
        </w:tabs>
        <w:rPr>
          <w:sz w:val="20"/>
          <w:szCs w:val="20"/>
          <w:color w:val="auto"/>
        </w:rPr>
      </w:pPr>
      <w:r>
        <w:rPr>
          <w:rFonts w:ascii="Times New Roman" w:cs="Times New Roman" w:eastAsia="Times New Roman" w:hAnsi="Times New Roman"/>
          <w:sz w:val="16"/>
          <w:szCs w:val="16"/>
          <w:b w:val="1"/>
          <w:bCs w:val="1"/>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ab/>
        <w:t xml:space="preserve">No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w:t>
      </w:r>
    </w:p>
    <w:p>
      <w:pPr>
        <w:spacing w:after="0" w:line="188" w:lineRule="exact"/>
        <w:rPr>
          <w:sz w:val="24"/>
          <w:szCs w:val="24"/>
          <w:color w:val="auto"/>
        </w:rPr>
      </w:pPr>
    </w:p>
    <w:p>
      <w:pPr>
        <w:jc w:val="right"/>
        <w:ind w:right="1180"/>
        <w:spacing w:after="0"/>
        <w:rPr>
          <w:sz w:val="20"/>
          <w:szCs w:val="20"/>
          <w:color w:val="auto"/>
        </w:rPr>
      </w:pPr>
      <w:r>
        <w:rPr>
          <w:rFonts w:ascii="Times New Roman" w:cs="Times New Roman" w:eastAsia="Times New Roman" w:hAnsi="Times New Roman"/>
          <w:sz w:val="16"/>
          <w:szCs w:val="16"/>
          <w:b w:val="1"/>
          <w:bCs w:val="1"/>
          <w:color w:val="auto"/>
        </w:rPr>
        <w:t>As of April 30, 2024, the registrant had 12,313,757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638810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141605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184785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4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7480" w:type="dxa"/>
            <w:vAlign w:val="bottom"/>
            <w:gridSpan w:val="16"/>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 December 31, 2023 and March 31, 2024 (unaudited)</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 and Comprehensive Income (unaudited) – Three</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9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months ended March 31, 2023 and 2024</w:t>
            </w:r>
          </w:p>
        </w:tc>
        <w:tc>
          <w:tcPr>
            <w:tcW w:w="3820" w:type="dxa"/>
            <w:vAlign w:val="bottom"/>
            <w:tcBorders>
              <w:top w:val="single" w:sz="8" w:color="0000EE"/>
            </w:tcBorders>
            <w:gridSpan w:val="5"/>
          </w:tcPr>
          <w:p>
            <w:pPr>
              <w:spacing w:after="0"/>
              <w:rPr>
                <w:sz w:val="17"/>
                <w:szCs w:val="17"/>
                <w:color w:val="auto"/>
              </w:rPr>
            </w:pPr>
          </w:p>
        </w:tc>
        <w:tc>
          <w:tcPr>
            <w:tcW w:w="560" w:type="dxa"/>
            <w:vAlign w:val="bottom"/>
            <w:gridSpan w:val="3"/>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- 4 -</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(unaudited) – Three months ended March</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2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31, 2023 and 2024</w:t>
            </w:r>
          </w:p>
        </w:tc>
        <w:tc>
          <w:tcPr>
            <w:tcW w:w="6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 – Three months ended March 31, 2023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and 2024</w:t>
            </w:r>
          </w:p>
        </w:tc>
        <w:tc>
          <w:tcPr>
            <w:tcW w:w="6540" w:type="dxa"/>
            <w:vAlign w:val="bottom"/>
            <w:tcBorders>
              <w:top w:val="single" w:sz="8" w:color="0000EE"/>
            </w:tcBorders>
            <w:gridSpan w:val="11"/>
          </w:tcPr>
          <w:p>
            <w:pPr>
              <w:spacing w:after="0"/>
              <w:rPr>
                <w:sz w:val="17"/>
                <w:szCs w:val="17"/>
                <w:color w:val="auto"/>
              </w:rPr>
            </w:pPr>
          </w:p>
        </w:tc>
        <w:tc>
          <w:tcPr>
            <w:tcW w:w="80" w:type="dxa"/>
            <w:vAlign w:val="bottom"/>
            <w:gridSpan w:val="2"/>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- 6 -</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Notes to Condensed Consolidated Financial Statements (unaudited)</w:t>
            </w:r>
          </w:p>
        </w:tc>
        <w:tc>
          <w:tcPr>
            <w:tcW w:w="2640" w:type="dxa"/>
            <w:vAlign w:val="bottom"/>
            <w:gridSpan w:val="6"/>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- 7 -</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- 11 -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 About Market Risk</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60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90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32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auto"/>
              </w:rPr>
              <w:t>Items 2, 3, 4 and 5 of Part II are omitted because there is no information to report.</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60" w:type="dxa"/>
            <w:vAlign w:val="bottom"/>
            <w:gridSpan w:val="9"/>
          </w:tcPr>
          <w:p>
            <w:pPr>
              <w:jc w:val="right"/>
              <w:ind w:right="480"/>
              <w:spacing w:after="0"/>
              <w:rPr>
                <w:sz w:val="20"/>
                <w:szCs w:val="20"/>
                <w:color w:val="auto"/>
              </w:rPr>
            </w:pPr>
            <w:r>
              <w:rPr>
                <w:rFonts w:ascii="Times New Roman" w:cs="Times New Roman" w:eastAsia="Times New Roman" w:hAnsi="Times New Roman"/>
                <w:sz w:val="18"/>
                <w:szCs w:val="18"/>
                <w:color w:val="auto"/>
              </w:rPr>
              <w:t>- 2 -</w:t>
            </w: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58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COMPX INTERNATIONAL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2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5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580" w:type="dxa"/>
            <w:vAlign w:val="bottom"/>
          </w:tcPr>
          <w:p>
            <w:pPr>
              <w:jc w:val="right"/>
              <w:ind w:right="25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2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122,246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other assets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34,289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Buildings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187,604</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gridSpan w:val="2"/>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8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2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payable to affiliate</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Class A common stock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loss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820" w:type="dxa"/>
            <w:vAlign w:val="bottom"/>
            <w:tcBorders>
              <w:bottom w:val="single" w:sz="8" w:color="CCEEFF"/>
            </w:tcBorders>
            <w:gridSpan w:val="2"/>
          </w:tcPr>
          <w:p>
            <w:pPr>
              <w:jc w:val="right"/>
              <w:ind w:right="259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168,849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168,904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187,604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Commitments and contingencies (Note 1)</w:t>
      </w:r>
    </w:p>
    <w:p>
      <w:pPr>
        <w:spacing w:after="0" w:line="36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8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41,151</w:t>
            </w:r>
          </w:p>
        </w:tc>
        <w:tc>
          <w:tcPr>
            <w:tcW w:w="6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marketable securities adjustment: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Unrealized loss arising during year, net</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per common share</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gridSpan w:val="13"/>
          </w:tcPr>
          <w:p>
            <w:pPr>
              <w:jc w:val="right"/>
              <w:ind w:right="391"/>
              <w:spacing w:after="0"/>
              <w:rPr>
                <w:sz w:val="20"/>
                <w:szCs w:val="20"/>
                <w:color w:val="auto"/>
              </w:rPr>
            </w:pPr>
            <w:r>
              <w:rPr>
                <w:rFonts w:ascii="Times New Roman" w:cs="Times New Roman" w:eastAsia="Times New Roman" w:hAnsi="Times New Roman"/>
                <w:sz w:val="17"/>
                <w:szCs w:val="17"/>
                <w:b w:val="1"/>
                <w:bCs w:val="1"/>
                <w:color w:val="auto"/>
              </w:rPr>
              <w:t>Three months ended March 31, 2023 and 2024 (unaudited)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9"/>
              </w:rPr>
              <w:t>Accumulated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31"/>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18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131"/>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11"/>
              <w:spacing w:after="0"/>
              <w:rPr>
                <w:sz w:val="20"/>
                <w:szCs w:val="20"/>
                <w:color w:val="auto"/>
              </w:rPr>
            </w:pPr>
            <w:r>
              <w:rPr>
                <w:rFonts w:ascii="Times New Roman" w:cs="Times New Roman" w:eastAsia="Times New Roman" w:hAnsi="Times New Roman"/>
                <w:sz w:val="17"/>
                <w:szCs w:val="17"/>
                <w:b w:val="1"/>
                <w:bCs w:val="1"/>
                <w:color w:val="auto"/>
                <w:w w:val="99"/>
              </w:rPr>
              <w:t>common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ind w:right="31"/>
              <w:spacing w:after="0"/>
              <w:rPr>
                <w:sz w:val="20"/>
                <w:szCs w:val="20"/>
                <w:color w:val="auto"/>
              </w:rPr>
            </w:pPr>
            <w:r>
              <w:rPr>
                <w:rFonts w:ascii="Times New Roman" w:cs="Times New Roman" w:eastAsia="Times New Roman" w:hAnsi="Times New Roman"/>
                <w:sz w:val="17"/>
                <w:szCs w:val="17"/>
                <w:b w:val="1"/>
                <w:bCs w:val="1"/>
                <w:color w:val="auto"/>
                <w:w w:val="99"/>
              </w:rPr>
              <w:t>paid-in</w:t>
            </w:r>
          </w:p>
        </w:tc>
        <w:tc>
          <w:tcPr>
            <w:tcW w:w="1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8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comprehensive</w:t>
            </w:r>
          </w:p>
        </w:tc>
        <w:tc>
          <w:tcPr>
            <w:tcW w:w="140" w:type="dxa"/>
            <w:vAlign w:val="bottom"/>
          </w:tcPr>
          <w:p>
            <w:pPr>
              <w:spacing w:after="0"/>
              <w:rPr>
                <w:sz w:val="17"/>
                <w:szCs w:val="17"/>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7"/>
                <w:szCs w:val="17"/>
                <w:b w:val="1"/>
                <w:bCs w:val="1"/>
                <w:color w:val="auto"/>
              </w:rPr>
              <w:t>loss</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($.25 per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53,155</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115,457</w:t>
            </w:r>
          </w:p>
        </w:tc>
        <w:tc>
          <w:tcPr>
            <w:tcW w:w="3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($.30 per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53,275</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115,517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tbl>
      <w:tblPr>
        <w:tblLayout w:type="fixed"/>
        <w:tblInd w:w="60" w:type="dxa"/>
        <w:tblCellMar>
          <w:top w:w="0" w:type="dxa"/>
          <w:left w:w="0" w:type="dxa"/>
          <w:bottom w:w="0" w:type="dxa"/>
          <w:right w:w="0" w:type="dxa"/>
        </w:tblCellMar>
      </w:tblPr>
      <w:tr>
        <w:trPr>
          <w:trHeight w:val="207"/>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58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COMPX INTERNATIONAL INC.</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5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center"/>
              <w:ind w:left="5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(unaudited)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6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interest income</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Inventories, net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with affiliates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Prepaids and other, net</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Purchases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Proceeds from maturities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Collections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Advances</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 net change from:</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investing and financing activities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26,748</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1,171</w:t>
            </w:r>
          </w:p>
        </w:tc>
        <w:tc>
          <w:tcPr>
            <w:tcW w:w="6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1,071</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We (NYSE American: CIX) were approximately 87% owned by NL Industries, Inc. (NYSE: NL)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 At March 31, 2024, Valhi, Inc. (NYSE: VHI) owned approximately 83% of NL’s outstanding common stock and a wholly-owned subsidiary of Contran Corporation owned approximately 91% of Valhi’s outstanding common stock. A majority of Contran’s outstanding voting stock is held directly by Lisa K. Simmons, Thomas C. Connelly (the husband of Ms. Simmons’ late sister) and various family trusts established for the benefit of Ms. Simmons, Mr. Connelly and their children and for which Ms. Simmons, Mr. Connelly or Mr. Connelly’s sister, as applicable, serve as trustee (collectively, the “Other Trusts”). With respect to the Other Trusts for which Mr. Connelly or his sister serves as trustee, the trustee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March 31, 2024 Ms. Simmons and the Family Trust may be deemed to control Contran, and therefore may be deemed to indirectly control the wholly-owned subsidiary of Contran, Valhi, NL and us.</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Consolidated in this Quarterly Report are the results of CompX International Inc.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The unaudited Condensed Consolidated Financial Statements contained in this Quarterly Report have been prepared on the same basis as the audited Consolidated Financial Statements included in our Annual Report on Form 10-K for the year ended December 31, 2023 that we filed with the Securities and Exchange Commission (“SEC”) on February 28, 2024 (the “2023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2023 contained in this Quarterly Report as compared to our audited Consolidated Financial Statements at that date, and we have omitted certain information and footnote disclosures (including those related to the Consolidated Balance Sheet at December 31, 2023) normally included in financial statements prepared in accordance with accounting principles generally accepted in the United States of America (“GAAP”). Our results of operations for the interim period ended March 31, 2024 may not be indicative of our operating results for the full year. The Condensed Consolidated Financial Statements contained in this Quarterly Report should be read in conjunction with our 2023 Consolidated Financial Statements contained in our 2023 Annual Report.</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operations are reported on a 52 or 53-week year. For presentation purposes, annual and quarterly information in the Condensed Consolidated Financial Statements and accompanying notes are presented as ended March 31, 2023, December 31, 2023 and March 31, 2024. The actual dates of our annual and quarterly periods are April 2, 2023, December 31, 2023 and March 31, 2024, respectively. Unless otherwise indicated, references in this report to “we”, “us” or “our” refer to CompX International Inc.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 – Business segment information:</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6"/>
          </w:tcPr>
          <w:p>
            <w:pPr>
              <w:jc w:val="center"/>
              <w:ind w:right="49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340" w:type="dxa"/>
            <w:vAlign w:val="bottom"/>
          </w:tcPr>
          <w:p>
            <w:pPr>
              <w:spacing w:after="0"/>
              <w:rPr>
                <w:sz w:val="18"/>
                <w:szCs w:val="18"/>
                <w:color w:val="auto"/>
              </w:rPr>
            </w:pPr>
          </w:p>
        </w:tc>
        <w:tc>
          <w:tcPr>
            <w:tcW w:w="7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0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41,151</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operating income</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Intersegment sales are not material.</w:t>
            </w: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5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Marketable securities:</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Market value</w:t>
            </w:r>
          </w:p>
        </w:tc>
        <w:tc>
          <w:tcPr>
            <w:tcW w:w="120" w:type="dxa"/>
            <w:vAlign w:val="bottom"/>
          </w:tcPr>
          <w:p>
            <w:pPr>
              <w:spacing w:after="0"/>
              <w:rPr>
                <w:sz w:val="20"/>
                <w:szCs w:val="20"/>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cost basis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loss, net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6"/>
              </w:rPr>
              <w:t>(In thousands)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35,354</w:t>
            </w:r>
          </w:p>
        </w:tc>
        <w:tc>
          <w:tcPr>
            <w:tcW w:w="24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35,359</w:t>
            </w:r>
          </w:p>
        </w:tc>
        <w:tc>
          <w:tcPr>
            <w:tcW w:w="40" w:type="dxa"/>
            <w:vAlign w:val="bottom"/>
          </w:tcPr>
          <w:p>
            <w:pPr>
              <w:spacing w:after="0"/>
              <w:rPr>
                <w:sz w:val="22"/>
                <w:szCs w:val="2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7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23,712</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marketable securities consist of investments in debt securities, currently U.S. government treasuries. We classify our marketable securities as available-for-sale. The fair value of our marketable securities is generally determined using Level 2 inputs because although these securities are traded, in many cases the market is not active and the quarter-end valuation is generally based on the last trade of the quarter, which may be several days prior to quarter end. We accumulate unrealized gains and losses on marketable debt securities as part of accumulated other comprehensive income (loss), net of related deferred income taxes.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Accounts receivable, net:</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23"/>
        </w:trPr>
        <w:tc>
          <w:tcPr>
            <w:tcW w:w="4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4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6"/>
        </w:trPr>
        <w:tc>
          <w:tcPr>
            <w:tcW w:w="4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4"/>
          </w:tcPr>
          <w:p>
            <w:pPr>
              <w:jc w:val="right"/>
              <w:ind w:right="85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14,293</w:t>
            </w: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3,106</w:t>
            </w:r>
          </w:p>
        </w:tc>
      </w:tr>
      <w:tr>
        <w:trPr>
          <w:trHeight w:val="216"/>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r>
      <w:tr>
        <w:trPr>
          <w:trHeight w:val="210"/>
        </w:trPr>
        <w:tc>
          <w:tcPr>
            <w:tcW w:w="42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17,329</w:t>
            </w:r>
          </w:p>
        </w:tc>
      </w:tr>
      <w:tr>
        <w:trPr>
          <w:trHeight w:val="20"/>
        </w:trPr>
        <w:tc>
          <w:tcPr>
            <w:tcW w:w="4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8" w:name="page9"/>
    <w:bookmarkEnd w:id="8"/>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Inventories, net: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8"/>
          </w:tcPr>
          <w:p>
            <w:pPr>
              <w:jc w:val="right"/>
              <w:ind w:right="83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340" w:type="dxa"/>
            <w:vAlign w:val="bottom"/>
            <w:gridSpan w:val="2"/>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raw materials</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work-in-process</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finished goods</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inventories, net</w:t>
            </w:r>
          </w:p>
        </w:tc>
        <w:tc>
          <w:tcPr>
            <w:tcW w:w="340" w:type="dxa"/>
            <w:vAlign w:val="bottom"/>
            <w:tcBorders>
              <w:bottom w:val="single" w:sz="8" w:color="auto"/>
            </w:tcBorders>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Accounts payable and accrued liabilities:</w:t>
            </w: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9"/>
          </w:tcPr>
          <w:p>
            <w:pPr>
              <w:jc w:val="right"/>
              <w:ind w:right="90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3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Employee benefits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Customer tooling</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Advances from customers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15,745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Provision for income taxes:</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9"/>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9"/>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9"/>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Expected tax expense, at the U.S. federal statutory</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 rate of 21%</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4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1,185</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provision for income taxes allocable to:</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loss - marketable securities</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Financial instruments: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3 for information on how we determine the fair value of our marketable securities.</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instruments that are not carried at fair value but which require fair value disclosure:</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187"/>
        </w:trPr>
        <w:tc>
          <w:tcPr>
            <w:tcW w:w="3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96"/>
        </w:trPr>
        <w:tc>
          <w:tcPr>
            <w:tcW w:w="3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right"/>
              <w:ind w:right="45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51,866</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51,866</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17,329</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3,074</w:t>
            </w: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Due to their near-term maturities, the carrying amounts of accounts receivable and accounts payable are considered equivalent to fair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Related party transactions: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under which, as amended, we agreed to loan Valhi up to $25 million. Our loan to Valhi, as amended, bears interest at prime plus 1.00%, payable quarterly, with all principal due on demand, but in any event no earlier than December 31, 2025. Loans made to Valhi at any time under the agreement are at our discretion. At March 31, 2024, the outstanding principal balance receivable from Valhi under the promissory note was $9.8 million. Interest income (including unused commitment fees) on our loan to Valhi was $.3 million for each of the three months ended March 31, 2023 and 2024, respectively.</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Recent Accounting Pronouncements: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The ASU requires public companies to disclose significant segment expenses and other segment items on an annual and interim basis. The ASU also mandates public companies to provide all annual segment disclosures currently required annually in interim periods. Public companies will also be required to disclose the title and position of the chief operating decision maker (“CODM”) and explain how the CODM uses the reported measure of segment profit or loss in assessing segment performance and allocation of resources. The ASU is effective for us beginning with our 2024 Annual Report, and for interim reporting, in the first quarter of 2025, with retrospective application required. We are in the process of evaluating the additional disclosure requirements across all segments.</w:t>
      </w:r>
    </w:p>
    <w:p>
      <w:pPr>
        <w:spacing w:after="0" w:line="186"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ASU requires additional annual disclosure and disaggregation for the rate reconciliation,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and income tax expense by federal, state and foreign tax jurisdictions. In addition, the standard increases the disclosure requirements for items included in the rate reconciliation that meet a quantitative threshold. The ASU is effective for us beginning with our 2025 Annual Report. The ASU may be applied prospectively; however, entities have the option to apply it retrospectively. We are in the process of evaluating the additional disclosure requirements.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340" w:right="73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gauges, throttle controls, trim tabs and related hardware and accessories for the recreational marine and other industries through our Marine Components segment.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192"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demand for our products,</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product competition from low-cost manufacturing sources (such as China),</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pricing and production decisions,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competitor strategies including substitute products,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development of new products and product features,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or defend our intellectual property rights,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integrating future acquisitions,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sell operating assets other than in the ordinary course of business,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(such as those requiring emission and discharge standards for existing and new facilities),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outcome of income tax audits, tax settlement initiatives or other tax matters, including future tax reform,</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laws and regulations and possible changes therein, including new environmental, health, safety, sustainability or other regulations,</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p>
      <w:pPr>
        <w:spacing w:after="0" w:line="395" w:lineRule="exact"/>
        <w:rPr>
          <w:rFonts w:ascii="Times New Roman" w:cs="Times New Roman" w:eastAsia="Times New Roman" w:hAnsi="Times New Roman"/>
          <w:sz w:val="18"/>
          <w:szCs w:val="18"/>
          <w:color w:val="auto"/>
        </w:rPr>
      </w:pPr>
    </w:p>
    <w:p>
      <w:pPr>
        <w:ind w:left="4420" w:hanging="108"/>
        <w:spacing w:after="0"/>
        <w:tabs>
          <w:tab w:leader="none" w:pos="4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40" w:right="7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but not limited to, labor disputes, leaks, natural disasters, fires, explosions, unscheduled or unplanned downtime, transportation interruptions, certain regional and world events or economic conditions and public health crises);</w:t>
      </w:r>
    </w:p>
    <w:p>
      <w:pPr>
        <w:spacing w:after="0" w:line="67"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related disruptions (including, but not limited to, cyber 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p>
      <w:pPr>
        <w:spacing w:after="0" w:line="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 of our business or increases in the cost of doing business resulting from terrorist activities or global conflicts.</w:t>
      </w:r>
    </w:p>
    <w:p>
      <w:pPr>
        <w:spacing w:after="0" w:line="162"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Income Overview</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first quarter of 2024 operating income decreased to $3.7 million compared to $7.0 million in the first quarter of 2023. The decrease in operating income in the first quarter of 2024 compared to 2023 is primarily due to lower Marine Components sales and gross margin.</w:t>
      </w:r>
    </w:p>
    <w:p>
      <w:pPr>
        <w:spacing w:after="0" w:line="6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3"/>
        </w:trPr>
        <w:tc>
          <w:tcPr>
            <w:tcW w:w="3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8"/>
        </w:trPr>
        <w:tc>
          <w:tcPr>
            <w:tcW w:w="3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3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r>
      <w:tr>
        <w:trPr>
          <w:trHeight w:val="196"/>
        </w:trPr>
        <w:tc>
          <w:tcPr>
            <w:tcW w:w="3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41,151</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100.0 %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37,971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r>
      <w:tr>
        <w:trPr>
          <w:trHeight w:val="216"/>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28,304</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200" w:type="dxa"/>
            <w:vAlign w:val="bottom"/>
            <w:tcBorders>
              <w:bottom w:val="single" w:sz="8" w:color="CCEEFF"/>
            </w:tcBorders>
          </w:tcPr>
          <w:p>
            <w:pPr>
              <w:spacing w:after="0"/>
              <w:rPr>
                <w:sz w:val="18"/>
                <w:szCs w:val="18"/>
                <w:color w:val="auto"/>
              </w:rPr>
            </w:pPr>
          </w:p>
        </w:tc>
      </w:tr>
      <w:tr>
        <w:trPr>
          <w:trHeight w:val="210"/>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margin</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20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5,952</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200" w:type="dxa"/>
            <w:vAlign w:val="bottom"/>
            <w:tcBorders>
              <w:bottom w:val="single" w:sz="8" w:color="CCEEFF"/>
            </w:tcBorders>
          </w:tcPr>
          <w:p>
            <w:pPr>
              <w:spacing w:after="0"/>
              <w:rPr>
                <w:sz w:val="18"/>
                <w:szCs w:val="18"/>
                <w:color w:val="auto"/>
              </w:rPr>
            </w:pPr>
          </w:p>
        </w:tc>
      </w:tr>
      <w:tr>
        <w:trPr>
          <w:trHeight w:val="210"/>
        </w:trPr>
        <w:tc>
          <w:tcPr>
            <w:tcW w:w="3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1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3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7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$3.2 million in the first quarter of 2024 compared to the same period in 2023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Marine Components sales primarily to the towboat market, partially offset by higher Security Products sales to the government security market. See segment discussion below.</w:t>
      </w:r>
    </w:p>
    <w:p>
      <w:pPr>
        <w:spacing w:after="0" w:line="17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sales and gross margin. </w:t>
      </w:r>
      <w:r>
        <w:rPr>
          <w:rFonts w:ascii="Times New Roman" w:cs="Times New Roman" w:eastAsia="Times New Roman" w:hAnsi="Times New Roman"/>
          <w:sz w:val="18"/>
          <w:szCs w:val="18"/>
          <w:color w:val="auto"/>
        </w:rPr>
        <w:t>Cost of sales as a percentage of sales increased 5.4% in the first quarter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As a result, gross margin as a percentage of sales decreased over the same period. Gross margin percentage decreased in the first quarter of 2024 compared to the same period in 2023 primarily due to lower gross margin percentages at both Marine Components and Security Products. See segment discussion below.</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Operating costs and expenses consist primarily of sales and administrative-related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sales commissions and advertising expenses directly related to product sales and administrative costs relating to business unit and corporate management activities, as well as any gains and losses on property and equipment. Operating costs and expenses for the first quarter of 2024 increased $.3 million compared to the same period in 2023 primarily due to higher employee salaries and benefits at Security Products. Operating costs and expenses as a percentage of net sales increased for the first quarter of 2024 due to the increased operating costs and expenses mentioned above and decreased coverage of operating costs and expenses as a result of lower sales.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As a percentage of net sales, operating income for the first quarter of 2024 decreased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period of 2023 and was primarily impacted by the factors impacting sales, cost of sales, gross margin and operating costs and expenses. See segment discussion below.</w:t>
      </w:r>
    </w:p>
    <w:p>
      <w:pPr>
        <w:spacing w:after="0" w:line="17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increased $.3 million in the first quarter of 2024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primarily due to higher average interest rates and increased investment balances, somewhat offset by lower average balances on the revolving promissory note receivable from Valhi. See Notes 3 and 9 to our Condensed Consolidated Financial Statements.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A tabular reconciliation of our actual tax provision to the U.S. federal statutory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rate is included in Note 7 to the Condensed Consolidated Financial Statements. Our operations are wholly within the U.S. and therefore our effective income tax rate is primarily reflective of the U.S. federal statutory rate and applicable state taxes.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key performance indicator for our segments is operating income.</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1260" w:type="dxa"/>
            <w:vAlign w:val="bottom"/>
            <w:gridSpan w:val="2"/>
          </w:tcPr>
          <w:p>
            <w:pPr>
              <w:jc w:val="right"/>
              <w:ind w:right="450"/>
              <w:spacing w:after="0" w:line="196" w:lineRule="exact"/>
              <w:rPr>
                <w:sz w:val="20"/>
                <w:szCs w:val="20"/>
                <w:color w:val="auto"/>
              </w:rPr>
            </w:pPr>
            <w:r>
              <w:rPr>
                <w:rFonts w:ascii="Times New Roman" w:cs="Times New Roman" w:eastAsia="Times New Roman" w:hAnsi="Times New Roman"/>
                <w:sz w:val="18"/>
                <w:szCs w:val="18"/>
                <w:b w:val="1"/>
                <w:bCs w:val="1"/>
                <w:color w:val="auto"/>
                <w:w w:val="83"/>
              </w:rPr>
              <w:t>thousands)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27,342</w:t>
            </w:r>
          </w:p>
        </w:tc>
        <w:tc>
          <w:tcPr>
            <w:tcW w:w="200" w:type="dxa"/>
            <w:vAlign w:val="bottom"/>
          </w:tcPr>
          <w:p>
            <w:pPr>
              <w:spacing w:after="0"/>
              <w:rPr>
                <w:sz w:val="18"/>
                <w:szCs w:val="18"/>
                <w:color w:val="auto"/>
              </w:rPr>
            </w:pPr>
          </w:p>
        </w:tc>
        <w:tc>
          <w:tcPr>
            <w:tcW w:w="40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29,887</w:t>
            </w:r>
          </w:p>
        </w:tc>
        <w:tc>
          <w:tcPr>
            <w:tcW w:w="2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21,115</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8,772</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5,450</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31.0 %</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29.4 %</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Security Products</w:t>
      </w:r>
      <w:r>
        <w:rPr>
          <w:rFonts w:ascii="Times New Roman" w:cs="Times New Roman" w:eastAsia="Times New Roman" w:hAnsi="Times New Roman"/>
          <w:sz w:val="18"/>
          <w:szCs w:val="18"/>
          <w:color w:val="auto"/>
        </w:rPr>
        <w:t>. Security Products net sales increased 9% in the first quarter of 2024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last year primarily due to $1.8 million higher sales to the government security market. Gross margin as a percentage of net sales decreased for the first quarter of 2024 compared to the same period in 2023 primarily due to the relative changes in fixed costs allocated to cost of sales during the quarter. Additionally, a less favorable customer and product mix in the first quarter of 2024 negatively impacted gross margin as a percentage of net sales over the comparable period. Operating income as a percentage of net sales decreased in the first quarter of 2024 compared to the same period in 2023 due to the factors impacting gross margin, as well as increased operating costs and expenses, including higher employee salaries and benefits of $.2 million.</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4"/>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80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b w:val="1"/>
                <w:bCs w:val="1"/>
                <w:color w:val="auto"/>
                <w:w w:val="80"/>
              </w:rPr>
              <w:t>thousands)</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200" w:type="dxa"/>
            <w:vAlign w:val="bottom"/>
          </w:tcPr>
          <w:p>
            <w:pPr>
              <w:spacing w:after="0"/>
              <w:rPr>
                <w:sz w:val="18"/>
                <w:szCs w:val="18"/>
                <w:color w:val="auto"/>
              </w:rPr>
            </w:pPr>
          </w:p>
        </w:tc>
        <w:tc>
          <w:tcPr>
            <w:tcW w:w="860" w:type="dxa"/>
            <w:vAlign w:val="bottom"/>
            <w:gridSpan w:val="2"/>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8,084</w:t>
            </w:r>
          </w:p>
        </w:tc>
        <w:tc>
          <w:tcPr>
            <w:tcW w:w="2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1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7,189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1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30.7 %</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11.1 %</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Marine Components</w:t>
      </w:r>
      <w:r>
        <w:rPr>
          <w:rFonts w:ascii="Times New Roman" w:cs="Times New Roman" w:eastAsia="Times New Roman" w:hAnsi="Times New Roman"/>
          <w:sz w:val="18"/>
          <w:szCs w:val="18"/>
          <w:color w:val="auto"/>
        </w:rPr>
        <w:t>. Marine Components net sales decreased 41% in the first quarter of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last year primarily due to the decline in sales to the towboat market. Relative to the first quarter of 2023, sales</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were $4.3 million lower to the towboat market, $.7 million lower to the industrial market, $.3 million lower to the engine builder market and $.3 million lower to distributors. Gross margin as a percentage of net sales decreased in the first quarter of 2024 compared to the same period last year primarily due to higher cost inventory produced during the fourth quarter of 2023 and sold in the first quarter of 2024. Marine Components inventory produced during the fourth quarter of 2023 had a higher carrying value due to higher production cost per unit as a result of lower production volumes. Additionally, gross margin and operating income margin were unfavorably impacted by decreased coverage of production costs, operating costs and expenses on lower sales.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Outlook. </w:t>
      </w:r>
      <w:r>
        <w:rPr>
          <w:rFonts w:ascii="Times New Roman" w:cs="Times New Roman" w:eastAsia="Times New Roman" w:hAnsi="Times New Roman"/>
          <w:sz w:val="18"/>
          <w:szCs w:val="18"/>
          <w:color w:val="auto"/>
        </w:rPr>
        <w:t>In the first quarter of 2024, Security Products benefitted from increased sales of mechanical locks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security market while the other markets we serve were relatively flat compared to the same period of 2023. At Marine Components, the decline in sales to the towboat market as a result of the contraction in the recreational marine industry that began late in the first quarter of 2023 has continued. We are focused on aligning our resources with current demand levels, and particularly at Marine Components, we are adjusting inventory levels, operating expenses and labor resources to align with current demand while also preserving our ability to respond quickly when demand increases. Generally, raw material prices have stabilized, our supply chains are stable and transportation and logistical delays are minimal. We have adjusted our order patterns in response to the stability of our raw material supplies.</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expect Security Products sales in 2024 will be lower than 2023 as the sluggishness we have experienced across a variety of the markets Security Products serves has continued through the first quarter of 2024 with customers continuing to express uncertainty regarding sustained consumer demand levels. In addition, we do not expect 2024 sales to benefit from the pilot project to a government security customer we completed largely in the fourth quarter of 2023. After implementing aggressive price increases over the last several years to maintain operating margins, we expect only modest price increases in 2024. Overall, we expect Security Products gross margin will be comparable to 2023, although we expect operating income as a percentage of sales to decline due to our limited pricing power along with reduced coverage of selling, general and administrative costs as a result of lower expected sales. We expect Marine Components net sales for the full year of 2024 to be lower as compared to 2023 because we believe demand in the towboat market will further decline. The recreational marine industry faces strong headwinds due to higher interest rates and broader market weakness. Several original equipment boat manufacturers, including certain of our customers, have publicly announced reduced production schedules for 2024. Overall, we expect Marine Components gross margin as a percentage of net sales for 2024 to be lower than 2023 due to lower coverage of fixed overhead as a result of lower expected sales, and operating income as a percentage of net sales will similarly be lower as a result of reduced coverage of selling, general and administrative expenses due to lower expected sales. We ended 2023 with elevated inventory balances at our Marine Components segment as a result of increased orders of certain raw materials due to previously long lead times coupled with the rapidly changing towboat demand which created a misalignment of our raw materials with near term demand. We made significant progress in aligning our Marine Components inventory balances with current demand in the first quarter of 2024 and expect this alignment to be complete by mid-year 2024.</w:t>
      </w:r>
    </w:p>
    <w:p>
      <w:pPr>
        <w:spacing w:after="0" w:line="19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expectations for our operations and the markets we serve are based on a number of factors outside our control. We have experienced global and domestic supply chain challenges, and any future impacts on our operations will depend on, among other things, any future disruption in our operations or our suppliers’ operations, the impact of economic conditions and geopolitical events on demand for our products or our customers’ and suppliers’ operations, all of which remain uncertain and cannot be predicted.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Consolidated cash flows </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Trends in cash flows from operating activities, excluding changes in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generally been similar to the 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net cash provided by operating activities for the first three months of 2024 decreased by $1.4 million as compared to the first three months of 2023. The decrease in net cash provided is primarily due to the net effects of:</w:t>
      </w:r>
    </w:p>
    <w:p>
      <w:pPr>
        <w:spacing w:after="0" w:line="54" w:lineRule="exact"/>
        <w:rPr>
          <w:sz w:val="20"/>
          <w:szCs w:val="20"/>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 million decrease in operating income in 2024,</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 million decrease in the amount of net cash used by relative changes in our inventories, receivables, prepaids, payables and non-tax related accruals in 2024, and</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 million increase in interest received in 2024 due to higher interest rates and increased investment balances, partially offset by lower average balances on our loan to an affiliate.</w:t>
      </w:r>
    </w:p>
    <w:p>
      <w:pPr>
        <w:spacing w:after="0" w:line="5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Changes in working capital can have a significant effect on cash flows from operating activities. As shown below, the change in our average days sales outstanding from December 31, 2023 to March 31, 2024 varied by segment primarily as a result of relative changes in the timing of sales and collections relative to the end of the quarter. For comparative purposes, we have provided December 31, 2022 and March 31, 2023 numbers below.</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442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Days Sales Outstanding: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 Days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 Days</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 Days</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 Days</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30 Days</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36 Days</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31 Days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 Days</w:t>
            </w: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CompX</w:t>
            </w: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41 Days</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41 Days</w:t>
            </w:r>
          </w:p>
        </w:tc>
        <w:tc>
          <w:tcPr>
            <w:tcW w:w="12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36 Days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 Days</w:t>
            </w: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average number of days in inventory decreased from December 31, 2023 to March 31, 2024 primarily due to the decrease at Marine Components as a result of higher sales in the first quarter of 2024 compared to the fourth quarter of 2023 and decreased inventory balances as a result of a planned reduction of certain raw materials with previously longer lead times as discussed in </w:t>
      </w:r>
      <w:r>
        <w:rPr>
          <w:rFonts w:ascii="Times New Roman" w:cs="Times New Roman" w:eastAsia="Times New Roman" w:hAnsi="Times New Roman"/>
          <w:sz w:val="18"/>
          <w:szCs w:val="18"/>
          <w:i w:val="1"/>
          <w:iCs w:val="1"/>
          <w:color w:val="auto"/>
        </w:rPr>
        <w:t>Outlook</w:t>
      </w:r>
      <w:r>
        <w:rPr>
          <w:rFonts w:ascii="Times New Roman" w:cs="Times New Roman" w:eastAsia="Times New Roman" w:hAnsi="Times New Roman"/>
          <w:sz w:val="18"/>
          <w:szCs w:val="18"/>
          <w:color w:val="auto"/>
        </w:rPr>
        <w:t xml:space="preserve"> above. For comparative purposes, we have provided December 31, 2022 and March 31, 2023 numbers below.</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440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Days in Inventory: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r>
      <w:tr>
        <w:trPr>
          <w:trHeight w:val="210"/>
        </w:trPr>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 Days</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 Days</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 Days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 Days</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95 Days</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87 Days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175 Days</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108 Days</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CompX</w:t>
            </w:r>
          </w:p>
        </w:tc>
        <w:tc>
          <w:tcPr>
            <w:tcW w:w="13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99 Days</w:t>
            </w:r>
          </w:p>
        </w:tc>
        <w:tc>
          <w:tcPr>
            <w:tcW w:w="1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97 Days</w:t>
            </w: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95 Days</w:t>
            </w:r>
          </w:p>
        </w:tc>
        <w:tc>
          <w:tcPr>
            <w:tcW w:w="8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89 Days</w:t>
            </w:r>
          </w:p>
        </w:tc>
      </w:tr>
    </w:tbl>
    <w:p>
      <w:pPr>
        <w:spacing w:after="0" w:line="19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capital expenditures were $.3 million in each of the first three months of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During the first three months of 2024, Valhi repaid a net $.8 million under the promissory note ($5.2 million of gross borrowings and $6.0 million of gross repayments). During the first three months of 2023, Valhi repaid a net $1.0 million under the promissory note ($6.8 million of gross borrowings and $7.8 million of gross repayments). See Note 9 to our Condensed Consolidated Financial Statements.</w:t>
      </w:r>
    </w:p>
    <w:p>
      <w:pPr>
        <w:spacing w:after="0" w:line="18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first three months of 2024, we received gross proceeds totaling $12.0 million related to U.S. treasury bill maturities. During the first three months of 2023, we had gross purchases of U.S. treasury marketable securities aggregating $13.5 million and received gross proceeds totaling $4.0 million related to U.S. treasury bill maturities. See Note 3 to our Condensed Consolidated Financial Statements.</w:t>
      </w:r>
    </w:p>
    <w:p>
      <w:pPr>
        <w:spacing w:after="0" w:line="178"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Financing activities consisted only of quarterly cash dividends. In February 2024,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increased our regular quarterly dividend from $.25 per share to $.30 per share beginning in the first quarter of 2024.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Future cash requirements </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Our primary source of liquidity on an ongoing basis is our cash flow from operating activities,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used to (i) fund capital 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9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All of our $75.6 million aggregate cash, cash equivalents and marketable securities at March 31, 2024 were held in the U.S.</w:t>
      </w:r>
    </w:p>
    <w:p>
      <w:pPr>
        <w:spacing w:after="0" w:line="160"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Firm purchase commitments for capital projects in process at March 31, 2024 totaled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We expect our capital expenditures for 2024 will be approximately $2.8 million primarily to meet our existing customer demand and those required to properly maintain our facilities and technology infrastructure.</w:t>
      </w:r>
    </w:p>
    <w:p>
      <w:pPr>
        <w:spacing w:after="0" w:line="173" w:lineRule="exact"/>
        <w:rPr>
          <w:sz w:val="20"/>
          <w:szCs w:val="20"/>
          <w:color w:val="auto"/>
        </w:rPr>
      </w:pPr>
    </w:p>
    <w:p>
      <w:pPr>
        <w:jc w:val="both"/>
        <w:ind w:left="6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At March 31, 2024, we have 523,647 shares available for repurchase under a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program authorized by our board of directors.</w:t>
      </w:r>
    </w:p>
    <w:p>
      <w:pPr>
        <w:spacing w:after="0" w:line="158" w:lineRule="exact"/>
        <w:rPr>
          <w:sz w:val="20"/>
          <w:szCs w:val="20"/>
          <w:color w:val="auto"/>
        </w:rPr>
      </w:pPr>
    </w:p>
    <w:p>
      <w:pPr>
        <w:jc w:val="both"/>
        <w:ind w:left="6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There have been no material changes in our contractual obligations since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our 2023 Annual Report and we refer you to that report for a complete description of these commitments.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10 to our Condensed Consolidated Financial Statements.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first three months of 2024 with respect to our critical accounting policies presented in Management’s Discussion and Analysis of Financial Condition and Results of Operations in our 2023 Annual Report.</w:t>
      </w:r>
    </w:p>
    <w:p>
      <w:pPr>
        <w:spacing w:after="0" w:line="1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raw material prices. There have been no material changes in these market risks since we filed our 2023 Annual Report, and we refer you to Part I, Item 7A – “Quantitative and Qualitative Disclosure About Market Risk” in our 2023 Annual Report. See also Note 8 to our Condensed Consolidated Financial Statements.</w:t>
      </w:r>
    </w:p>
    <w:p>
      <w:pPr>
        <w:spacing w:after="0" w:line="17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which,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Samford, our Executive Vice President and Chief Financial Officer, has evaluated the design and operating effectiveness of our disclosure controls and procedures as of March 31, 2024. Based upon their evaluation, these executive officers have concluded that our disclosure controls and procedures are effective as of the date of such evaluation.</w:t>
      </w:r>
    </w:p>
    <w:p>
      <w:pPr>
        <w:spacing w:after="0" w:line="172"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Internal Control Over Financial Reporting</w:t>
      </w:r>
      <w:r>
        <w:rPr>
          <w:rFonts w:ascii="Times New Roman" w:cs="Times New Roman" w:eastAsia="Times New Roman" w:hAnsi="Times New Roman"/>
          <w:sz w:val="18"/>
          <w:szCs w:val="18"/>
          <w:color w:val="auto"/>
        </w:rPr>
        <w:t>. Our management is responsible for establishing and maintaining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6" w:lineRule="exact"/>
        <w:rPr>
          <w:sz w:val="20"/>
          <w:szCs w:val="20"/>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7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r>
        <w:rPr>
          <w:rFonts w:ascii="Times New Roman" w:cs="Times New Roman" w:eastAsia="Times New Roman" w:hAnsi="Times New Roman"/>
          <w:sz w:val="18"/>
          <w:szCs w:val="18"/>
          <w:color w:val="auto"/>
        </w:rPr>
        <w:t>. There have been no changes in our internal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financial reporting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Reference is made to the 2023 Annual Report for a discussion of risk factors related to our businesses.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80" w:type="dxa"/>
            <w:vAlign w:val="bottom"/>
          </w:tcPr>
          <w:p>
            <w:pPr>
              <w:spacing w:after="0"/>
              <w:rPr>
                <w:sz w:val="20"/>
                <w:szCs w:val="20"/>
                <w:color w:val="auto"/>
              </w:rPr>
            </w:pPr>
          </w:p>
        </w:tc>
        <w:tc>
          <w:tcPr>
            <w:tcW w:w="79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46"/>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180" w:type="dxa"/>
            <w:vAlign w:val="bottom"/>
          </w:tcPr>
          <w:p>
            <w:pPr>
              <w:spacing w:after="0"/>
              <w:rPr>
                <w:sz w:val="24"/>
                <w:szCs w:val="24"/>
                <w:color w:val="auto"/>
              </w:rPr>
            </w:pPr>
          </w:p>
        </w:tc>
        <w:tc>
          <w:tcPr>
            <w:tcW w:w="7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Certification</w:t>
            </w:r>
          </w:p>
        </w:tc>
        <w:tc>
          <w:tcPr>
            <w:tcW w:w="0" w:type="dxa"/>
            <w:vAlign w:val="bottom"/>
          </w:tcPr>
          <w:p>
            <w:pPr>
              <w:spacing w:after="0"/>
              <w:rPr>
                <w:sz w:val="1"/>
                <w:szCs w:val="1"/>
                <w:color w:val="auto"/>
              </w:rPr>
            </w:pPr>
          </w:p>
        </w:tc>
      </w:tr>
      <w:tr>
        <w:trPr>
          <w:trHeight w:val="304"/>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9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Certification</w:t>
            </w:r>
          </w:p>
        </w:tc>
        <w:tc>
          <w:tcPr>
            <w:tcW w:w="70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8"/>
              </w:rPr>
              <w:t>Certification</w:t>
            </w:r>
          </w:p>
        </w:tc>
        <w:tc>
          <w:tcPr>
            <w:tcW w:w="7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1"/>
                <w:szCs w:val="21"/>
                <w:color w:val="auto"/>
              </w:rPr>
            </w:pPr>
          </w:p>
        </w:tc>
        <w:tc>
          <w:tcPr>
            <w:tcW w:w="920" w:type="dxa"/>
            <w:vAlign w:val="bottom"/>
            <w:tcBorders>
              <w:bottom w:val="single" w:sz="8" w:color="0000EE"/>
            </w:tcBorders>
            <w:vMerge w:val="continue"/>
          </w:tcPr>
          <w:p>
            <w:pPr>
              <w:spacing w:after="0"/>
              <w:rPr>
                <w:sz w:val="21"/>
                <w:szCs w:val="21"/>
                <w:color w:val="auto"/>
              </w:rPr>
            </w:pPr>
          </w:p>
        </w:tc>
        <w:tc>
          <w:tcPr>
            <w:tcW w:w="7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3"/>
                <w:szCs w:val="23"/>
                <w:color w:val="auto"/>
              </w:rPr>
            </w:pPr>
          </w:p>
        </w:tc>
        <w:tc>
          <w:tcPr>
            <w:tcW w:w="79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36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040" w:hanging="9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r>
      <w:tr>
        <w:trPr>
          <w:trHeight w:val="237"/>
        </w:trPr>
        <w:tc>
          <w:tcPr>
            <w:tcW w:w="3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6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800" w:type="dxa"/>
            <w:vAlign w:val="bottom"/>
          </w:tcPr>
          <w:p>
            <w:pPr>
              <w:spacing w:after="0"/>
              <w:rPr>
                <w:sz w:val="20"/>
                <w:szCs w:val="20"/>
                <w:color w:val="auto"/>
              </w:rPr>
            </w:pPr>
          </w:p>
        </w:tc>
      </w:tr>
      <w:tr>
        <w:trPr>
          <w:trHeight w:val="43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5880" w:type="dxa"/>
            <w:vAlign w:val="bottom"/>
            <w:gridSpan w:val="4"/>
          </w:tcPr>
          <w:p>
            <w:pPr>
              <w:ind w:left="1640"/>
              <w:spacing w:after="0"/>
              <w:rPr>
                <w:sz w:val="20"/>
                <w:szCs w:val="20"/>
                <w:color w:val="auto"/>
              </w:rPr>
            </w:pPr>
            <w:r>
              <w:rPr>
                <w:rFonts w:ascii="Times New Roman" w:cs="Times New Roman" w:eastAsia="Times New Roman" w:hAnsi="Times New Roman"/>
                <w:sz w:val="18"/>
                <w:szCs w:val="18"/>
                <w:color w:val="auto"/>
              </w:rPr>
              <w:t>By: /s/ Amy A. Samford</w:t>
            </w:r>
          </w:p>
        </w:tc>
      </w:tr>
      <w:tr>
        <w:trPr>
          <w:trHeight w:val="191"/>
        </w:trPr>
        <w:tc>
          <w:tcPr>
            <w:tcW w:w="30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4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Amy A. Samford</w:t>
            </w:r>
          </w:p>
        </w:tc>
      </w:tr>
      <w:tr>
        <w:trPr>
          <w:trHeight w:val="234"/>
        </w:trPr>
        <w:tc>
          <w:tcPr>
            <w:tcW w:w="3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648"/>
        </w:trPr>
        <w:tc>
          <w:tcPr>
            <w:tcW w:w="3020" w:type="dxa"/>
            <w:vAlign w:val="bottom"/>
          </w:tcPr>
          <w:p>
            <w:pPr>
              <w:spacing w:after="0"/>
              <w:rPr>
                <w:sz w:val="24"/>
                <w:szCs w:val="24"/>
                <w:color w:val="auto"/>
              </w:rPr>
            </w:pPr>
          </w:p>
        </w:tc>
        <w:tc>
          <w:tcPr>
            <w:tcW w:w="5880" w:type="dxa"/>
            <w:vAlign w:val="bottom"/>
            <w:gridSpan w:val="4"/>
          </w:tcPr>
          <w:p>
            <w:pPr>
              <w:ind w:left="1640"/>
              <w:spacing w:after="0"/>
              <w:rPr>
                <w:sz w:val="20"/>
                <w:szCs w:val="20"/>
                <w:color w:val="auto"/>
              </w:rPr>
            </w:pPr>
            <w:r>
              <w:rPr>
                <w:rFonts w:ascii="Times New Roman" w:cs="Times New Roman" w:eastAsia="Times New Roman" w:hAnsi="Times New Roman"/>
                <w:sz w:val="18"/>
                <w:szCs w:val="18"/>
                <w:color w:val="auto"/>
              </w:rPr>
              <w:t>By: /s/ Amy E. Ruf</w:t>
            </w:r>
          </w:p>
        </w:tc>
      </w:tr>
      <w:tr>
        <w:trPr>
          <w:trHeight w:val="191"/>
        </w:trPr>
        <w:tc>
          <w:tcPr>
            <w:tcW w:w="30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4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Amy E. Ruf</w:t>
            </w:r>
          </w:p>
        </w:tc>
      </w:tr>
      <w:tr>
        <w:trPr>
          <w:trHeight w:val="234"/>
        </w:trPr>
        <w:tc>
          <w:tcPr>
            <w:tcW w:w="3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C. James,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CompX International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25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Scott C. James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A. Samford,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CompX International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17145</wp:posOffset>
            </wp:positionV>
            <wp:extent cx="30429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Amy A. Samford</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CompX International Inc. (the Company) on Form 10-Q for the period ending March 31, 2024,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42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Scott C. James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429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Amy A. Samford</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04"/>
    </w:lvl>
    <w:lvl w:ilvl="1">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2024-05-07T15:49:19Z</dcterms:created>
  <dcterms:modified xsi:type="dcterms:W3CDTF">2024-05-07T15:49:19Z</dcterms:modified>
</cp:coreProperties>
</file>