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205492015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327"/>
        </w:trPr>
        <w:tc>
          <w:tcPr>
            <w:tcW w:w="4360" w:type="dxa"/>
            <w:vAlign w:val="bottom"/>
            <w:tcBorders>
              <w:bottom w:val="single" w:sz="8" w:color="auto"/>
            </w:tcBorders>
          </w:tcPr>
          <w:p>
            <w:pPr>
              <w:jc w:val="center"/>
              <w:ind w:right="432"/>
              <w:spacing w:after="0"/>
              <w:rPr>
                <w:sz w:val="20"/>
                <w:szCs w:val="20"/>
                <w:color w:val="auto"/>
              </w:rPr>
            </w:pPr>
            <w:r>
              <w:rPr>
                <w:rFonts w:ascii="Arial" w:cs="Arial" w:eastAsia="Arial" w:hAnsi="Arial"/>
                <w:sz w:val="25"/>
                <w:szCs w:val="25"/>
                <w:b w:val="1"/>
                <w:bCs w:val="1"/>
                <w:color w:val="auto"/>
                <w:w w:val="92"/>
              </w:rPr>
              <w:t>Delaware</w:t>
            </w:r>
          </w:p>
        </w:tc>
        <w:tc>
          <w:tcPr>
            <w:tcW w:w="3160" w:type="dxa"/>
            <w:vAlign w:val="bottom"/>
            <w:tcBorders>
              <w:bottom w:val="single" w:sz="8" w:color="auto"/>
            </w:tcBorders>
          </w:tcPr>
          <w:p>
            <w:pPr>
              <w:jc w:val="center"/>
              <w:ind w:right="378"/>
              <w:spacing w:after="0"/>
              <w:rPr>
                <w:sz w:val="20"/>
                <w:szCs w:val="20"/>
                <w:color w:val="auto"/>
              </w:rPr>
            </w:pPr>
            <w:r>
              <w:rPr>
                <w:rFonts w:ascii="Arial" w:cs="Arial" w:eastAsia="Arial" w:hAnsi="Arial"/>
                <w:sz w:val="25"/>
                <w:szCs w:val="25"/>
                <w:b w:val="1"/>
                <w:bCs w:val="1"/>
                <w:color w:val="auto"/>
                <w:w w:val="91"/>
              </w:rPr>
              <w:t>1-13905</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25"/>
                <w:szCs w:val="25"/>
                <w:b w:val="1"/>
                <w:bCs w:val="1"/>
                <w:color w:val="auto"/>
                <w:w w:val="91"/>
              </w:rPr>
              <w:t>57-0981653</w:t>
            </w:r>
          </w:p>
        </w:tc>
      </w:tr>
      <w:tr>
        <w:trPr>
          <w:trHeight w:val="202"/>
        </w:trPr>
        <w:tc>
          <w:tcPr>
            <w:tcW w:w="4360" w:type="dxa"/>
            <w:vAlign w:val="bottom"/>
          </w:tcPr>
          <w:p>
            <w:pPr>
              <w:jc w:val="center"/>
              <w:ind w:right="452"/>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58"/>
              <w:spacing w:after="0" w:line="201" w:lineRule="exact"/>
              <w:rPr>
                <w:sz w:val="20"/>
                <w:szCs w:val="20"/>
                <w:color w:val="auto"/>
              </w:rPr>
            </w:pPr>
            <w:r>
              <w:rPr>
                <w:rFonts w:ascii="Arial" w:cs="Arial" w:eastAsia="Arial" w:hAnsi="Arial"/>
                <w:sz w:val="18"/>
                <w:szCs w:val="18"/>
                <w:color w:val="auto"/>
                <w:w w:val="93"/>
              </w:rPr>
              <w:t>(Commission</w:t>
            </w:r>
          </w:p>
        </w:tc>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spacing w:after="0"/>
              <w:rPr>
                <w:sz w:val="20"/>
                <w:szCs w:val="20"/>
                <w:color w:val="auto"/>
              </w:rPr>
            </w:pPr>
          </w:p>
        </w:tc>
        <w:tc>
          <w:tcPr>
            <w:tcW w:w="3160" w:type="dxa"/>
            <w:vAlign w:val="bottom"/>
          </w:tcPr>
          <w:p>
            <w:pPr>
              <w:jc w:val="center"/>
              <w:ind w:right="358"/>
              <w:spacing w:after="0"/>
              <w:rPr>
                <w:sz w:val="20"/>
                <w:szCs w:val="20"/>
                <w:color w:val="auto"/>
              </w:rPr>
            </w:pPr>
            <w:r>
              <w:rPr>
                <w:rFonts w:ascii="Arial" w:cs="Arial" w:eastAsia="Arial" w:hAnsi="Arial"/>
                <w:sz w:val="18"/>
                <w:szCs w:val="18"/>
                <w:color w:val="auto"/>
                <w:w w:val="94"/>
              </w:rPr>
              <w:t>File Number)</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36"/>
        </w:trPr>
        <w:tc>
          <w:tcPr>
            <w:tcW w:w="752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25"/>
                <w:szCs w:val="25"/>
                <w:b w:val="1"/>
                <w:bCs w:val="1"/>
                <w:color w:val="auto"/>
                <w:w w:val="90"/>
              </w:rPr>
              <w:t>5430 LBJ Freeway, Suite 1700, Dallas, Texas</w:t>
            </w:r>
          </w:p>
        </w:tc>
        <w:tc>
          <w:tcPr>
            <w:tcW w:w="3900" w:type="dxa"/>
            <w:vAlign w:val="bottom"/>
            <w:tcBorders>
              <w:bottom w:val="single" w:sz="8" w:color="auto"/>
            </w:tcBorders>
          </w:tcPr>
          <w:p>
            <w:pPr>
              <w:jc w:val="center"/>
              <w:ind w:left="16"/>
              <w:spacing w:after="0"/>
              <w:rPr>
                <w:sz w:val="20"/>
                <w:szCs w:val="20"/>
                <w:color w:val="auto"/>
              </w:rPr>
            </w:pPr>
            <w:r>
              <w:rPr>
                <w:rFonts w:ascii="Arial" w:cs="Arial" w:eastAsia="Arial" w:hAnsi="Arial"/>
                <w:sz w:val="25"/>
                <w:szCs w:val="25"/>
                <w:b w:val="1"/>
                <w:bCs w:val="1"/>
                <w:color w:val="auto"/>
                <w:w w:val="91"/>
              </w:rPr>
              <w:t>75240-2697</w:t>
            </w:r>
          </w:p>
        </w:tc>
      </w:tr>
      <w:tr>
        <w:trPr>
          <w:trHeight w:val="230"/>
        </w:trPr>
        <w:tc>
          <w:tcPr>
            <w:tcW w:w="75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6"/>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9"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18"/>
          <w:szCs w:val="18"/>
          <w:color w:val="auto"/>
        </w:rPr>
        <w:t>Rule 13p-1 under the Securities Exchange Act (17 CFR 240.13p-1) for the reporting period from January 1 to December 31, 2017</w:t>
      </w:r>
    </w:p>
    <w:p>
      <w:pPr>
        <w:spacing w:after="0" w:line="1" w:lineRule="exact"/>
        <w:rPr>
          <w:rFonts w:ascii="MS PGothic" w:cs="MS PGothic" w:eastAsia="MS PGothic" w:hAnsi="MS PGothic"/>
          <w:sz w:val="50"/>
          <w:szCs w:val="50"/>
          <w:color w:val="auto"/>
          <w:vertAlign w:val="subscript"/>
        </w:rPr>
      </w:pPr>
    </w:p>
    <w:p>
      <w:pPr>
        <w:ind w:left="800"/>
        <w:spacing w:after="0"/>
        <w:rPr>
          <w:rFonts w:ascii="MS PGothic" w:cs="MS PGothic" w:eastAsia="MS PGothic" w:hAnsi="MS PGothic"/>
          <w:sz w:val="50"/>
          <w:szCs w:val="50"/>
          <w:color w:val="auto"/>
          <w:vertAlign w:val="subscript"/>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Disclosure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calendar year 2017,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Accordingly, we conducted in good faith a reasonable country of origin inquiry regarding the conflict minerals in our products for the calendar year 2017.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2017. We sent a total of 451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Vendors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6"/>
              </w:rPr>
              <w:t>Vendors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Responding</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6"/>
              </w:rPr>
              <w:t>Responding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6"/>
              </w:rPr>
              <w:t>Category of Description of the Certification Regarding the Vendor's Provided Products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by Category</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by Category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Contained </w:t>
            </w:r>
            <w:r>
              <w:rPr>
                <w:rFonts w:ascii="Arial" w:cs="Arial" w:eastAsia="Arial" w:hAnsi="Arial"/>
                <w:sz w:val="18"/>
                <w:szCs w:val="18"/>
                <w:b w:val="1"/>
                <w:bCs w:val="1"/>
                <w:color w:val="auto"/>
              </w:rPr>
              <w:t>no amount</w:t>
            </w:r>
            <w:r>
              <w:rPr>
                <w:rFonts w:ascii="Arial" w:cs="Arial" w:eastAsia="Arial" w:hAnsi="Arial"/>
                <w:sz w:val="18"/>
                <w:szCs w:val="18"/>
                <w:color w:val="auto"/>
              </w:rPr>
              <w:t xml:space="preserve"> of conflict minerals</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341</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5"/>
              </w:rPr>
              <w:t xml:space="preserve">Contained some amount of conflict mineral(s) but all such conflict mineral(s) </w:t>
            </w:r>
            <w:r>
              <w:rPr>
                <w:rFonts w:ascii="Arial" w:cs="Arial" w:eastAsia="Arial" w:hAnsi="Arial"/>
                <w:sz w:val="18"/>
                <w:szCs w:val="18"/>
                <w:b w:val="1"/>
                <w:bCs w:val="1"/>
                <w:color w:val="auto"/>
                <w:w w:val="95"/>
              </w:rPr>
              <w:t>came from recycled or</w:t>
            </w:r>
          </w:p>
        </w:tc>
        <w:tc>
          <w:tcPr>
            <w:tcW w:w="18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scrap sources</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 xml:space="preserve">Contained some amount (including </w:t>
            </w:r>
            <w:r>
              <w:rPr>
                <w:rFonts w:ascii="Arial" w:cs="Arial" w:eastAsia="Arial" w:hAnsi="Arial"/>
                <w:sz w:val="18"/>
                <w:szCs w:val="18"/>
                <w:i w:val="1"/>
                <w:iCs w:val="1"/>
                <w:color w:val="auto"/>
                <w:w w:val="95"/>
              </w:rPr>
              <w:t>de minimis</w:t>
            </w:r>
            <w:r>
              <w:rPr>
                <w:rFonts w:ascii="Arial" w:cs="Arial" w:eastAsia="Arial" w:hAnsi="Arial"/>
                <w:sz w:val="18"/>
                <w:szCs w:val="18"/>
                <w:color w:val="auto"/>
                <w:w w:val="95"/>
              </w:rPr>
              <w:t xml:space="preserve"> amounts) of one or more conflict mineral(s), but such</w:t>
            </w:r>
          </w:p>
        </w:tc>
        <w:tc>
          <w:tcPr>
            <w:tcW w:w="18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6"/>
              </w:rPr>
              <w:t>conflict mineral(s) did not originate in the Democratic Republic of the Congo or an adjoining country</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87</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 xml:space="preserve">Contained some amount (including </w:t>
            </w:r>
            <w:r>
              <w:rPr>
                <w:rFonts w:ascii="Arial" w:cs="Arial" w:eastAsia="Arial" w:hAnsi="Arial"/>
                <w:sz w:val="18"/>
                <w:szCs w:val="18"/>
                <w:i w:val="1"/>
                <w:iCs w:val="1"/>
                <w:color w:val="auto"/>
                <w:w w:val="94"/>
              </w:rPr>
              <w:t>de minimis</w:t>
            </w:r>
            <w:r>
              <w:rPr>
                <w:rFonts w:ascii="Arial" w:cs="Arial" w:eastAsia="Arial" w:hAnsi="Arial"/>
                <w:sz w:val="18"/>
                <w:szCs w:val="18"/>
                <w:color w:val="auto"/>
                <w:w w:val="94"/>
              </w:rPr>
              <w:t xml:space="preserve"> amounts) of one or more conflict mineral(s), with such</w:t>
            </w:r>
          </w:p>
        </w:tc>
        <w:tc>
          <w:tcPr>
            <w:tcW w:w="18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3"/>
              </w:rPr>
              <w:t xml:space="preserve">conflict mineral(s) </w:t>
            </w:r>
            <w:r>
              <w:rPr>
                <w:rFonts w:ascii="Arial" w:cs="Arial" w:eastAsia="Arial" w:hAnsi="Arial"/>
                <w:sz w:val="18"/>
                <w:szCs w:val="18"/>
                <w:b w:val="1"/>
                <w:bCs w:val="1"/>
                <w:color w:val="auto"/>
                <w:w w:val="93"/>
              </w:rPr>
              <w:t>originating or possibly originating</w:t>
            </w:r>
            <w:r>
              <w:rPr>
                <w:rFonts w:ascii="Arial" w:cs="Arial" w:eastAsia="Arial" w:hAnsi="Arial"/>
                <w:sz w:val="18"/>
                <w:szCs w:val="18"/>
                <w:color w:val="auto"/>
                <w:w w:val="93"/>
              </w:rPr>
              <w:t xml:space="preserve"> in the Democratic Republic of the Congo or an</w:t>
            </w:r>
          </w:p>
        </w:tc>
        <w:tc>
          <w:tcPr>
            <w:tcW w:w="18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adjoining country</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451</w:t>
            </w:r>
          </w:p>
        </w:tc>
        <w:tc>
          <w:tcPr>
            <w:tcW w:w="1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the two responses regarding conflict minerals originating or possibly originating in the Democratic Republic of the Congo or an adjoining company, we contacted the vendors. Both vendors provide products from the electronic component industry with extensive product lines, and may be primarily a distributor for a large number of lower level manufacturers in the supply chain. In each case we purchase relatively few item SKUs compared to total vendor offerings. The vendors informed us that they have made efforts to ensure conflict free sourcing, expect suppliers to source responsibly, or are in various stages of compliance. Neither of the two vendors directly provides product specific reports as to the sourcing of their conflict minerals. These conditions create a level of uncertainty related to the term "possibly originating" as it relates to the specific products the registrant purchases from such vendors. As a result (and even though we were able to satisfy ourselves, by further researching the manufacturers sourced by such vendors, that certain specific products sourced from these vendors did not fall into the fourth category above), the registrant does not have sufficient information to assess whether all of the products it purchased from such vendors did not contain some amount of one or more conflict minerals originating or possibly originating in the Democratic Republic of the Congo or an adjoining country. The total value of the registrant's purchases from these vendors (not including purchases from these vendors of products that we were able to remove from the fourth category by further researching manufacturers) represents an aggregate of 0.06% of total purchases from all of the registrant's vendors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Conflicts Minerals Disclosure is also posted on our website at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0000FF"/>
        </w:rPr>
        <w:t>http://compxinternational.gcs-web.com/conflict-minerals-disclosure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gridSpan w:val="2"/>
          </w:tcPr>
          <w:p>
            <w:pPr>
              <w:ind w:left="5680"/>
              <w:spacing w:after="0"/>
              <w:rPr>
                <w:sz w:val="20"/>
                <w:szCs w:val="20"/>
                <w:color w:val="auto"/>
              </w:rPr>
            </w:pPr>
            <w:r>
              <w:rPr>
                <w:rFonts w:ascii="Arial" w:cs="Arial" w:eastAsia="Arial" w:hAnsi="Arial"/>
                <w:sz w:val="18"/>
                <w:szCs w:val="18"/>
                <w:color w:val="auto"/>
              </w:rPr>
              <w:t>By:</w:t>
            </w:r>
          </w:p>
        </w:tc>
        <w:tc>
          <w:tcPr>
            <w:tcW w:w="5380" w:type="dxa"/>
            <w:vAlign w:val="bottom"/>
          </w:tcPr>
          <w:p>
            <w:pPr>
              <w:ind w:left="380"/>
              <w:spacing w:after="0"/>
              <w:rPr>
                <w:sz w:val="20"/>
                <w:szCs w:val="20"/>
                <w:color w:val="auto"/>
              </w:rPr>
            </w:pPr>
            <w:r>
              <w:rPr>
                <w:rFonts w:ascii="Arial" w:cs="Arial" w:eastAsia="Arial" w:hAnsi="Arial"/>
                <w:sz w:val="18"/>
                <w:szCs w:val="18"/>
                <w:color w:val="auto"/>
              </w:rPr>
              <w:t>/s/ Jane Grimm</w:t>
            </w: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rPr>
              <w:t>Date:  May 24, 2018</w:t>
            </w:r>
          </w:p>
        </w:tc>
        <w:tc>
          <w:tcPr>
            <w:tcW w:w="36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i w:val="1"/>
                <w:iCs w:val="1"/>
                <w:color w:val="auto"/>
              </w:rPr>
              <w:t>Jane Grimm</w:t>
            </w:r>
          </w:p>
        </w:tc>
      </w:tr>
      <w:tr>
        <w:trPr>
          <w:trHeight w:val="230"/>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i w:val="1"/>
                <w:iCs w:val="1"/>
                <w:color w:val="auto"/>
              </w:rPr>
              <w:t>Vice President and Secretary</w:t>
            </w: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2019-12-06T11:10:40Z</dcterms:created>
  <dcterms:modified xsi:type="dcterms:W3CDTF">2019-12-06T11:10:40Z</dcterms:modified>
</cp:coreProperties>
</file>