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Proxy Statement Pursuant to Section 14(a) of the</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ectPr>
          <w:pgSz w:w="11900" w:h="16838" w:orient="portrait"/>
          <w:cols w:equalWidth="0" w:num="1">
            <w:col w:w="11420"/>
          </w:cols>
          <w:pgMar w:left="240" w:top="229" w:right="239" w:bottom="1440" w:gutter="0" w:footer="0" w:header="0"/>
        </w:sectPr>
      </w:pPr>
    </w:p>
    <w:p>
      <w:pPr>
        <w:spacing w:after="0" w:line="373" w:lineRule="exact"/>
        <w:rPr>
          <w:sz w:val="24"/>
          <w:szCs w:val="24"/>
          <w:color w:val="auto"/>
        </w:rPr>
      </w:pPr>
    </w:p>
    <w:p>
      <w:pPr>
        <w:spacing w:after="0"/>
        <w:rPr>
          <w:sz w:val="20"/>
          <w:szCs w:val="20"/>
          <w:color w:val="auto"/>
        </w:rPr>
      </w:pPr>
      <w:r>
        <w:rPr>
          <w:rFonts w:ascii="Arial" w:cs="Arial" w:eastAsia="Arial" w:hAnsi="Arial"/>
          <w:sz w:val="16"/>
          <w:szCs w:val="16"/>
          <w:color w:val="auto"/>
        </w:rPr>
        <w:t>Filed by Registrant:</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2">
            <w:col w:w="3100" w:space="720"/>
            <w:col w:w="760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3020" w:space="440"/>
            <w:col w:w="7960"/>
          </w:cols>
          <w:pgMar w:left="240" w:top="229" w:right="239" w:bottom="1440" w:gutter="0" w:footer="0" w:header="0"/>
          <w:type w:val="continuous"/>
        </w:sectPr>
      </w:pP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760" w:hanging="752"/>
        <w:spacing w:after="0" w:line="207" w:lineRule="exact"/>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2"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760" w:hanging="752"/>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760" w:hanging="752"/>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OMP</w:t>
      </w:r>
      <w:r>
        <w:rPr>
          <w:rFonts w:ascii="Arial" w:cs="Arial" w:eastAsia="Arial" w:hAnsi="Arial"/>
          <w:sz w:val="25"/>
          <w:szCs w:val="25"/>
          <w:b w:val="1"/>
          <w:bCs w:val="1"/>
          <w:color w:val="auto"/>
        </w:rPr>
        <w:t>X I</w:t>
      </w:r>
      <w:r>
        <w:rPr>
          <w:rFonts w:ascii="Arial" w:cs="Arial" w:eastAsia="Arial" w:hAnsi="Arial"/>
          <w:sz w:val="17"/>
          <w:szCs w:val="17"/>
          <w:b w:val="1"/>
          <w:bCs w:val="1"/>
          <w:color w:val="auto"/>
        </w:rPr>
        <w:t>NTERNATIONAL</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34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hanging="652"/>
        <w:spacing w:after="0" w:line="207" w:lineRule="exact"/>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17"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23" w:lineRule="exact"/>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30"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3047365</wp:posOffset>
            </wp:positionH>
            <wp:positionV relativeFrom="page">
              <wp:posOffset>243205</wp:posOffset>
            </wp:positionV>
            <wp:extent cx="147510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HREE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INCOLN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ENTRE</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5430 LBJ F</w:t>
      </w:r>
      <w:r>
        <w:rPr>
          <w:rFonts w:ascii="Arial" w:cs="Arial" w:eastAsia="Arial" w:hAnsi="Arial"/>
          <w:sz w:val="12"/>
          <w:szCs w:val="12"/>
          <w:b w:val="1"/>
          <w:bCs w:val="1"/>
          <w:color w:val="auto"/>
        </w:rPr>
        <w:t>REEWAY</w:t>
      </w:r>
      <w:r>
        <w:rPr>
          <w:rFonts w:ascii="Arial" w:cs="Arial" w:eastAsia="Arial" w:hAnsi="Arial"/>
          <w:sz w:val="18"/>
          <w:szCs w:val="18"/>
          <w:b w:val="1"/>
          <w:bCs w:val="1"/>
          <w:color w:val="auto"/>
        </w:rPr>
        <w:t>, S</w:t>
      </w:r>
      <w:r>
        <w:rPr>
          <w:rFonts w:ascii="Arial" w:cs="Arial" w:eastAsia="Arial" w:hAnsi="Arial"/>
          <w:sz w:val="12"/>
          <w:szCs w:val="12"/>
          <w:b w:val="1"/>
          <w:bCs w:val="1"/>
          <w:color w:val="auto"/>
        </w:rPr>
        <w:t>UITE</w:t>
      </w:r>
      <w:r>
        <w:rPr>
          <w:rFonts w:ascii="Arial" w:cs="Arial" w:eastAsia="Arial" w:hAnsi="Arial"/>
          <w:sz w:val="18"/>
          <w:szCs w:val="18"/>
          <w:b w:val="1"/>
          <w:bCs w:val="1"/>
          <w:color w:val="auto"/>
        </w:rPr>
        <w:t xml:space="preserve"> 1700</w:t>
      </w:r>
    </w:p>
    <w:p>
      <w:pPr>
        <w:spacing w:after="0" w:line="9"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ALLAS</w:t>
      </w:r>
      <w:r>
        <w:rPr>
          <w:rFonts w:ascii="Arial" w:cs="Arial" w:eastAsia="Arial" w:hAnsi="Arial"/>
          <w:sz w:val="18"/>
          <w:szCs w:val="18"/>
          <w:b w:val="1"/>
          <w:bCs w:val="1"/>
          <w:color w:val="auto"/>
        </w:rPr>
        <w:t>, T</w:t>
      </w:r>
      <w:r>
        <w:rPr>
          <w:rFonts w:ascii="Arial" w:cs="Arial" w:eastAsia="Arial" w:hAnsi="Arial"/>
          <w:sz w:val="12"/>
          <w:szCs w:val="12"/>
          <w:b w:val="1"/>
          <w:bCs w:val="1"/>
          <w:color w:val="auto"/>
        </w:rPr>
        <w:t>EXAS</w:t>
      </w:r>
      <w:r>
        <w:rPr>
          <w:rFonts w:ascii="Arial" w:cs="Arial" w:eastAsia="Arial" w:hAnsi="Arial"/>
          <w:sz w:val="18"/>
          <w:szCs w:val="18"/>
          <w:b w:val="1"/>
          <w:bCs w:val="1"/>
          <w:color w:val="auto"/>
        </w:rPr>
        <w:t xml:space="preserve">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April 16,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You are cordially invited to attend the 2019 annual meeting of stockholders of CompX International Inc., which will be held on Wednesday, May 22, 2019, at 10:00 a.m., local time, at our corporate offices at Three Lincoln Centre, 5430 LBJ Freeway, Suite 1700, Dallas, Texas 75240-2620. The matters to be acted upon at the meeting are described in the attached notice of annual meeting of stockholders and proxy statement.</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169545</wp:posOffset>
            </wp:positionV>
            <wp:extent cx="2118360"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Loretta J. Feehan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160020</wp:posOffset>
            </wp:positionV>
            <wp:extent cx="133794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3"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5430 LBJ Freeway, Suite 1700</w:t>
      </w:r>
    </w:p>
    <w:p>
      <w:pPr>
        <w:spacing w:after="0" w:line="9"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2620</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22,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CompX International Inc.:</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2019 annual meeting of stockholders of CompX International Inc. will be held on Wednesday, May 22, 2019, at 10:00 a.m., local time, at our corporate offices at Three Lincoln Centre, 5430 LBJ Freeway, Suite 1700, Dallas, Texas 75240-2620, for the following purposes:</w:t>
      </w:r>
    </w:p>
    <w:p>
      <w:pPr>
        <w:spacing w:after="0" w:line="14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elect the seven director nominees named in the proxy statement to serve until the 2020 annual meeting of stockholders;</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approve, on a nonbinding advisory basis, our named executive officer compensation; and</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close of business on March 25, 2019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8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4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14605</wp:posOffset>
            </wp:positionV>
            <wp:extent cx="130365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Jane R. Grimm, </w:t>
      </w: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2019</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Stockholder Meeting to Be Held on May 22, 2019.</w:t>
      </w:r>
    </w:p>
    <w:p>
      <w:pPr>
        <w:spacing w:after="0" w:line="23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The proxy statement and annual report to stockholders (including CompX’s 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for the fiscal year ended December 31, 2018) are available at </w:t>
      </w:r>
      <w:r>
        <w:rPr>
          <w:rFonts w:ascii="Arial" w:cs="Arial" w:eastAsia="Arial" w:hAnsi="Arial"/>
          <w:sz w:val="18"/>
          <w:szCs w:val="18"/>
          <w:b w:val="1"/>
          <w:bCs w:val="1"/>
          <w:i w:val="1"/>
          <w:iCs w:val="1"/>
          <w:color w:val="auto"/>
        </w:rPr>
        <w:t>www.viewproxy.com/CompX/2019</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8"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GLOSSARY OF TERMS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GENERAL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CONTROLLING STOCKHOLDER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SECURITY OWNERSHIP</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Ownership of CompX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Ownership of Related Companies</w:t>
      </w:r>
    </w:p>
    <w:p>
      <w:pPr>
        <w:spacing w:after="0" w:line="9" w:lineRule="exact"/>
        <w:rPr>
          <w:sz w:val="20"/>
          <w:szCs w:val="20"/>
          <w:color w:val="auto"/>
        </w:rPr>
      </w:pPr>
    </w:p>
    <w:p>
      <w:pPr>
        <w:spacing w:after="0"/>
        <w:tabs>
          <w:tab w:leader="none" w:pos="1300" w:val="left"/>
        </w:tabs>
        <w:rPr>
          <w:rFonts w:ascii="Arial" w:cs="Arial" w:eastAsia="Arial" w:hAnsi="Arial"/>
          <w:sz w:val="17"/>
          <w:szCs w:val="17"/>
          <w:u w:val="single" w:color="auto"/>
          <w:color w:val="0000EE"/>
        </w:rPr>
      </w:pPr>
      <w:hyperlink w:anchor="page13">
        <w:r>
          <w:rPr>
            <w:rFonts w:ascii="Arial" w:cs="Arial" w:eastAsia="Arial" w:hAnsi="Arial"/>
            <w:sz w:val="18"/>
            <w:szCs w:val="18"/>
            <w:u w:val="single" w:color="auto"/>
            <w:color w:val="0000EE"/>
          </w:rPr>
          <w:t>PROPOSAL 1:</w:t>
        </w:r>
      </w:hyperlink>
      <w:r>
        <w:rPr>
          <w:rFonts w:ascii="Arial" w:cs="Arial" w:eastAsia="Arial" w:hAnsi="Arial"/>
          <w:sz w:val="18"/>
          <w:szCs w:val="18"/>
          <w:u w:val="single" w:color="auto"/>
          <w:color w:val="0000EE"/>
        </w:rPr>
        <w:tab/>
      </w:r>
      <w:hyperlink w:anchor="page13">
        <w:r>
          <w:rPr>
            <w:rFonts w:ascii="Arial" w:cs="Arial" w:eastAsia="Arial" w:hAnsi="Arial"/>
            <w:sz w:val="17"/>
            <w:szCs w:val="17"/>
            <w:u w:val="single" w:color="auto"/>
            <w:color w:val="0000EE"/>
          </w:rPr>
          <w:t>ELECTION OF DIRECTORS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Nominees for Director</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EXECUTIVE OFFICERS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 Executive Officers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Upcoming Executive Officer Changes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CORPORATE GOVERNANCE</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Controlled Company Status, Director Independence and Committees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2018 Meetings and Standing Committees of the Board of Directors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Development and Compensation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 Oversight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Identifying and Evaluating Director Nominees</w:t>
      </w:r>
    </w:p>
    <w:p>
      <w:pPr>
        <w:spacing w:after="0" w:line="9" w:lineRule="exact"/>
        <w:rPr>
          <w:sz w:val="20"/>
          <w:szCs w:val="20"/>
          <w:color w:val="auto"/>
        </w:rPr>
      </w:pPr>
    </w:p>
    <w:p>
      <w:pPr>
        <w:ind w:left="660" w:right="3900"/>
        <w:spacing w:after="0" w:line="250" w:lineRule="auto"/>
        <w:rPr>
          <w:sz w:val="20"/>
          <w:szCs w:val="20"/>
          <w:color w:val="auto"/>
        </w:rPr>
      </w:pPr>
      <w:r>
        <w:rPr>
          <w:rFonts w:ascii="Arial" w:cs="Arial" w:eastAsia="Arial" w:hAnsi="Arial"/>
          <w:sz w:val="18"/>
          <w:szCs w:val="18"/>
          <w:color w:val="auto"/>
        </w:rPr>
        <w:t>Leadership Structure of the Board of Directors and Independent Director Meetings Stockholder Proposals and Director Nominations for the 2020 Annual Meeting of Stockholders Communications with Directors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of Business Conduct and Ethics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Governance Guidelines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Availability of Corporate Governance Documents</w:t>
      </w:r>
    </w:p>
    <w:p>
      <w:pPr>
        <w:spacing w:after="0" w:line="9" w:lineRule="exact"/>
        <w:rPr>
          <w:sz w:val="20"/>
          <w:szCs w:val="20"/>
          <w:color w:val="auto"/>
        </w:rPr>
      </w:pPr>
    </w:p>
    <w:p>
      <w:pPr>
        <w:ind w:left="660" w:right="3960" w:hanging="647"/>
        <w:spacing w:after="0" w:line="250"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COMPENSATION OF EXECUTIVE OFFICERS AND DIRECTORS AND OTHER INFORMATION</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Compensation Discussion and Analysis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Committee Report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of Cash and Certain Other Compensation of Executive Officers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Grants of Plan-Based Awards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Outstanding Equity Awards at December 31, 2018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 Exercises or Stock Vested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Benefits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Nonqualified Deferred Compensation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 Ratio Disclosure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Compensation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Policies and Practices as They Relate to Risk Management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Consultants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CERTAIN RELATIONSHIPS AND TRANSACTIONS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Transaction Policy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Relationships with Related Parties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Intercorporate Services Agreements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 Management Program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Matters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Loans for Cash Management Purposes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INDEPENDENT REGISTERED PUBLIC ACCOUNTING FIRM MATTERS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Registered Public Accounting Firm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Fees Paid to PricewaterhouseCoopers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Preapproval Policies and Procedures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PROPOSAL 2:NONBINDING ADVISORY RESOLUTION ON NAMED EXECUTIVE OFFICER COMPENSATION</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Background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Say-on-Pay Proposal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of the Proposal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Vote Required</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2018 ANNUAL REPORT ON FORM 10-K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STOCKHOLDERS SHARING THE SAME ADDRESS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REQUEST COPIES OF THE 2018 ANNUAL REPORT AND THIS PROXY STATEMENT</w:t>
        </w:r>
      </w:hyperlink>
    </w:p>
    <w:p>
      <w:pPr>
        <w:sectPr>
          <w:pgSz w:w="11900" w:h="16838" w:orient="portrait"/>
          <w:cols w:equalWidth="0" w:num="1">
            <w:col w:w="11420"/>
          </w:cols>
          <w:pgMar w:left="240" w:top="472"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GLOSSARY OF TERMS</w:t>
      </w:r>
    </w:p>
    <w:p>
      <w:pPr>
        <w:spacing w:after="0" w:line="121" w:lineRule="exact"/>
        <w:rPr>
          <w:sz w:val="20"/>
          <w:szCs w:val="20"/>
          <w:color w:val="auto"/>
        </w:rPr>
      </w:pPr>
    </w:p>
    <w:p>
      <w:pPr>
        <w:ind w:left="180" w:right="800" w:hanging="167"/>
        <w:spacing w:after="0" w:line="277" w:lineRule="auto"/>
        <w:rPr>
          <w:sz w:val="20"/>
          <w:szCs w:val="20"/>
          <w:color w:val="auto"/>
        </w:rPr>
      </w:pPr>
      <w:r>
        <w:rPr>
          <w:rFonts w:ascii="Arial" w:cs="Arial" w:eastAsia="Arial" w:hAnsi="Arial"/>
          <w:sz w:val="18"/>
          <w:szCs w:val="18"/>
          <w:i w:val="1"/>
          <w:iCs w:val="1"/>
          <w:color w:val="auto"/>
        </w:rPr>
        <w:t xml:space="preserve">“Alliance Advisors” </w:t>
      </w:r>
      <w:r>
        <w:rPr>
          <w:rFonts w:ascii="Arial" w:cs="Arial" w:eastAsia="Arial" w:hAnsi="Arial"/>
          <w:sz w:val="18"/>
          <w:szCs w:val="18"/>
          <w:color w:val="auto"/>
        </w:rPr>
        <w:t>means Alliance Advisors, LLC, our proxy management advisor who will act as inspector of election for the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401(k) Plan</w:t>
      </w:r>
      <w:r>
        <w:rPr>
          <w:rFonts w:ascii="Arial" w:cs="Arial" w:eastAsia="Arial" w:hAnsi="Arial"/>
          <w:sz w:val="18"/>
          <w:szCs w:val="18"/>
          <w:color w:val="auto"/>
        </w:rPr>
        <w:t>” means The Employee 401(k) Retirement Plan, a defined contribution plan.</w:t>
      </w:r>
    </w:p>
    <w:p>
      <w:pPr>
        <w:spacing w:after="0" w:line="90" w:lineRule="exact"/>
        <w:rPr>
          <w:sz w:val="20"/>
          <w:szCs w:val="20"/>
          <w:color w:val="auto"/>
        </w:rPr>
      </w:pPr>
    </w:p>
    <w:p>
      <w:pPr>
        <w:ind w:left="180" w:right="420" w:hanging="1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brokerage firm or other nominee</w:t>
      </w:r>
      <w:r>
        <w:rPr>
          <w:rFonts w:ascii="Arial" w:cs="Arial" w:eastAsia="Arial" w:hAnsi="Arial"/>
          <w:sz w:val="18"/>
          <w:szCs w:val="18"/>
          <w:color w:val="auto"/>
        </w:rPr>
        <w:t>” means a brokerage firm or other nominee such as a banking institution, custodian, trustee or fiduciary (other than our transfer agent, Computershare) through which a stockholder holds its shares of our common stock.</w:t>
      </w:r>
    </w:p>
    <w:p>
      <w:pPr>
        <w:spacing w:after="0" w:line="22" w:lineRule="exact"/>
        <w:rPr>
          <w:sz w:val="20"/>
          <w:szCs w:val="20"/>
          <w:color w:val="auto"/>
        </w:rPr>
      </w:pPr>
    </w:p>
    <w:p>
      <w:pPr>
        <w:ind w:left="180" w:right="420" w:hanging="167"/>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broker/nominee non-vote</w:t>
      </w:r>
      <w:r>
        <w:rPr>
          <w:rFonts w:ascii="Arial" w:cs="Arial" w:eastAsia="Arial" w:hAnsi="Arial"/>
          <w:sz w:val="17"/>
          <w:szCs w:val="17"/>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Computershare</w:t>
      </w:r>
      <w:r>
        <w:rPr>
          <w:rFonts w:ascii="Arial" w:cs="Arial" w:eastAsia="Arial" w:hAnsi="Arial"/>
          <w:sz w:val="18"/>
          <w:szCs w:val="18"/>
          <w:color w:val="auto"/>
        </w:rPr>
        <w:t>” means Computershare Trust Company, N.A., our stock transfer agent and registrar.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CompX</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means CompX International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Contran</w:t>
      </w:r>
      <w:r>
        <w:rPr>
          <w:rFonts w:ascii="Arial" w:cs="Arial" w:eastAsia="Arial" w:hAnsi="Arial"/>
          <w:sz w:val="18"/>
          <w:szCs w:val="18"/>
          <w:color w:val="auto"/>
        </w:rPr>
        <w:t>” means Contran Corporation, the parent corporation of our consolidated tax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Dixie Rice</w:t>
      </w:r>
      <w:r>
        <w:rPr>
          <w:rFonts w:ascii="Arial" w:cs="Arial" w:eastAsia="Arial" w:hAnsi="Arial"/>
          <w:sz w:val="18"/>
          <w:szCs w:val="18"/>
          <w:color w:val="auto"/>
        </w:rPr>
        <w:t>” means Dixie Rice Agricultural L.L.C., one of our parent companies.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EWI</w:t>
      </w:r>
      <w:r>
        <w:rPr>
          <w:rFonts w:ascii="Arial" w:cs="Arial" w:eastAsia="Arial" w:hAnsi="Arial"/>
          <w:sz w:val="18"/>
          <w:szCs w:val="18"/>
          <w:color w:val="auto"/>
        </w:rPr>
        <w:t>” means EWI RE, Inc., a reinsurance brokerage and risk management corporation wholly owned by NL.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Family Trust</w:t>
      </w:r>
      <w:r>
        <w:rPr>
          <w:rFonts w:ascii="Arial" w:cs="Arial" w:eastAsia="Arial" w:hAnsi="Arial"/>
          <w:sz w:val="18"/>
          <w:szCs w:val="18"/>
          <w:color w:val="auto"/>
        </w:rPr>
        <w:t>” means the Harold C. Simmons Family Trust No. 2 of which Serena Simmons Connelly and Lisa K. Simmons are co-trustees.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directors</w:t>
      </w:r>
      <w:r>
        <w:rPr>
          <w:rFonts w:ascii="Arial" w:cs="Arial" w:eastAsia="Arial" w:hAnsi="Arial"/>
          <w:sz w:val="17"/>
          <w:szCs w:val="17"/>
          <w:color w:val="auto"/>
        </w:rPr>
        <w:t>” means the following directors: Thomas E. Barry, Terri L. Herrington, Ann Manix, Cecil H. Moore, Jr. and Mary A. Tidlund.</w:t>
      </w:r>
    </w:p>
    <w:p>
      <w:pPr>
        <w:spacing w:after="0" w:line="88" w:lineRule="exact"/>
        <w:rPr>
          <w:sz w:val="20"/>
          <w:szCs w:val="20"/>
          <w:color w:val="auto"/>
        </w:rPr>
      </w:pPr>
    </w:p>
    <w:p>
      <w:pPr>
        <w:ind w:left="180" w:right="10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ISA</w:t>
      </w:r>
      <w:r>
        <w:rPr>
          <w:rFonts w:ascii="Arial" w:cs="Arial" w:eastAsia="Arial" w:hAnsi="Arial"/>
          <w:sz w:val="18"/>
          <w:szCs w:val="18"/>
          <w:color w:val="auto"/>
        </w:rPr>
        <w:t>” means an intercorporate services agreement between Contran and a related company pursuant to which employees of Contran provide certain services, including executive officer services, to such related company on an annual fixed fee basis.</w:t>
      </w:r>
    </w:p>
    <w:p>
      <w:pPr>
        <w:spacing w:after="0" w:line="22" w:lineRule="exact"/>
        <w:rPr>
          <w:sz w:val="20"/>
          <w:szCs w:val="20"/>
          <w:color w:val="auto"/>
        </w:rPr>
      </w:pPr>
    </w:p>
    <w:p>
      <w:pPr>
        <w:ind w:left="180" w:right="36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Kronos Worldwide</w:t>
      </w:r>
      <w:r>
        <w:rPr>
          <w:rFonts w:ascii="Arial" w:cs="Arial" w:eastAsia="Arial" w:hAnsi="Arial"/>
          <w:sz w:val="18"/>
          <w:szCs w:val="18"/>
          <w:color w:val="auto"/>
        </w:rPr>
        <w:t>” means Kronos Worldwide, Inc., one of our publicly held sister corporations that is an international manufacturer of titanium dioxide products.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named executive officer</w:t>
      </w:r>
      <w:r>
        <w:rPr>
          <w:rFonts w:ascii="Arial" w:cs="Arial" w:eastAsia="Arial" w:hAnsi="Arial"/>
          <w:sz w:val="18"/>
          <w:szCs w:val="18"/>
          <w:color w:val="auto"/>
        </w:rPr>
        <w:t>” means any person named in the 2018 Summary Compensation Table in this proxy statement.</w:t>
      </w:r>
    </w:p>
    <w:p>
      <w:pPr>
        <w:spacing w:after="0" w:line="77" w:lineRule="exact"/>
        <w:rPr>
          <w:sz w:val="20"/>
          <w:szCs w:val="20"/>
          <w:color w:val="auto"/>
        </w:rPr>
      </w:pPr>
    </w:p>
    <w:p>
      <w:pPr>
        <w:ind w:left="180" w:right="26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NL</w:t>
      </w:r>
      <w:r>
        <w:rPr>
          <w:rFonts w:ascii="Arial" w:cs="Arial" w:eastAsia="Arial" w:hAnsi="Arial"/>
          <w:sz w:val="18"/>
          <w:szCs w:val="18"/>
          <w:color w:val="auto"/>
        </w:rPr>
        <w:t>” means NL Industries, Inc., one of our publicly held parent corporations that is a diversified holding company (i) of which we are a subsidiary and (ii) that holds a significant investment in Kronos Worldwide.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NLKW</w:t>
      </w:r>
      <w:r>
        <w:rPr>
          <w:rFonts w:ascii="Arial" w:cs="Arial" w:eastAsia="Arial" w:hAnsi="Arial"/>
          <w:sz w:val="18"/>
          <w:szCs w:val="18"/>
          <w:color w:val="auto"/>
        </w:rPr>
        <w:t>” means NLKW Holding, LLC, a wholly-owned subsidiary of NL, which holds a significant equity interest in Kronos Worldwide.</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NYSE American</w:t>
      </w:r>
      <w:r>
        <w:rPr>
          <w:rFonts w:ascii="Arial" w:cs="Arial" w:eastAsia="Arial" w:hAnsi="Arial"/>
          <w:sz w:val="17"/>
          <w:szCs w:val="17"/>
          <w:color w:val="auto"/>
        </w:rPr>
        <w:t>” means the NYSE American (formerly named NYSE MKT), the stock exchange on which our shares of class A common stock trade.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PCAOB”</w:t>
      </w:r>
      <w:r>
        <w:rPr>
          <w:rFonts w:ascii="Arial" w:cs="Arial" w:eastAsia="Arial" w:hAnsi="Arial"/>
          <w:sz w:val="16"/>
          <w:szCs w:val="16"/>
          <w:color w:val="auto"/>
        </w:rPr>
        <w:t xml:space="preserve"> means the Public Company Accounting Oversight Board, a private sector, non-profit corporation that oversees auditors of U.S. public companies.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PwC</w:t>
      </w:r>
      <w:r>
        <w:rPr>
          <w:rFonts w:ascii="Arial" w:cs="Arial" w:eastAsia="Arial" w:hAnsi="Arial"/>
          <w:sz w:val="18"/>
          <w:szCs w:val="18"/>
          <w:color w:val="auto"/>
        </w:rPr>
        <w:t>” means PricewaterhouseCoopers LLP, our independent registered public accounting firm.</w:t>
      </w:r>
    </w:p>
    <w:p>
      <w:pPr>
        <w:spacing w:after="0" w:line="90"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date</w:t>
      </w:r>
      <w:r>
        <w:rPr>
          <w:rFonts w:ascii="Arial" w:cs="Arial" w:eastAsia="Arial" w:hAnsi="Arial"/>
          <w:sz w:val="18"/>
          <w:szCs w:val="18"/>
          <w:color w:val="auto"/>
        </w:rPr>
        <w:t>” means the close of business on March 25, 2019, the date our board of directors set for the determination of stockholders entitled to notice of and to vote at the 2019 annual meeting of our stockholders.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RPT Policy</w:t>
      </w:r>
      <w:r>
        <w:rPr>
          <w:rFonts w:ascii="Arial" w:cs="Arial" w:eastAsia="Arial" w:hAnsi="Arial"/>
          <w:sz w:val="18"/>
          <w:szCs w:val="18"/>
          <w:color w:val="auto"/>
        </w:rPr>
        <w:t>” means the Amended and Restated CompX International Inc. Policy Regarding Related Party Transactions dated August 3, 2016.</w:t>
      </w:r>
    </w:p>
    <w:p>
      <w:pPr>
        <w:spacing w:after="0" w:line="77" w:lineRule="exact"/>
        <w:rPr>
          <w:sz w:val="20"/>
          <w:szCs w:val="20"/>
          <w:color w:val="auto"/>
        </w:rPr>
      </w:pPr>
    </w:p>
    <w:p>
      <w:pPr>
        <w:ind w:left="180" w:right="440" w:hanging="167"/>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Say-on-Pay</w:t>
      </w:r>
      <w:r>
        <w:rPr>
          <w:rFonts w:ascii="Arial" w:cs="Arial" w:eastAsia="Arial" w:hAnsi="Arial"/>
          <w:sz w:val="16"/>
          <w:szCs w:val="16"/>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Exchange Act</w:t>
      </w:r>
      <w:r>
        <w:rPr>
          <w:rFonts w:ascii="Arial" w:cs="Arial" w:eastAsia="Arial" w:hAnsi="Arial"/>
          <w:sz w:val="18"/>
          <w:szCs w:val="18"/>
          <w:color w:val="auto"/>
        </w:rPr>
        <w:t>” means the Securities Exchange Act of 1934, as amended.</w:t>
      </w:r>
    </w:p>
    <w:p>
      <w:pPr>
        <w:spacing w:after="0" w:line="77" w:lineRule="exact"/>
        <w:rPr>
          <w:sz w:val="20"/>
          <w:szCs w:val="20"/>
          <w:color w:val="auto"/>
        </w:rPr>
      </w:pPr>
    </w:p>
    <w:p>
      <w:pPr>
        <w:ind w:left="180" w:right="120" w:hanging="1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of record</w:t>
      </w:r>
      <w:r>
        <w:rPr>
          <w:rFonts w:ascii="Arial" w:cs="Arial" w:eastAsia="Arial" w:hAnsi="Arial"/>
          <w:sz w:val="18"/>
          <w:szCs w:val="18"/>
          <w:color w:val="auto"/>
        </w:rPr>
        <w:t>” means a stockholder of our class A common stock who holds shares in its name in certificate form or electronically with our transfer agent, Computershare.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Tall Pines</w:t>
      </w:r>
      <w:r>
        <w:rPr>
          <w:rFonts w:ascii="Arial" w:cs="Arial" w:eastAsia="Arial" w:hAnsi="Arial"/>
          <w:sz w:val="18"/>
          <w:szCs w:val="18"/>
          <w:color w:val="auto"/>
        </w:rPr>
        <w:t>” means Tall Pines Insurance Company, an indirect wholly-owned captive insurance subsidiary of Valhi.</w:t>
      </w:r>
    </w:p>
    <w:p>
      <w:pPr>
        <w:spacing w:after="0" w:line="77" w:lineRule="exact"/>
        <w:rPr>
          <w:sz w:val="20"/>
          <w:szCs w:val="20"/>
          <w:color w:val="auto"/>
        </w:rPr>
      </w:pPr>
    </w:p>
    <w:p>
      <w:pPr>
        <w:ind w:left="180" w:right="66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Valhi</w:t>
      </w:r>
      <w:r>
        <w:rPr>
          <w:rFonts w:ascii="Arial" w:cs="Arial" w:eastAsia="Arial" w:hAnsi="Arial"/>
          <w:sz w:val="18"/>
          <w:szCs w:val="18"/>
          <w:color w:val="auto"/>
        </w:rPr>
        <w:t>” means Valhi, Inc., one of our publicly held parent corporations that is a diversified holding company of which NL and Kronos Worldwide are subsidiaries.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5430 LBJ Freeway, Suite 1700</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2620</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providing this proxy statement in connection with the solicitation of proxies by and on behalf of our board of directors for use at our 2019 annual meeting of stockholders to be held on Wednesday, May 22, 2019 and at any adjournment or postponement of the meeting. We initiated the mailing of our 2019 annual meeting materials on or about April 18, 2019 to the holders of our class A common stock as of the close of business on March 25, 2019. Our mailed materials include:</w:t>
      </w:r>
    </w:p>
    <w:p>
      <w:pPr>
        <w:spacing w:after="0" w:line="7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accompanying notice of the 2019 annual meeting of stockholders;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2018 Annual Report to Stockholders, which includes our Annual Report on Form 10-K for the fiscal year ended December 31, 2018; and</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proxy card (or voting instruction form if you hold your shares through a brokerage firm or other nominee and not in your name in certificate form or electronically with our transfer agent, Computershare).</w:t>
      </w:r>
    </w:p>
    <w:p>
      <w:pPr>
        <w:spacing w:after="0" w:line="3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not incorporating the 2018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refer to the Glossary of Terms on page ii for the definitions of certain terms used in this proxy statement.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annual meeting, stockholders will vote on the following, as described in this proxy statement: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Proposal 1 – the election of the seven director nominees named in this proxy statement;</w:t>
      </w:r>
    </w:p>
    <w:p>
      <w:pPr>
        <w:spacing w:after="0" w:line="23" w:lineRule="exact"/>
        <w:rPr>
          <w:rFonts w:ascii="Arial" w:cs="Arial" w:eastAsia="Arial" w:hAnsi="Arial"/>
          <w:sz w:val="18"/>
          <w:szCs w:val="18"/>
          <w:color w:val="auto"/>
        </w:rPr>
      </w:pPr>
    </w:p>
    <w:p>
      <w:pPr>
        <w:ind w:left="980" w:hanging="324"/>
        <w:spacing w:after="0" w:line="261"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Proposal 2 – the adoption of a nonbinding advisory resolution that approves the named executive officer compensation described in this proxy statement (Say-on-Pay).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stockholders will vote on any other matter that may properly come before the meeting.</w:t>
      </w:r>
    </w:p>
    <w:p>
      <w:pPr>
        <w:spacing w:after="0" w:line="22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that I vote?</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of directors recommends that you vote FOR: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election of each of the nominees for director named in this proxy statement;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approval and adoption of proposal 2 (Say-on-Pay).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Who is allowed to vote at the annual meeting?</w:t>
      </w:r>
    </w:p>
    <w:p>
      <w:pPr>
        <w:spacing w:after="0" w:line="229" w:lineRule="exact"/>
        <w:rPr>
          <w:sz w:val="20"/>
          <w:szCs w:val="20"/>
          <w:color w:val="auto"/>
        </w:rPr>
      </w:pPr>
    </w:p>
    <w:p>
      <w:pPr>
        <w:ind w:left="652" w:hanging="652"/>
        <w:spacing w:after="0" w:line="259"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has set the close of business on March 25, 2019 as the record date for the determination of stockholders entitled to notice of and to vote at the meeting. Only holders of our class A common stock as of the close of business on the record date are entitled to vote at the meeting. On the record date, 12,435,557 shares of our class A common stock were issued and outstanding. Each share of our class A common stock entitles its holder to one vote.</w:t>
      </w:r>
    </w:p>
    <w:p>
      <w:pPr>
        <w:spacing w:after="0" w:line="183"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stockholder of record?</w:t>
      </w:r>
    </w:p>
    <w:p>
      <w:pPr>
        <w:spacing w:after="0" w:line="229" w:lineRule="exact"/>
        <w:rPr>
          <w:sz w:val="20"/>
          <w:szCs w:val="20"/>
          <w:color w:val="auto"/>
        </w:rPr>
      </w:pPr>
    </w:p>
    <w:p>
      <w:pPr>
        <w:ind w:left="652" w:right="200" w:hanging="652"/>
        <w:spacing w:after="0" w:line="30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you hold shares of our class A common stock in your name in certificate form or electronically with our transfer agent, Computershare, and not through a brokerage firm or other nominee, you are a stockholder of record. As a stockholder of record, you may:</w:t>
      </w:r>
    </w:p>
    <w:p>
      <w:pPr>
        <w:spacing w:after="0" w:line="38" w:lineRule="exact"/>
        <w:rPr>
          <w:rFonts w:ascii="Arial" w:cs="Arial" w:eastAsia="Arial" w:hAnsi="Arial"/>
          <w:sz w:val="17"/>
          <w:szCs w:val="17"/>
          <w:color w:val="auto"/>
        </w:rPr>
      </w:pPr>
    </w:p>
    <w:p>
      <w:pPr>
        <w:ind w:left="1292" w:hanging="644"/>
        <w:spacing w:after="0"/>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vote over the internet at </w:t>
      </w:r>
      <w:r>
        <w:rPr>
          <w:rFonts w:ascii="Arial" w:cs="Arial" w:eastAsia="Arial" w:hAnsi="Arial"/>
          <w:sz w:val="18"/>
          <w:szCs w:val="18"/>
          <w:b w:val="1"/>
          <w:bCs w:val="1"/>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vote by telephone using the voting procedures set forth on your proxy card;</w:t>
      </w:r>
    </w:p>
    <w:p>
      <w:pPr>
        <w:spacing w:after="0" w:line="225" w:lineRule="exact"/>
        <w:rPr>
          <w:rFonts w:ascii="Arial" w:cs="Arial" w:eastAsia="Arial" w:hAnsi="Arial"/>
          <w:sz w:val="18"/>
          <w:szCs w:val="18"/>
          <w:color w:val="auto"/>
        </w:rPr>
      </w:pPr>
    </w:p>
    <w:p>
      <w:pPr>
        <w:ind w:left="1292" w:right="220" w:hanging="644"/>
        <w:spacing w:after="0" w:line="277" w:lineRule="auto"/>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instruct the agents named on your proxy card how to vote your shares by completing, signing and mailing the enclosed proxy card in the envelope provided; 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200" w:lineRule="exact"/>
        <w:rPr>
          <w:sz w:val="20"/>
          <w:szCs w:val="20"/>
          <w:color w:val="auto"/>
        </w:rPr>
      </w:pPr>
    </w:p>
    <w:p>
      <w:pPr>
        <w:spacing w:after="0" w:line="237" w:lineRule="exact"/>
        <w:rPr>
          <w:sz w:val="20"/>
          <w:szCs w:val="20"/>
          <w:color w:val="auto"/>
        </w:rPr>
      </w:pPr>
    </w:p>
    <w:p>
      <w:pPr>
        <w:ind w:left="652" w:right="380" w:hanging="652"/>
        <w:spacing w:after="0" w:line="282" w:lineRule="auto"/>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consequences if I am a stockholder of record and I execute my proxy card but do not indicate how I would like my shares voted for one or more of the director nominees named in this proxy statement or proposal 2?</w:t>
      </w:r>
    </w:p>
    <w:p>
      <w:pPr>
        <w:spacing w:after="0" w:line="166" w:lineRule="exact"/>
        <w:rPr>
          <w:sz w:val="20"/>
          <w:szCs w:val="20"/>
          <w:color w:val="auto"/>
        </w:rPr>
      </w:pPr>
    </w:p>
    <w:p>
      <w:pPr>
        <w:ind w:left="652" w:right="740" w:hanging="652"/>
        <w:spacing w:after="0" w:line="277"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you are a stockholder of record, the agents named on your proxy card will vote your shares on such uninstructed nominee or proposal as recommended by the board of directors in this proxy statement.</w:t>
      </w:r>
    </w:p>
    <w:p>
      <w:pPr>
        <w:spacing w:after="0" w:line="166"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my shares are held through a brokerage firm or other nominee?</w:t>
      </w:r>
    </w:p>
    <w:p>
      <w:pPr>
        <w:spacing w:after="0" w:line="229" w:lineRule="exact"/>
        <w:rPr>
          <w:sz w:val="20"/>
          <w:szCs w:val="20"/>
          <w:color w:val="auto"/>
        </w:rPr>
      </w:pPr>
    </w:p>
    <w:p>
      <w:pPr>
        <w:ind w:left="652" w:right="60" w:hanging="652"/>
        <w:spacing w:after="0" w:line="264"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81" w:lineRule="exact"/>
        <w:rPr>
          <w:rFonts w:ascii="Arial" w:cs="Arial" w:eastAsia="Arial" w:hAnsi="Arial"/>
          <w:sz w:val="18"/>
          <w:szCs w:val="18"/>
          <w:color w:val="auto"/>
        </w:rPr>
      </w:pPr>
    </w:p>
    <w:p>
      <w:pPr>
        <w:ind w:left="652" w:right="60"/>
        <w:spacing w:after="0" w:line="290"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Brokerage firms or other nominees may not vote your shares on the election of a director nominee or proposal 2 in the absence of your specific instructions as to how to vote. </w:t>
      </w:r>
      <w:r>
        <w:rPr>
          <w:rFonts w:ascii="Arial" w:cs="Arial" w:eastAsia="Arial" w:hAnsi="Arial"/>
          <w:sz w:val="16"/>
          <w:szCs w:val="16"/>
          <w:b w:val="1"/>
          <w:bCs w:val="1"/>
          <w:color w:val="auto"/>
        </w:rPr>
        <w:t>We encourage you to provide instructions to your brokerage firm or other nominee regarding the voting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your shares. </w:t>
      </w:r>
      <w:r>
        <w:rPr>
          <w:rFonts w:ascii="Arial" w:cs="Arial" w:eastAsia="Arial" w:hAnsi="Arial"/>
          <w:sz w:val="16"/>
          <w:szCs w:val="16"/>
          <w:i w:val="1"/>
          <w:iCs w:val="1"/>
          <w:color w:val="auto"/>
        </w:rPr>
        <w:t>If you do not instruct your brokerage firm or other nominee how to vote with respect to the election of a director nominee or proposal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2, your brokerage firm or other nominee may not vote with respect to the election of such director nominee or on proposal 2 and your vote will be counted as a “broker/nominee non-vote.” </w:t>
      </w:r>
      <w:r>
        <w:rPr>
          <w:rFonts w:ascii="Arial" w:cs="Arial" w:eastAsia="Arial" w:hAnsi="Arial"/>
          <w:sz w:val="16"/>
          <w:szCs w:val="16"/>
          <w:color w:val="auto"/>
        </w:rPr>
        <w:t>“Broker/nominee non-votes” are non-votes by a brokerage firm or other nominee for shares held in a</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w:t>
      </w:r>
    </w:p>
    <w:p>
      <w:pPr>
        <w:spacing w:after="0" w:line="162"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through a brokerage firm or other nominee, how may I vote in person at the annual meeting?</w:t>
      </w:r>
    </w:p>
    <w:p>
      <w:pPr>
        <w:spacing w:after="0" w:line="229" w:lineRule="exact"/>
        <w:rPr>
          <w:sz w:val="20"/>
          <w:szCs w:val="20"/>
          <w:color w:val="auto"/>
        </w:rPr>
      </w:pPr>
    </w:p>
    <w:p>
      <w:pPr>
        <w:ind w:left="652" w:right="280" w:hanging="652"/>
        <w:spacing w:after="0" w:line="27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you wish to vote in person at the annual meeting, you will need to follow the instructions on your voting instruction form on how to obtain the appropriate documents to vote in person at the meeting.</w:t>
      </w:r>
    </w:p>
    <w:p>
      <w:pPr>
        <w:spacing w:after="0" w:line="166"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ind w:left="652" w:right="320" w:hanging="652"/>
        <w:spacing w:after="0" w:line="277"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has appointed Alliance Advisors to ascertain the number of shares represented, tabulate the vote and serve as inspector of election for the meeting.</w:t>
      </w:r>
    </w:p>
    <w:p>
      <w:pPr>
        <w:spacing w:after="0" w:line="166"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364" w:right="299" w:bottom="1440" w:gutter="0" w:footer="0" w:header="0"/>
        </w:sectPr>
      </w:pPr>
    </w:p>
    <w:bookmarkStart w:id="7" w:name="page8"/>
    <w:bookmarkEnd w:id="7"/>
    <w:p>
      <w:pPr>
        <w:ind w:left="652" w:hanging="652"/>
        <w:spacing w:after="0"/>
        <w:tabs>
          <w:tab w:leader="none" w:pos="6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29"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Yes. All proxy cards, ballots or voting instructions will be kept confidential in accordance with our bylaws.</w:t>
      </w:r>
    </w:p>
    <w:p>
      <w:pPr>
        <w:spacing w:after="0" w:line="221"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proxy instructions if I am a stockholder of record?</w:t>
      </w:r>
    </w:p>
    <w:p>
      <w:pPr>
        <w:spacing w:after="0" w:line="229" w:lineRule="exact"/>
        <w:rPr>
          <w:sz w:val="20"/>
          <w:szCs w:val="20"/>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are a stockholder of record, you may change or revoke your proxy instructions in any of the following ways:</w:t>
      </w:r>
    </w:p>
    <w:p>
      <w:pPr>
        <w:spacing w:after="0" w:line="117"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delivering to Alliance Advisors a written revocation;</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submitting another proxy card bearing a later date;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changing your vote on </w:t>
      </w:r>
      <w:r>
        <w:rPr>
          <w:rFonts w:ascii="Arial" w:cs="Arial" w:eastAsia="Arial" w:hAnsi="Arial"/>
          <w:sz w:val="18"/>
          <w:szCs w:val="18"/>
          <w:b w:val="1"/>
          <w:bCs w:val="1"/>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using the telephone voting procedures set forth on your proxy card;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voting instructions if my shares are held through a brokerage firm or other nominee?</w:t>
      </w:r>
    </w:p>
    <w:p>
      <w:pPr>
        <w:spacing w:after="0" w:line="229" w:lineRule="exact"/>
        <w:rPr>
          <w:sz w:val="20"/>
          <w:szCs w:val="20"/>
          <w:color w:val="auto"/>
        </w:rPr>
      </w:pPr>
    </w:p>
    <w:p>
      <w:pPr>
        <w:ind w:left="652" w:right="180" w:hanging="652"/>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93"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ind w:left="652" w:right="460" w:hanging="652"/>
        <w:spacing w:after="0" w:line="277"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quorum is the presence, in person or by proxy, of the holders of a majority of the votes from holders of the outstanding shares of our class A common stock entitled to vote at the meeting.</w:t>
      </w:r>
    </w:p>
    <w:p>
      <w:pPr>
        <w:spacing w:after="0" w:line="170" w:lineRule="exact"/>
        <w:rPr>
          <w:rFonts w:ascii="Arial" w:cs="Arial" w:eastAsia="Arial" w:hAnsi="Arial"/>
          <w:sz w:val="18"/>
          <w:szCs w:val="18"/>
          <w:color w:val="auto"/>
        </w:rPr>
      </w:pPr>
    </w:p>
    <w:p>
      <w:pPr>
        <w:ind w:left="652" w:right="340"/>
        <w:spacing w:after="0" w:line="277" w:lineRule="auto"/>
        <w:rPr>
          <w:rFonts w:ascii="Arial" w:cs="Arial" w:eastAsia="Arial" w:hAnsi="Arial"/>
          <w:sz w:val="18"/>
          <w:szCs w:val="18"/>
          <w:color w:val="auto"/>
        </w:rPr>
      </w:pPr>
      <w:r>
        <w:rPr>
          <w:rFonts w:ascii="Arial" w:cs="Arial" w:eastAsia="Arial" w:hAnsi="Arial"/>
          <w:sz w:val="18"/>
          <w:szCs w:val="18"/>
          <w:color w:val="auto"/>
        </w:rPr>
        <w:t>Shares that are voted “abstain” or “withheld” are counted as present and entitled to vote and are, therefore, included for purposes of determining whether a quorum is present at the annual meeting.</w:t>
      </w:r>
    </w:p>
    <w:p>
      <w:pPr>
        <w:spacing w:after="0" w:line="170" w:lineRule="exact"/>
        <w:rPr>
          <w:rFonts w:ascii="Arial" w:cs="Arial" w:eastAsia="Arial" w:hAnsi="Arial"/>
          <w:sz w:val="18"/>
          <w:szCs w:val="18"/>
          <w:color w:val="auto"/>
        </w:rPr>
      </w:pPr>
    </w:p>
    <w:p>
      <w:pPr>
        <w:ind w:left="652"/>
        <w:spacing w:after="0" w:line="255" w:lineRule="auto"/>
        <w:rPr>
          <w:rFonts w:ascii="Arial" w:cs="Arial" w:eastAsia="Arial" w:hAnsi="Arial"/>
          <w:sz w:val="18"/>
          <w:szCs w:val="18"/>
          <w:color w:val="auto"/>
        </w:rPr>
      </w:pPr>
      <w:r>
        <w:rPr>
          <w:rFonts w:ascii="Arial" w:cs="Arial" w:eastAsia="Arial" w:hAnsi="Arial"/>
          <w:sz w:val="18"/>
          <w:szCs w:val="18"/>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such instructed shares will be counted as present and entitled to cast a vote and are, therefore, included for purposes of determining whether a quorum is present at the annual meeting.</w:t>
      </w:r>
    </w:p>
    <w:p>
      <w:pPr>
        <w:spacing w:after="0" w:line="189" w:lineRule="exact"/>
        <w:rPr>
          <w:sz w:val="20"/>
          <w:szCs w:val="20"/>
          <w:color w:val="auto"/>
        </w:rPr>
      </w:pPr>
    </w:p>
    <w:p>
      <w:pPr>
        <w:ind w:left="652" w:right="40"/>
        <w:spacing w:after="0" w:line="264" w:lineRule="auto"/>
        <w:rPr>
          <w:sz w:val="20"/>
          <w:szCs w:val="20"/>
          <w:color w:val="auto"/>
        </w:rPr>
      </w:pPr>
      <w:r>
        <w:rPr>
          <w:rFonts w:ascii="Arial" w:cs="Arial" w:eastAsia="Arial" w:hAnsi="Arial"/>
          <w:sz w:val="18"/>
          <w:szCs w:val="18"/>
          <w:color w:val="auto"/>
        </w:rPr>
        <w:t>NL directly held approximately 86.5% of the outstanding shares of our class A common stock as of the record date. NL has indicated its intention to have its shares of our common stock represented at the meeting. If NL attends the meeting in person or by proxy, the meeting will have a quorum present.</w:t>
      </w:r>
    </w:p>
    <w:p>
      <w:pPr>
        <w:spacing w:after="0" w:line="177"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elect a director nominee?</w:t>
      </w:r>
    </w:p>
    <w:p>
      <w:pPr>
        <w:spacing w:after="0" w:line="229" w:lineRule="exact"/>
        <w:rPr>
          <w:sz w:val="20"/>
          <w:szCs w:val="20"/>
          <w:color w:val="auto"/>
        </w:rPr>
      </w:pPr>
    </w:p>
    <w:p>
      <w:pPr>
        <w:ind w:left="652" w:hanging="652"/>
        <w:spacing w:after="0" w:line="257"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plurality of affirmative votes of the holders of our outstanding class A shares of common stock represented and entitled to vote at the meeting is necessary to elect each director nominee. You may indicate on your proxy card or in your voting instructions that you desire to withhold authority to vote for any of the director nominees. Since director nominees need only receive a plurality of affirmative votes from the holders represented and entitled to vote at the meeting to be elected, a vote withheld or a broker/nominee non-vote regarding a particular nominee will not affect the election of such director nominee.</w:t>
      </w:r>
    </w:p>
    <w:p>
      <w:pPr>
        <w:spacing w:after="0" w:line="188" w:lineRule="exact"/>
        <w:rPr>
          <w:sz w:val="20"/>
          <w:szCs w:val="20"/>
          <w:color w:val="auto"/>
        </w:rPr>
      </w:pPr>
    </w:p>
    <w:p>
      <w:pPr>
        <w:ind w:left="652" w:right="40"/>
        <w:spacing w:after="0" w:line="264"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3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823" w:right="279" w:bottom="1440" w:gutter="0" w:footer="0" w:header="0"/>
        </w:sectPr>
      </w:pPr>
    </w:p>
    <w:bookmarkStart w:id="8" w:name="page9"/>
    <w:bookmarkEnd w:id="8"/>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adopt and approve proposal 2 (Say-on-Pay)?</w:t>
      </w:r>
    </w:p>
    <w:p>
      <w:pPr>
        <w:spacing w:after="0" w:line="229" w:lineRule="exact"/>
        <w:rPr>
          <w:sz w:val="20"/>
          <w:szCs w:val="20"/>
          <w:color w:val="auto"/>
        </w:rPr>
      </w:pPr>
    </w:p>
    <w:p>
      <w:pPr>
        <w:ind w:left="652" w:hanging="652"/>
        <w:spacing w:after="0" w:line="276" w:lineRule="auto"/>
        <w:tabs>
          <w:tab w:leader="none" w:pos="6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72" w:lineRule="exact"/>
        <w:rPr>
          <w:rFonts w:ascii="Arial" w:cs="Arial" w:eastAsia="Arial" w:hAnsi="Arial"/>
          <w:sz w:val="17"/>
          <w:szCs w:val="17"/>
          <w:color w:val="auto"/>
        </w:rPr>
      </w:pPr>
    </w:p>
    <w:p>
      <w:pPr>
        <w:ind w:left="652" w:right="260"/>
        <w:spacing w:after="0" w:line="264" w:lineRule="auto"/>
        <w:rPr>
          <w:rFonts w:ascii="Arial" w:cs="Arial" w:eastAsia="Arial" w:hAnsi="Arial"/>
          <w:sz w:val="17"/>
          <w:szCs w:val="17"/>
          <w:color w:val="auto"/>
        </w:rPr>
      </w:pPr>
      <w:r>
        <w:rPr>
          <w:rFonts w:ascii="Arial" w:cs="Arial" w:eastAsia="Arial" w:hAnsi="Arial"/>
          <w:sz w:val="18"/>
          <w:szCs w:val="18"/>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77" w:lineRule="exact"/>
        <w:rPr>
          <w:sz w:val="20"/>
          <w:szCs w:val="20"/>
          <w:color w:val="auto"/>
        </w:rPr>
      </w:pPr>
    </w:p>
    <w:p>
      <w:pPr>
        <w:ind w:left="652" w:hanging="652"/>
        <w:spacing w:after="0"/>
        <w:tabs>
          <w:tab w:leader="none" w:pos="6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approve any other matter to come before the meeting?</w:t>
      </w:r>
    </w:p>
    <w:p>
      <w:pPr>
        <w:spacing w:after="0" w:line="229" w:lineRule="exact"/>
        <w:rPr>
          <w:sz w:val="20"/>
          <w:szCs w:val="20"/>
          <w:color w:val="auto"/>
        </w:rPr>
      </w:pPr>
    </w:p>
    <w:p>
      <w:pPr>
        <w:ind w:left="652" w:hanging="652"/>
        <w:spacing w:after="0" w:line="259" w:lineRule="auto"/>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p>
      <w:pPr>
        <w:spacing w:after="0" w:line="210" w:lineRule="exact"/>
        <w:rPr>
          <w:sz w:val="20"/>
          <w:szCs w:val="20"/>
          <w:color w:val="auto"/>
        </w:rPr>
      </w:pPr>
    </w:p>
    <w:p>
      <w:pPr>
        <w:ind w:left="652" w:hanging="652"/>
        <w:spacing w:after="0"/>
        <w:tabs>
          <w:tab w:leader="none" w:pos="652"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If I am a stockholder of record, how will the agents named on my proxy card vote on any other matter to come before the meeting?</w:t>
      </w:r>
    </w:p>
    <w:p>
      <w:pPr>
        <w:spacing w:after="0" w:line="241" w:lineRule="exact"/>
        <w:rPr>
          <w:sz w:val="20"/>
          <w:szCs w:val="20"/>
          <w:color w:val="auto"/>
        </w:rPr>
      </w:pPr>
    </w:p>
    <w:p>
      <w:pPr>
        <w:ind w:left="652" w:right="120" w:hanging="652"/>
        <w:spacing w:after="0" w:line="277"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you are a stockholder of record and to the extent allowed by applicable law, the agents named on your proxy card will vote in their discretion on any other matter that may properly come before the meeting.</w:t>
      </w:r>
    </w:p>
    <w:p>
      <w:pPr>
        <w:spacing w:after="0" w:line="166"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for the cost of soliciting the proxies?</w:t>
      </w:r>
    </w:p>
    <w:p>
      <w:pPr>
        <w:spacing w:after="0" w:line="121" w:lineRule="exact"/>
        <w:rPr>
          <w:sz w:val="20"/>
          <w:szCs w:val="20"/>
          <w:color w:val="auto"/>
        </w:rPr>
      </w:pPr>
    </w:p>
    <w:p>
      <w:pPr>
        <w:ind w:left="652" w:right="80" w:hanging="652"/>
        <w:spacing w:after="0" w:line="25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p>
      <w:pPr>
        <w:spacing w:after="0" w:line="143" w:lineRule="exact"/>
        <w:rPr>
          <w:sz w:val="20"/>
          <w:szCs w:val="20"/>
          <w:color w:val="auto"/>
        </w:rPr>
      </w:pPr>
    </w:p>
    <w:p>
      <w:pPr>
        <w:jc w:val="center"/>
        <w:ind w:right="-9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12"/>
          </w:cols>
          <w:pgMar w:left="248"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CONTROLLING STOCKHOLDER</w:t>
      </w:r>
    </w:p>
    <w:p>
      <w:pPr>
        <w:spacing w:after="0" w:line="12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NL directly held approximately 86.5%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If NL attends the meeting in person or by proxy and votes as indicated, the meeting will have a quorum present and the stockholders will elect all of the nominees named in this proxy statement to the board of directors and approve proposal 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Ownership of CompX</w:t>
      </w:r>
      <w:r>
        <w:rPr>
          <w:rFonts w:ascii="Arial" w:cs="Arial" w:eastAsia="Arial" w:hAnsi="Arial"/>
          <w:sz w:val="18"/>
          <w:szCs w:val="18"/>
          <w:color w:val="auto"/>
        </w:rPr>
        <w:t>. The following table and footnotes set forth as of the record date the beneficial ownership, as defined by regulations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 of our class A common stock held by each individual, entity or group known to us to own beneficially more than 5% of the outstanding shares of our class A common stock, each director, each named executive officer and all of our current directors and executive officers as a group. See footnote 3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28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CompX Class A Common Stock (1)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80" w:type="dxa"/>
            <w:vAlign w:val="bottom"/>
          </w:tcPr>
          <w:p>
            <w:pPr>
              <w:jc w:val="right"/>
              <w:ind w:right="450"/>
              <w:spacing w:after="0" w:line="198" w:lineRule="exact"/>
              <w:rPr>
                <w:sz w:val="20"/>
                <w:szCs w:val="20"/>
                <w:color w:val="auto"/>
              </w:rPr>
            </w:pPr>
            <w:r>
              <w:rPr>
                <w:rFonts w:ascii="Arial" w:cs="Arial" w:eastAsia="Arial" w:hAnsi="Arial"/>
                <w:sz w:val="18"/>
                <w:szCs w:val="18"/>
                <w:b w:val="1"/>
                <w:bCs w:val="1"/>
                <w:color w:val="auto"/>
              </w:rPr>
              <w:t>Amount and Nature of</w:t>
            </w:r>
          </w:p>
        </w:tc>
        <w:tc>
          <w:tcPr>
            <w:tcW w:w="1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gridSpan w:val="2"/>
          </w:tcPr>
          <w:p>
            <w:pPr>
              <w:ind w:left="2700"/>
              <w:spacing w:after="0"/>
              <w:rPr>
                <w:sz w:val="20"/>
                <w:szCs w:val="20"/>
                <w:color w:val="auto"/>
              </w:rPr>
            </w:pPr>
            <w:r>
              <w:rPr>
                <w:rFonts w:ascii="Arial" w:cs="Arial" w:eastAsia="Arial" w:hAnsi="Arial"/>
                <w:sz w:val="18"/>
                <w:szCs w:val="18"/>
                <w:b w:val="1"/>
                <w:bCs w:val="1"/>
                <w:color w:val="auto"/>
              </w:rPr>
              <w:t>Beneficial Owner</w:t>
            </w:r>
          </w:p>
        </w:tc>
        <w:tc>
          <w:tcPr>
            <w:tcW w:w="2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Beneficial Ownership</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 (2)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Harold C. Simmons Family Trust No. 2; Lisa K. Simmons and</w:t>
            </w:r>
          </w:p>
        </w:tc>
        <w:tc>
          <w:tcPr>
            <w:tcW w:w="26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Serena Simmons Connelly as co-trustees</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10,764,004(3)(4)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86.6%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2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2,000(3)(4)</w:t>
            </w: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2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3,350(5)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David A. Bowers</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11,350(5)</w:t>
            </w: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2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5,350(5)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Robert D. Graham</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1,000(5)</w:t>
            </w: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2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1,350(5)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Ann Manix</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3,525(5)</w:t>
            </w: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Cecil H. Moore, Jr.</w:t>
            </w:r>
          </w:p>
        </w:tc>
        <w:tc>
          <w:tcPr>
            <w:tcW w:w="2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3,350(5)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Mary A. Tidlund</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3,350(5)</w:t>
            </w:r>
          </w:p>
        </w:tc>
        <w:tc>
          <w:tcPr>
            <w:tcW w:w="16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gridSpan w:val="2"/>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James W. Brown</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-0-(5)</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C. James</w:t>
            </w:r>
          </w:p>
        </w:tc>
        <w:tc>
          <w:tcPr>
            <w:tcW w:w="2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Andrew B. Nace</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-0-(5)</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2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directors and executive officers as a group (16 persons)</w:t>
            </w:r>
          </w:p>
        </w:tc>
        <w:tc>
          <w:tcPr>
            <w:tcW w:w="2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32,825(5)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6920" w:type="dxa"/>
            <w:vAlign w:val="bottom"/>
            <w:gridSpan w:val="2"/>
          </w:tcPr>
          <w:p>
            <w:pPr>
              <w:ind w:left="620"/>
              <w:spacing w:after="0"/>
              <w:rPr>
                <w:sz w:val="20"/>
                <w:szCs w:val="20"/>
                <w:color w:val="auto"/>
              </w:rPr>
            </w:pPr>
            <w:r>
              <w:rPr>
                <w:rFonts w:ascii="Arial" w:cs="Arial" w:eastAsia="Arial" w:hAnsi="Arial"/>
                <w:sz w:val="18"/>
                <w:szCs w:val="18"/>
                <w:color w:val="auto"/>
              </w:rPr>
              <w:t>Less than 1%.</w:t>
            </w:r>
          </w:p>
        </w:tc>
        <w:tc>
          <w:tcPr>
            <w:tcW w:w="2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652"/>
        <w:spacing w:after="0" w:line="279"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Other than the investment funds, the business address for each listed person or entity is Three Lincoln Centre, 5430 LBJ Freeway, Suite 1700, Dallas, Texas 75240-2620.</w:t>
      </w:r>
    </w:p>
    <w:p>
      <w:pPr>
        <w:spacing w:after="0" w:line="171"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percentages set forth above and in the following footnotes are based on 12,435,557 shares of our class A common stock outstanding as of the record 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is a description of certain related entities or persons that may be deemed to beneficially own outstanding shares of our common stock.</w:t>
      </w:r>
    </w:p>
    <w:p>
      <w:pPr>
        <w:spacing w:after="0" w:line="248" w:lineRule="exact"/>
        <w:rPr>
          <w:rFonts w:ascii="Arial" w:cs="Arial" w:eastAsia="Arial" w:hAnsi="Arial"/>
          <w:sz w:val="16"/>
          <w:szCs w:val="16"/>
          <w:color w:val="auto"/>
        </w:rPr>
      </w:pPr>
    </w:p>
    <w:p>
      <w:pPr>
        <w:ind w:left="660" w:right="160"/>
        <w:spacing w:after="0" w:line="257" w:lineRule="auto"/>
        <w:rPr>
          <w:rFonts w:ascii="Arial" w:cs="Arial" w:eastAsia="Arial" w:hAnsi="Arial"/>
          <w:sz w:val="16"/>
          <w:szCs w:val="16"/>
          <w:color w:val="auto"/>
        </w:rPr>
      </w:pPr>
      <w:r>
        <w:rPr>
          <w:rFonts w:ascii="Arial" w:cs="Arial" w:eastAsia="Arial" w:hAnsi="Arial"/>
          <w:sz w:val="18"/>
          <w:szCs w:val="18"/>
          <w:color w:val="auto"/>
        </w:rPr>
        <w:t>All of Contran’s outstanding voting stock is held by the Family Trust or is held directly by Lisa K. Simmons and Serena Simmons Connelly or entities related to them. As co-trustees of the Family Trust, each of Ms. Simmons and Ms. Connelly has the shared power to vote and direct the disposition of the shares of Contran stock held by the Family Trust, and Ms. Simmons and Ms. Connelly each has the power to vote and direct the disposition of the shares held directly by them and the entities related to them. Ms. Simmons and Ms. Connelly are sisters and also serve as the co-chairs of the board of directors of Contran.</w:t>
      </w:r>
    </w:p>
    <w:p>
      <w:pPr>
        <w:spacing w:after="0" w:line="80" w:lineRule="exact"/>
        <w:rPr>
          <w:rFonts w:ascii="Arial" w:cs="Arial" w:eastAsia="Arial" w:hAnsi="Arial"/>
          <w:sz w:val="16"/>
          <w:szCs w:val="16"/>
          <w:color w:val="auto"/>
        </w:rPr>
      </w:pPr>
    </w:p>
    <w:p>
      <w:pPr>
        <w:ind w:left="660" w:right="160"/>
        <w:spacing w:after="0" w:line="277" w:lineRule="auto"/>
        <w:rPr>
          <w:rFonts w:ascii="Arial" w:cs="Arial" w:eastAsia="Arial" w:hAnsi="Arial"/>
          <w:sz w:val="16"/>
          <w:szCs w:val="16"/>
          <w:color w:val="auto"/>
        </w:rPr>
      </w:pPr>
      <w:r>
        <w:rPr>
          <w:rFonts w:ascii="Arial" w:cs="Arial" w:eastAsia="Arial" w:hAnsi="Arial"/>
          <w:sz w:val="18"/>
          <w:szCs w:val="18"/>
          <w:color w:val="auto"/>
        </w:rPr>
        <w:t>Contran is the sole owner of Valhi’s outstanding shares of non-voting preferred stock. Contran is also the holder of the sole membership interest of Dixie Rice and may be deemed to control Dixie Rice.</w:t>
      </w:r>
    </w:p>
    <w:p>
      <w:pPr>
        <w:sectPr>
          <w:pgSz w:w="11900" w:h="16838" w:orient="portrait"/>
          <w:cols w:equalWidth="0" w:num="1">
            <w:col w:w="11420"/>
          </w:cols>
          <w:pgMar w:left="240" w:top="121"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ind w:left="660" w:right="280"/>
        <w:spacing w:after="0" w:line="277" w:lineRule="auto"/>
        <w:rPr>
          <w:sz w:val="20"/>
          <w:szCs w:val="20"/>
          <w:color w:val="auto"/>
        </w:rPr>
      </w:pPr>
      <w:r>
        <w:rPr>
          <w:rFonts w:ascii="Arial" w:cs="Arial" w:eastAsia="Arial" w:hAnsi="Arial"/>
          <w:sz w:val="18"/>
          <w:szCs w:val="18"/>
          <w:color w:val="auto"/>
        </w:rPr>
        <w:t>Ms. Simmons and Ms. Connelly directly hold, or are related to the following person or entities that directly hold, the following percentages of the outstanding shares of NL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Kronos Worldwide</w:t>
            </w:r>
          </w:p>
        </w:tc>
        <w:tc>
          <w:tcPr>
            <w:tcW w:w="4720" w:type="dxa"/>
            <w:vAlign w:val="bottom"/>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0" w:type="dxa"/>
            <w:vAlign w:val="bottom"/>
            <w:gridSpan w:val="2"/>
          </w:tcPr>
          <w:p>
            <w:pPr>
              <w:ind w:left="640"/>
              <w:spacing w:after="0" w:line="201" w:lineRule="exact"/>
              <w:rPr>
                <w:sz w:val="20"/>
                <w:szCs w:val="20"/>
                <w:color w:val="auto"/>
              </w:rPr>
            </w:pPr>
            <w:r>
              <w:rPr>
                <w:rFonts w:ascii="Arial" w:cs="Arial" w:eastAsia="Arial" w:hAnsi="Arial"/>
                <w:sz w:val="18"/>
                <w:szCs w:val="18"/>
                <w:color w:val="auto"/>
                <w:w w:val="92"/>
              </w:rPr>
              <w:t>Ms. Simmons and Ms. Connelly directly hold, or are related to the following entities that directly hold, the following percentages of the outstanding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640"/>
              <w:spacing w:after="0"/>
              <w:rPr>
                <w:sz w:val="20"/>
                <w:szCs w:val="20"/>
                <w:color w:val="auto"/>
              </w:rPr>
            </w:pPr>
            <w:r>
              <w:rPr>
                <w:rFonts w:ascii="Arial" w:cs="Arial" w:eastAsia="Arial" w:hAnsi="Arial"/>
                <w:sz w:val="18"/>
                <w:szCs w:val="18"/>
                <w:color w:val="auto"/>
              </w:rPr>
              <w:t>shares of Kronos Worldwide common stock:</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47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NLKW</w:t>
            </w:r>
          </w:p>
        </w:tc>
        <w:tc>
          <w:tcPr>
            <w:tcW w:w="4720" w:type="dxa"/>
            <w:vAlign w:val="bottom"/>
          </w:tcPr>
          <w:p>
            <w:pPr>
              <w:ind w:left="27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Contran</w:t>
            </w:r>
          </w:p>
        </w:tc>
        <w:tc>
          <w:tcPr>
            <w:tcW w:w="47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rPr>
              <w:t>Serena Simmons Connelly</w:t>
            </w:r>
          </w:p>
        </w:tc>
        <w:tc>
          <w:tcPr>
            <w:tcW w:w="4720" w:type="dxa"/>
            <w:vAlign w:val="bottom"/>
          </w:tcPr>
          <w:p>
            <w:pPr>
              <w:ind w:left="2700"/>
              <w:spacing w:after="0" w:line="201" w:lineRule="exact"/>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0" w:type="dxa"/>
            <w:vAlign w:val="bottom"/>
            <w:gridSpan w:val="2"/>
          </w:tcPr>
          <w:p>
            <w:pPr>
              <w:ind w:left="640"/>
              <w:spacing w:after="0"/>
              <w:rPr>
                <w:sz w:val="20"/>
                <w:szCs w:val="20"/>
                <w:color w:val="auto"/>
              </w:rPr>
            </w:pPr>
            <w:r>
              <w:rPr>
                <w:rFonts w:ascii="Arial" w:cs="Arial" w:eastAsia="Arial" w:hAnsi="Arial"/>
                <w:sz w:val="18"/>
                <w:szCs w:val="18"/>
                <w:color w:val="auto"/>
                <w:w w:val="94"/>
              </w:rPr>
              <w:t>Ms. Simmons and Ms. Connelly directly hold, or are related to the following person or entity that directly holds, the following percentages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640"/>
              <w:spacing w:after="0"/>
              <w:rPr>
                <w:sz w:val="20"/>
                <w:szCs w:val="20"/>
                <w:color w:val="auto"/>
              </w:rPr>
            </w:pPr>
            <w:r>
              <w:rPr>
                <w:rFonts w:ascii="Arial" w:cs="Arial" w:eastAsia="Arial" w:hAnsi="Arial"/>
                <w:sz w:val="18"/>
                <w:szCs w:val="18"/>
                <w:color w:val="auto"/>
              </w:rPr>
              <w:t>outstanding shares of Valhi common stock (a):</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Dixie Rice</w:t>
            </w:r>
          </w:p>
        </w:tc>
        <w:tc>
          <w:tcPr>
            <w:tcW w:w="47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Serena Simmons Connelly</w:t>
            </w:r>
          </w:p>
        </w:tc>
        <w:tc>
          <w:tcPr>
            <w:tcW w:w="4720" w:type="dxa"/>
            <w:vAlign w:val="bottom"/>
          </w:tcPr>
          <w:p>
            <w:pPr>
              <w:ind w:left="312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300" w:right="40" w:hanging="644"/>
        <w:spacing w:after="0" w:line="27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73" w:lineRule="exact"/>
        <w:rPr>
          <w:sz w:val="20"/>
          <w:szCs w:val="20"/>
          <w:color w:val="auto"/>
        </w:rPr>
      </w:pPr>
    </w:p>
    <w:p>
      <w:pPr>
        <w:jc w:val="both"/>
        <w:ind w:left="660" w:right="200"/>
        <w:spacing w:after="0" w:line="259" w:lineRule="auto"/>
        <w:rPr>
          <w:sz w:val="20"/>
          <w:szCs w:val="20"/>
          <w:color w:val="auto"/>
        </w:rPr>
      </w:pPr>
      <w:r>
        <w:rPr>
          <w:rFonts w:ascii="Arial" w:cs="Arial" w:eastAsia="Arial" w:hAnsi="Arial"/>
          <w:sz w:val="18"/>
          <w:szCs w:val="18"/>
          <w:color w:val="auto"/>
        </w:rPr>
        <w:t>By virtue of the stock ownership in each of Dixie Rice and Contran, the role of Ms. Simmons and Ms. Connelly as co-trustees of the Family Trust, Ms. Simmons and Ms. Connelly being beneficiaries of the Family Trust, the direct holdings of Contran voting stock by each of Ms. Simmons and Ms. Connelly and entities related to them, and the positions as co-chairs of the Contran board by each of Ms. Simmons and Ms. Connelly, in each case as described above:</w:t>
      </w:r>
    </w:p>
    <w:p>
      <w:pPr>
        <w:spacing w:after="0" w:line="79" w:lineRule="exact"/>
        <w:rPr>
          <w:sz w:val="20"/>
          <w:szCs w:val="20"/>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 Simmons and Ms. Connelly may be deemed to control the Family Trust;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Ms. Simmons and Ms. Connelly may be deemed to control each of Contran, Dixie Rice, Valhi, NL, Kronos Worldwide and us; and</w:t>
      </w:r>
    </w:p>
    <w:p>
      <w:pPr>
        <w:spacing w:after="0" w:line="236" w:lineRule="exact"/>
        <w:rPr>
          <w:rFonts w:ascii="Arial" w:cs="Arial" w:eastAsia="Arial" w:hAnsi="Arial"/>
          <w:sz w:val="17"/>
          <w:szCs w:val="17"/>
          <w:color w:val="auto"/>
        </w:rPr>
      </w:pPr>
    </w:p>
    <w:p>
      <w:pPr>
        <w:ind w:left="1300" w:right="140" w:hanging="320"/>
        <w:spacing w:after="0" w:line="308"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Ms. Simmons and Ms. Connelly, Contran, Dixie Rice, Valhi, NL, Kronos Worldwide and we may be deemed to possess indirect beneficial ownership of shares of common stock directly held by such entities</w:t>
      </w:r>
      <w:r>
        <w:rPr>
          <w:rFonts w:ascii="Arial" w:cs="Arial" w:eastAsia="Arial" w:hAnsi="Arial"/>
          <w:sz w:val="17"/>
          <w:szCs w:val="17"/>
          <w:u w:val="single" w:color="auto"/>
          <w:color w:val="auto"/>
        </w:rPr>
        <w:t>, including any shares of our common stock.</w:t>
      </w:r>
    </w:p>
    <w:p>
      <w:pPr>
        <w:spacing w:after="0" w:line="147"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Except for the 2,000 shares of our class A common stock she holds directly, Ms. Connelly disclaims beneficial ownership of all shares of our class A common stock except to the extent of her pecuniary interest in such shares, if any. Ms. Simmons disclaims beneficial ownership of all shares of our class A common stock, except to the extent of her pecuniary interest in such shares, if any.</w:t>
      </w:r>
    </w:p>
    <w:p>
      <w:pPr>
        <w:spacing w:after="0" w:line="73" w:lineRule="exact"/>
        <w:rPr>
          <w:sz w:val="20"/>
          <w:szCs w:val="20"/>
          <w:color w:val="auto"/>
        </w:rPr>
      </w:pPr>
    </w:p>
    <w:p>
      <w:pPr>
        <w:ind w:left="660" w:right="52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attributable to the Family Trust and their co-trustees consist of shares held directly by the following entities. For more information concerning the relationships among these persons or entities, please see footnote 3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32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CompX Class A Common Stock</w:t>
            </w:r>
          </w:p>
        </w:tc>
      </w:tr>
      <w:tr>
        <w:trPr>
          <w:trHeight w:val="223"/>
        </w:trPr>
        <w:tc>
          <w:tcPr>
            <w:tcW w:w="8220" w:type="dxa"/>
            <w:vAlign w:val="bottom"/>
            <w:tcBorders>
              <w:bottom w:val="single" w:sz="8" w:color="auto"/>
            </w:tcBorders>
          </w:tcPr>
          <w:p>
            <w:pPr>
              <w:ind w:left="3480"/>
              <w:spacing w:after="0"/>
              <w:rPr>
                <w:sz w:val="20"/>
                <w:szCs w:val="20"/>
                <w:color w:val="auto"/>
              </w:rPr>
            </w:pPr>
            <w:r>
              <w:rPr>
                <w:rFonts w:ascii="Arial" w:cs="Arial" w:eastAsia="Arial" w:hAnsi="Arial"/>
                <w:sz w:val="18"/>
                <w:szCs w:val="18"/>
                <w:b w:val="1"/>
                <w:bCs w:val="1"/>
                <w:color w:val="auto"/>
              </w:rPr>
              <w:t>Beneficial Owner</w:t>
            </w: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 of Class</w:t>
            </w:r>
          </w:p>
        </w:tc>
      </w:tr>
      <w:tr>
        <w:trPr>
          <w:trHeight w:val="216"/>
        </w:trPr>
        <w:tc>
          <w:tcPr>
            <w:tcW w:w="8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10,755,104</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86.5%</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Contran</w:t>
            </w:r>
          </w:p>
        </w:tc>
        <w:tc>
          <w:tcPr>
            <w:tcW w:w="1720" w:type="dxa"/>
            <w:vAlign w:val="bottom"/>
          </w:tcPr>
          <w:p>
            <w:pPr>
              <w:jc w:val="right"/>
              <w:spacing w:after="0"/>
              <w:rPr>
                <w:sz w:val="20"/>
                <w:szCs w:val="20"/>
                <w:color w:val="auto"/>
              </w:rPr>
            </w:pPr>
            <w:r>
              <w:rPr>
                <w:rFonts w:ascii="Arial" w:cs="Arial" w:eastAsia="Arial" w:hAnsi="Arial"/>
                <w:sz w:val="18"/>
                <w:szCs w:val="18"/>
                <w:color w:val="auto"/>
              </w:rPr>
              <w:t>5,900</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Kronos Worldwide.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18"/>
                <w:szCs w:val="18"/>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10,764,004</w:t>
            </w:r>
          </w:p>
        </w:tc>
        <w:tc>
          <w:tcPr>
            <w:tcW w:w="148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0"/>
              </w:rPr>
              <w:t>86.6%</w:t>
            </w:r>
          </w:p>
        </w:tc>
      </w:tr>
      <w:tr>
        <w:trPr>
          <w:trHeight w:val="21"/>
        </w:trPr>
        <w:tc>
          <w:tcPr>
            <w:tcW w:w="8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188595</wp:posOffset>
            </wp:positionV>
            <wp:extent cx="162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00" w:hanging="501"/>
        <w:spacing w:after="0"/>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our common stock, except to the extent he or she has a pecuniary interest in such shares, if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right="20" w:firstLine="648"/>
        <w:spacing w:after="0" w:line="257" w:lineRule="auto"/>
        <w:rPr>
          <w:sz w:val="20"/>
          <w:szCs w:val="20"/>
          <w:color w:val="auto"/>
        </w:rPr>
      </w:pPr>
      <w:r>
        <w:rPr>
          <w:rFonts w:ascii="Arial" w:cs="Arial" w:eastAsia="Arial" w:hAnsi="Arial"/>
          <w:sz w:val="18"/>
          <w:szCs w:val="18"/>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Ownership of Related Companies</w:t>
      </w:r>
      <w:r>
        <w:rPr>
          <w:rFonts w:ascii="Arial" w:cs="Arial" w:eastAsia="Arial" w:hAnsi="Arial"/>
          <w:sz w:val="17"/>
          <w:szCs w:val="17"/>
          <w:color w:val="auto"/>
        </w:rPr>
        <w:t>. Some of our directors and executive officers own equity securities of certain companies related to us.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Ownership of NL and Valhi. </w:t>
      </w:r>
      <w:r>
        <w:rPr>
          <w:rFonts w:ascii="Arial" w:cs="Arial" w:eastAsia="Arial" w:hAnsi="Arial"/>
          <w:sz w:val="17"/>
          <w:szCs w:val="17"/>
          <w:color w:val="auto"/>
        </w:rPr>
        <w:t>The following table and footnotes set forth the beneficial ownership, as of the record date, of the shares of NL and Valhi</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held by each director, each named executive officer and all of our current directors and executive officers as a group. All information is taken from or based upon ownership filings made by such persons with the SEC or upon information provided by such persons.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NL Common Stock</w:t>
            </w:r>
          </w:p>
        </w:tc>
        <w:tc>
          <w:tcPr>
            <w:tcW w:w="1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Valhi Common Stock</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76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2"/>
              </w:rPr>
              <w:t>Amount and Nature</w:t>
            </w:r>
          </w:p>
        </w:tc>
        <w:tc>
          <w:tcPr>
            <w:tcW w:w="1320" w:type="dxa"/>
            <w:vAlign w:val="bottom"/>
          </w:tcPr>
          <w:p>
            <w:pPr>
              <w:jc w:val="center"/>
              <w:ind w:right="330"/>
              <w:spacing w:after="0" w:line="198" w:lineRule="exact"/>
              <w:rPr>
                <w:sz w:val="20"/>
                <w:szCs w:val="20"/>
                <w:color w:val="auto"/>
              </w:rPr>
            </w:pPr>
            <w:r>
              <w:rPr>
                <w:rFonts w:ascii="Arial" w:cs="Arial" w:eastAsia="Arial" w:hAnsi="Arial"/>
                <w:sz w:val="18"/>
                <w:szCs w:val="18"/>
                <w:b w:val="1"/>
                <w:bCs w:val="1"/>
                <w:color w:val="auto"/>
                <w:w w:val="88"/>
              </w:rPr>
              <w:t>Percent of</w:t>
            </w:r>
          </w:p>
        </w:tc>
        <w:tc>
          <w:tcPr>
            <w:tcW w:w="2900" w:type="dxa"/>
            <w:vAlign w:val="bottom"/>
          </w:tcPr>
          <w:p>
            <w:pPr>
              <w:jc w:val="center"/>
              <w:ind w:right="310"/>
              <w:spacing w:after="0" w:line="198" w:lineRule="exact"/>
              <w:rPr>
                <w:sz w:val="20"/>
                <w:szCs w:val="20"/>
                <w:color w:val="auto"/>
              </w:rPr>
            </w:pPr>
            <w:r>
              <w:rPr>
                <w:rFonts w:ascii="Arial" w:cs="Arial" w:eastAsia="Arial" w:hAnsi="Arial"/>
                <w:sz w:val="18"/>
                <w:szCs w:val="18"/>
                <w:b w:val="1"/>
                <w:bCs w:val="1"/>
                <w:color w:val="auto"/>
                <w:w w:val="92"/>
              </w:rPr>
              <w:t>Amount and Nature</w:t>
            </w:r>
          </w:p>
        </w:tc>
        <w:tc>
          <w:tcPr>
            <w:tcW w:w="11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Percent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of Beneficial</w:t>
            </w:r>
          </w:p>
        </w:tc>
        <w:tc>
          <w:tcPr>
            <w:tcW w:w="132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Class</w:t>
            </w:r>
          </w:p>
        </w:tc>
        <w:tc>
          <w:tcPr>
            <w:tcW w:w="29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of Beneficial</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Class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Name of Beneficial Owner</w:t>
            </w:r>
          </w:p>
        </w:tc>
        <w:tc>
          <w:tcPr>
            <w:tcW w:w="27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Ownership (1)</w:t>
            </w:r>
          </w:p>
        </w:tc>
        <w:tc>
          <w:tcPr>
            <w:tcW w:w="13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5"/>
              </w:rPr>
              <w:t>(1)(2)</w:t>
            </w:r>
          </w:p>
        </w:tc>
        <w:tc>
          <w:tcPr>
            <w:tcW w:w="29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1"/>
              </w:rPr>
              <w:t>Ownership (1</w:t>
            </w:r>
            <w:r>
              <w:rPr>
                <w:rFonts w:ascii="Arial" w:cs="Arial" w:eastAsia="Arial" w:hAnsi="Arial"/>
                <w:sz w:val="18"/>
                <w:szCs w:val="18"/>
                <w:color w:val="auto"/>
                <w:w w:val="91"/>
              </w:rPr>
              <w:t>)</w:t>
            </w: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(1)(3</w:t>
            </w:r>
            <w:r>
              <w:rPr>
                <w:rFonts w:ascii="Arial" w:cs="Arial" w:eastAsia="Arial" w:hAnsi="Arial"/>
                <w:sz w:val="18"/>
                <w:szCs w:val="18"/>
                <w:color w:val="auto"/>
                <w:w w:val="95"/>
              </w:rPr>
              <w:t>)</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27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58,400(4)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David A. Bowers</w:t>
            </w:r>
          </w:p>
        </w:tc>
        <w:tc>
          <w:tcPr>
            <w:tcW w:w="2760" w:type="dxa"/>
            <w:vAlign w:val="bottom"/>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27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8,600(4)</w:t>
            </w:r>
          </w:p>
        </w:tc>
        <w:tc>
          <w:tcPr>
            <w:tcW w:w="13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9,900(4)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Robert D. Graham</w:t>
            </w:r>
          </w:p>
        </w:tc>
        <w:tc>
          <w:tcPr>
            <w:tcW w:w="2760" w:type="dxa"/>
            <w:vAlign w:val="bottom"/>
          </w:tcPr>
          <w:p>
            <w:pPr>
              <w:jc w:val="right"/>
              <w:ind w:right="830"/>
              <w:spacing w:after="0"/>
              <w:rPr>
                <w:sz w:val="20"/>
                <w:szCs w:val="20"/>
                <w:color w:val="auto"/>
              </w:rPr>
            </w:pPr>
            <w:r>
              <w:rPr>
                <w:rFonts w:ascii="Arial" w:cs="Arial" w:eastAsia="Arial" w:hAnsi="Arial"/>
                <w:sz w:val="18"/>
                <w:szCs w:val="18"/>
                <w:color w:val="auto"/>
              </w:rPr>
              <w:t>6,500(4)</w:t>
            </w:r>
          </w:p>
        </w:tc>
        <w:tc>
          <w:tcPr>
            <w:tcW w:w="1320" w:type="dxa"/>
            <w:vAlign w:val="bottom"/>
          </w:tcPr>
          <w:p>
            <w:pPr>
              <w:jc w:val="center"/>
              <w:ind w:right="330"/>
              <w:spacing w:after="0"/>
              <w:rPr>
                <w:sz w:val="20"/>
                <w:szCs w:val="20"/>
                <w:color w:val="auto"/>
              </w:rPr>
            </w:pPr>
            <w:r>
              <w:rPr>
                <w:rFonts w:ascii="Arial" w:cs="Arial" w:eastAsia="Arial" w:hAnsi="Arial"/>
                <w:sz w:val="18"/>
                <w:szCs w:val="18"/>
                <w:color w:val="auto"/>
              </w:rPr>
              <w:t>*</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4,000(4)</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27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2,900(4)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Ann Manix</w:t>
            </w:r>
          </w:p>
        </w:tc>
        <w:tc>
          <w:tcPr>
            <w:tcW w:w="2760" w:type="dxa"/>
            <w:vAlign w:val="bottom"/>
          </w:tcPr>
          <w:p>
            <w:pPr>
              <w:jc w:val="right"/>
              <w:ind w:right="830"/>
              <w:spacing w:after="0"/>
              <w:rPr>
                <w:sz w:val="20"/>
                <w:szCs w:val="20"/>
                <w:color w:val="auto"/>
              </w:rPr>
            </w:pPr>
            <w:r>
              <w:rPr>
                <w:rFonts w:ascii="Arial" w:cs="Arial" w:eastAsia="Arial" w:hAnsi="Arial"/>
                <w:sz w:val="18"/>
                <w:szCs w:val="18"/>
                <w:color w:val="auto"/>
              </w:rPr>
              <w:t>2,000(4)</w:t>
            </w:r>
          </w:p>
        </w:tc>
        <w:tc>
          <w:tcPr>
            <w:tcW w:w="1320" w:type="dxa"/>
            <w:vAlign w:val="bottom"/>
          </w:tcPr>
          <w:p>
            <w:pPr>
              <w:jc w:val="center"/>
              <w:ind w:right="330"/>
              <w:spacing w:after="0"/>
              <w:rPr>
                <w:sz w:val="20"/>
                <w:szCs w:val="20"/>
                <w:color w:val="auto"/>
              </w:rPr>
            </w:pPr>
            <w:r>
              <w:rPr>
                <w:rFonts w:ascii="Arial" w:cs="Arial" w:eastAsia="Arial" w:hAnsi="Arial"/>
                <w:sz w:val="18"/>
                <w:szCs w:val="18"/>
                <w:color w:val="auto"/>
              </w:rPr>
              <w:t>*</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Cecil H. Moore, Jr.</w:t>
            </w:r>
          </w:p>
        </w:tc>
        <w:tc>
          <w:tcPr>
            <w:tcW w:w="27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17,100(4)</w:t>
            </w:r>
          </w:p>
        </w:tc>
        <w:tc>
          <w:tcPr>
            <w:tcW w:w="13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Mary A. Tidlund</w:t>
            </w:r>
          </w:p>
        </w:tc>
        <w:tc>
          <w:tcPr>
            <w:tcW w:w="2760" w:type="dxa"/>
            <w:vAlign w:val="bottom"/>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6,900(4)</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James W. Brown</w:t>
            </w:r>
          </w:p>
        </w:tc>
        <w:tc>
          <w:tcPr>
            <w:tcW w:w="2760" w:type="dxa"/>
            <w:vAlign w:val="bottom"/>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Scott C. James</w:t>
            </w:r>
          </w:p>
        </w:tc>
        <w:tc>
          <w:tcPr>
            <w:tcW w:w="27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Andrew B. Nace</w:t>
            </w:r>
          </w:p>
        </w:tc>
        <w:tc>
          <w:tcPr>
            <w:tcW w:w="2760" w:type="dxa"/>
            <w:vAlign w:val="bottom"/>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27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3,498(4)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Current directors and executive officers as</w:t>
            </w:r>
          </w:p>
        </w:tc>
        <w:tc>
          <w:tcPr>
            <w:tcW w:w="2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 group (16 persons)</w:t>
            </w:r>
          </w:p>
        </w:tc>
        <w:tc>
          <w:tcPr>
            <w:tcW w:w="27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34,200(4)</w:t>
            </w:r>
          </w:p>
        </w:tc>
        <w:tc>
          <w:tcPr>
            <w:tcW w:w="13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85,598(4)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200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40" w:hanging="732"/>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sz w:val="20"/>
          <w:szCs w:val="20"/>
          <w:color w:val="auto"/>
        </w:rPr>
      </w:pPr>
    </w:p>
    <w:p>
      <w:pPr>
        <w:jc w:val="both"/>
        <w:ind w:left="660" w:right="22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and is not necessarily indicative of beneficial ownership for any other purpose. Except as otherwise noted, the individuals or group have sole investment power and sole voting power as to all shares set forth opposite their names.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percentages are based on 48,727,484 shares of NL common stock outstanding as of the record date.</w:t>
      </w:r>
    </w:p>
    <w:p>
      <w:pPr>
        <w:spacing w:after="0" w:line="225" w:lineRule="exact"/>
        <w:rPr>
          <w:rFonts w:ascii="Arial" w:cs="Arial" w:eastAsia="Arial" w:hAnsi="Arial"/>
          <w:sz w:val="18"/>
          <w:szCs w:val="18"/>
          <w:color w:val="auto"/>
        </w:rPr>
      </w:pPr>
    </w:p>
    <w:p>
      <w:pPr>
        <w:ind w:left="660" w:right="120" w:hanging="652"/>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percentages are based on 339,185,449 shares of Valhi common stock outstanding as of the record date. 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93"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NL or Valhi common stock, except to the extent he or she has a pecuniary interest in such shares, if any.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bylaws provide that the board of directors shall consist of one or more members as determined by our board of directors or stockholders. Our board of directors has currently set the number of directors at eight. The board of directors recommends the seven director nominees named in this proxy statement for election at our 2019 annual stockholder meeting. If all the nominees are elected, the number of directors will be set at seven effective at the adjournment of the meeting. The directors elected at the meeting will hold office until our 2020 annual stockholder meeting and until their successors are duly elected and qualified or their earlier removal or resignation.</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All of the director nominees are currently members of our board of directors whose terms will expire at the 2019 annual meeting. Cecil H. Moore, Jr., currently a member of the board of directors, is not standing for reelection as a director. All of the nominees have agreed to serve if elected. If any nominee is not available for election at the meeting, your shares will be voted FOR an alternate nominee to be selected by the board of directors, unless you withhold authority to vote for such unavailable nominee. The board of directors believes that all of its nominees will be available for election at the meeting and will serve if elected.</w:t>
      </w:r>
    </w:p>
    <w:p>
      <w:pPr>
        <w:spacing w:after="0" w:line="184"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FOLLOWING NOMINEES FOR DIRECTOR.</w:t>
      </w:r>
    </w:p>
    <w:p>
      <w:pPr>
        <w:spacing w:after="0" w:line="16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b w:val="1"/>
          <w:bCs w:val="1"/>
          <w:i w:val="1"/>
          <w:iCs w:val="1"/>
          <w:color w:val="auto"/>
        </w:rPr>
        <w:t>Nominees for Director</w:t>
      </w:r>
      <w:r>
        <w:rPr>
          <w:rFonts w:ascii="Arial" w:cs="Arial" w:eastAsia="Arial" w:hAnsi="Arial"/>
          <w:sz w:val="18"/>
          <w:szCs w:val="18"/>
          <w:color w:val="auto"/>
        </w:rPr>
        <w:t>. All of our nominees have extensive senior management and policy-making experience or significant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Thomas E. Barry</w:t>
      </w:r>
      <w:r>
        <w:rPr>
          <w:rFonts w:ascii="Arial" w:cs="Arial" w:eastAsia="Arial" w:hAnsi="Arial"/>
          <w:sz w:val="17"/>
          <w:szCs w:val="17"/>
          <w:color w:val="auto"/>
        </w:rPr>
        <w:t>, age 75, has served on our board of directors since 2016. Dr. Barry has held the position of professor of marketing in the Edwin</w:t>
      </w:r>
      <w:r>
        <w:rPr>
          <w:rFonts w:ascii="Arial" w:cs="Arial" w:eastAsia="Arial" w:hAnsi="Arial"/>
          <w:sz w:val="17"/>
          <w:szCs w:val="17"/>
          <w:b w:val="1"/>
          <w:bCs w:val="1"/>
          <w:color w:val="auto"/>
        </w:rPr>
        <w:t xml:space="preserve"> </w:t>
      </w:r>
      <w:r>
        <w:rPr>
          <w:rFonts w:ascii="Arial" w:cs="Arial" w:eastAsia="Arial" w:hAnsi="Arial"/>
          <w:sz w:val="17"/>
          <w:szCs w:val="17"/>
          <w:color w:val="auto"/>
        </w:rPr>
        <w:t>L. Cox School of Business at Southern Methodist University since 1970, with emeritus status beginning in 2017. He also served the university as vice president for executive affairs from 1995 to 2015. Since prior to 2014, he has served as a director of Valhi and a member of its audit and management development and compensation committees (including serving as chairman of Valhi’s audit and management development and compensation committees since 2016). He is a member of our audit and management development and compensation committees.</w:t>
      </w:r>
    </w:p>
    <w:p>
      <w:pPr>
        <w:spacing w:after="0" w:line="17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Dr. Barry has three years of experience on our board of directors and over 18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8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David A. Bowers</w:t>
      </w:r>
      <w:r>
        <w:rPr>
          <w:rFonts w:ascii="Arial" w:cs="Arial" w:eastAsia="Arial" w:hAnsi="Arial"/>
          <w:sz w:val="18"/>
          <w:szCs w:val="18"/>
          <w:color w:val="auto"/>
        </w:rPr>
        <w:t>, age 81, has served on our board of directors since 1993. Prior to his retirement in May 2018 as an officer and employee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CompX, Mr. Bowers was employed by us or our predecessors since 1960 in various sales, marketing and executive positions, having been named president of our security products and related businesses in 1979. He served as our vice chairman of the board from 2000 to May 2018, as our chief executive officer from 2002 to 2017, and as our president from 2002 to 2014. Mr. Bowers is trustee emeritus and former chairman of the board of Monmouth College, Monmouth, Illinois.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Mr. Bowers has over 58 years of experience serving CompX, in which he developed general management, senior executive, corporate governance, finance and financial accounting oversight experience.</w:t>
      </w:r>
    </w:p>
    <w:p>
      <w:pPr>
        <w:spacing w:after="0" w:line="166"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Loretta J. Feehan, </w:t>
      </w:r>
      <w:r>
        <w:rPr>
          <w:rFonts w:ascii="Arial" w:cs="Arial" w:eastAsia="Arial" w:hAnsi="Arial"/>
          <w:sz w:val="16"/>
          <w:szCs w:val="16"/>
          <w:color w:val="auto"/>
        </w:rPr>
        <w:t>age 63, has served as chair of the board (non-executive) of us, Kronos Worldwide, NL and Valhi since 2017, and as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such company since 2014. She is a certified public accountant who consults on financial and tax matters. She served as a tax partner with Deloitte and Touche LLP in the Denver office until 1992 primarily serving corporate clients. Ms. Feehan also taught continuing education courses to tax practitioners around the country for many years. Ms. Feehan has been a financial advisor to Serena Simmons Connelly and Lisa K. Simmons since prior to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3" w:name="page14"/>
    <w:bookmarkEnd w:id="13"/>
    <w:p>
      <w:pPr>
        <w:ind w:right="500" w:firstLine="648"/>
        <w:spacing w:after="0" w:line="308" w:lineRule="auto"/>
        <w:rPr>
          <w:sz w:val="20"/>
          <w:szCs w:val="20"/>
          <w:color w:val="auto"/>
        </w:rPr>
      </w:pPr>
      <w:r>
        <w:rPr>
          <w:rFonts w:ascii="Arial" w:cs="Arial" w:eastAsia="Arial" w:hAnsi="Arial"/>
          <w:sz w:val="17"/>
          <w:szCs w:val="17"/>
          <w:color w:val="auto"/>
        </w:rPr>
        <w:t>Ms. Feehan has five years of experience as a director of us, Kronos Worldwide, NL and Valhi. She also has over 41 years of financial and tax accounting and auditing experience, certain years of which were as a partner of one the largest international accounting firms.</w:t>
      </w:r>
    </w:p>
    <w:p>
      <w:pPr>
        <w:spacing w:after="0" w:line="143"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Robert D. Graham</w:t>
      </w:r>
      <w:r>
        <w:rPr>
          <w:rFonts w:ascii="Arial" w:cs="Arial" w:eastAsia="Arial" w:hAnsi="Arial"/>
          <w:sz w:val="17"/>
          <w:szCs w:val="17"/>
          <w:color w:val="auto"/>
        </w:rPr>
        <w:t>, age 63, has served as our vice chairman of the board since May 2018 and on our board of directors since 2016. He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our executive vice president from May 2017 to May 2018, and as our chairman of the board from January 2017 to May 2017. He currently serves as vice chairman of the board, president and chief executive officer of Kronos Worldwide and Valhi, as vice chairman of the board and chief executive officer of NL, and as president and chief executive officer of Contran. He has served as a director of Contran, Valhi and Kronos Worldwide since 2016 and as a director of NL since 2014. Mr. Graham has served with various companies related to us and Contran since 2002.</w:t>
      </w:r>
    </w:p>
    <w:p>
      <w:pPr>
        <w:spacing w:after="0" w:line="19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Mr. Graham has extensive experience with our businesses. He also has senior executive, operating, corporate governance, finance and financial accounting oversight experience from other publicly and privately held entities related to us for which he currently serves or formerly served.</w:t>
      </w:r>
    </w:p>
    <w:p>
      <w:pPr>
        <w:spacing w:after="0" w:line="12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b w:val="1"/>
          <w:bCs w:val="1"/>
          <w:color w:val="auto"/>
        </w:rPr>
        <w:t>Terri L. Herrington</w:t>
      </w:r>
      <w:r>
        <w:rPr>
          <w:rFonts w:ascii="Arial" w:cs="Arial" w:eastAsia="Arial" w:hAnsi="Arial"/>
          <w:sz w:val="18"/>
          <w:szCs w:val="18"/>
          <w:color w:val="auto"/>
        </w:rPr>
        <w:t>, age 63, has served on our board of directors since March 2018. Ms. Herrington is a private investor. She retired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Paper Company, a 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positions, lastly as their global Director of Audit for Finance and Financial Control. Since March 2018, Ms. Herrington has served as a director and on the audit committee of Valhi. She is a member of our audit committee.</w:t>
      </w:r>
    </w:p>
    <w:p>
      <w:pPr>
        <w:spacing w:after="0" w:line="19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Ms. Herrington has one year of experience on the boards of directors and audit committees of CompX and Valhi. She also has senior executive, operating, corporate governance, finance, and financial accounting oversight experience from two publicly-traded companies for which she formerly served.</w:t>
      </w:r>
    </w:p>
    <w:p>
      <w:pPr>
        <w:spacing w:after="0" w:line="12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Ann Manix</w:t>
      </w:r>
      <w:r>
        <w:rPr>
          <w:rFonts w:ascii="Arial" w:cs="Arial" w:eastAsia="Arial" w:hAnsi="Arial"/>
          <w:sz w:val="18"/>
          <w:szCs w:val="18"/>
          <w:color w:val="auto"/>
        </w:rPr>
        <w:t>, age 66, has served on our board of directors since 1998. Since 2014, Ms. Manix has served as a director of Blue Canyon Partners, Inc.,</w:t>
      </w:r>
      <w:r>
        <w:rPr>
          <w:rFonts w:ascii="Arial" w:cs="Arial" w:eastAsia="Arial" w:hAnsi="Arial"/>
          <w:sz w:val="18"/>
          <w:szCs w:val="18"/>
          <w:b w:val="1"/>
          <w:bCs w:val="1"/>
          <w:color w:val="auto"/>
        </w:rPr>
        <w:t xml:space="preserve"> </w:t>
      </w:r>
      <w:r>
        <w:rPr>
          <w:rFonts w:ascii="Arial" w:cs="Arial" w:eastAsia="Arial" w:hAnsi="Arial"/>
          <w:sz w:val="18"/>
          <w:szCs w:val="18"/>
          <w:color w:val="auto"/>
        </w:rPr>
        <w:t>a global management consulting firm. She served on the global market intelligence, consulting and financial advisory team for Ducker Worldwide, LLC, a privately held industrial research firm, since prior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Ms. Manix has over 20 years of experience on our board of directors and audit committee and 18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7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Mary A. Tidlund</w:t>
      </w:r>
      <w:r>
        <w:rPr>
          <w:rFonts w:ascii="Arial" w:cs="Arial" w:eastAsia="Arial" w:hAnsi="Arial"/>
          <w:sz w:val="18"/>
          <w:szCs w:val="18"/>
          <w:color w:val="auto"/>
        </w:rPr>
        <w:t>, age 62, has served on our board of directors since 2016. Ms. Tidlund is a private investor. From 1998 to 2017, she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2016, and also served as a director of Valhi from 2014 to 2015. She is a member of our audit committee.</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Ms. Tidlund has three years of experience on our board of directors and audit committee, and four years of experience on the board of directors and audit committee of Valhi. She also has senior executive, operating, corporate governance, finance and financial accounting oversight experience from a publicly traded oil exploration and service company for which she formerly served.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b w:val="1"/>
          <w:bCs w:val="1"/>
          <w:i w:val="1"/>
          <w:iCs w:val="1"/>
          <w:color w:val="auto"/>
        </w:rPr>
        <w:t>Current Executive Officers</w:t>
      </w:r>
      <w:r>
        <w:rPr>
          <w:rFonts w:ascii="Arial" w:cs="Arial" w:eastAsia="Arial" w:hAnsi="Arial"/>
          <w:sz w:val="16"/>
          <w:szCs w:val="16"/>
          <w:color w:val="auto"/>
        </w:rPr>
        <w:t>. Set forth below is certain information relating to our executive officers. Each executive officer serves at the pleasure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Biographical information with respect to Robert D. Graham is set forth under the Nominees for Director subsection above.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8"/>
              </w:rPr>
              <w:t>Age</w:t>
            </w:r>
          </w:p>
        </w:tc>
        <w:tc>
          <w:tcPr>
            <w:tcW w:w="7680" w:type="dxa"/>
            <w:vAlign w:val="bottom"/>
            <w:tcBorders>
              <w:bottom w:val="single" w:sz="8" w:color="auto"/>
            </w:tcBorders>
          </w:tcPr>
          <w:p>
            <w:pPr>
              <w:ind w:left="3500"/>
              <w:spacing w:after="0"/>
              <w:rPr>
                <w:sz w:val="20"/>
                <w:szCs w:val="20"/>
                <w:color w:val="auto"/>
              </w:rPr>
            </w:pPr>
            <w:r>
              <w:rPr>
                <w:rFonts w:ascii="Arial" w:cs="Arial" w:eastAsia="Arial" w:hAnsi="Arial"/>
                <w:sz w:val="18"/>
                <w:szCs w:val="18"/>
                <w:b w:val="1"/>
                <w:bCs w:val="1"/>
                <w:color w:val="auto"/>
              </w:rPr>
              <w:t>Position(s)</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63</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Chairman of the Board</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Scott C. James</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53</w:t>
            </w:r>
          </w:p>
        </w:tc>
        <w:tc>
          <w:tcPr>
            <w:tcW w:w="76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Kelly D. Luttmer</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55</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Tax Officer</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Andrew B. Nace</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54</w:t>
            </w:r>
          </w:p>
        </w:tc>
        <w:tc>
          <w:tcPr>
            <w:tcW w:w="768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62</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James W. Brown</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62</w:t>
            </w:r>
          </w:p>
        </w:tc>
        <w:tc>
          <w:tcPr>
            <w:tcW w:w="7680" w:type="dxa"/>
            <w:vAlign w:val="bottom"/>
          </w:tcPr>
          <w:p>
            <w:pPr>
              <w:ind w:left="100"/>
              <w:spacing w:after="0"/>
              <w:rPr>
                <w:sz w:val="20"/>
                <w:szCs w:val="20"/>
                <w:color w:val="auto"/>
              </w:rPr>
            </w:pPr>
            <w:r>
              <w:rPr>
                <w:rFonts w:ascii="Arial" w:cs="Arial" w:eastAsia="Arial" w:hAnsi="Arial"/>
                <w:sz w:val="18"/>
                <w:szCs w:val="18"/>
                <w:color w:val="auto"/>
              </w:rPr>
              <w:t>Vice President, Chief Financial Officer and Controller</w:t>
            </w: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Steven S. Eaton</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60</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and Director of Internal Control over Financial Reporting</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Jane R. Grimm</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48</w:t>
            </w:r>
          </w:p>
        </w:tc>
        <w:tc>
          <w:tcPr>
            <w:tcW w:w="7680" w:type="dxa"/>
            <w:vAlign w:val="bottom"/>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Bryan A. Hanley</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38</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and Treasurer</w:t>
            </w:r>
          </w:p>
        </w:tc>
      </w:tr>
    </w:tbl>
    <w:p>
      <w:pPr>
        <w:spacing w:after="0" w:line="198" w:lineRule="exact"/>
        <w:rPr>
          <w:sz w:val="20"/>
          <w:szCs w:val="20"/>
          <w:color w:val="auto"/>
        </w:rPr>
      </w:pPr>
    </w:p>
    <w:p>
      <w:pPr>
        <w:ind w:right="180" w:firstLine="648"/>
        <w:spacing w:after="0" w:line="314" w:lineRule="auto"/>
        <w:rPr>
          <w:sz w:val="20"/>
          <w:szCs w:val="20"/>
          <w:color w:val="auto"/>
        </w:rPr>
      </w:pPr>
      <w:r>
        <w:rPr>
          <w:rFonts w:ascii="Arial" w:cs="Arial" w:eastAsia="Arial" w:hAnsi="Arial"/>
          <w:sz w:val="16"/>
          <w:szCs w:val="16"/>
          <w:b w:val="1"/>
          <w:bCs w:val="1"/>
          <w:color w:val="auto"/>
        </w:rPr>
        <w:t xml:space="preserve">Scott C. James </w:t>
      </w:r>
      <w:r>
        <w:rPr>
          <w:rFonts w:ascii="Arial" w:cs="Arial" w:eastAsia="Arial" w:hAnsi="Arial"/>
          <w:sz w:val="16"/>
          <w:szCs w:val="16"/>
          <w:color w:val="auto"/>
        </w:rPr>
        <w:t>has served as our chief executive officer since 2017, as our president since 2014, and as president of both of our divisions, CompX</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Products and CompX Marine, since 2002 and 2005, respectively. He served as our chief operating officer from 2014 to 2017 and as our vice president from 2002 to 2014. Since 1992, Mr. James has served in various sales, marketing and executive positions with our security products operations.</w:t>
      </w:r>
    </w:p>
    <w:p>
      <w:pPr>
        <w:spacing w:after="0" w:line="14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Kelly D. Luttmer </w:t>
      </w:r>
      <w:r>
        <w:rPr>
          <w:rFonts w:ascii="Arial" w:cs="Arial" w:eastAsia="Arial" w:hAnsi="Arial"/>
          <w:sz w:val="18"/>
          <w:szCs w:val="18"/>
          <w:color w:val="auto"/>
        </w:rPr>
        <w:t>has served as our chief tax officer since 2016 and as our executive vice president since 2015. She previously served as our global</w:t>
      </w:r>
      <w:r>
        <w:rPr>
          <w:rFonts w:ascii="Arial" w:cs="Arial" w:eastAsia="Arial" w:hAnsi="Arial"/>
          <w:sz w:val="18"/>
          <w:szCs w:val="18"/>
          <w:b w:val="1"/>
          <w:bCs w:val="1"/>
          <w:color w:val="auto"/>
        </w:rPr>
        <w:t xml:space="preserve"> </w:t>
      </w:r>
      <w:r>
        <w:rPr>
          <w:rFonts w:ascii="Arial" w:cs="Arial" w:eastAsia="Arial" w:hAnsi="Arial"/>
          <w:sz w:val="18"/>
          <w:szCs w:val="18"/>
          <w:color w:val="auto"/>
        </w:rPr>
        <w:t>tax director from 2012 to 2015, as our vice president from 2004 to 2015, and as our tax director from 2004 to 2012. She currently serves as executive vice president and chief tax officer of Kronos Worldwide, NL, Valhi and Contran. Ms. Luttmer has served in tax accounting positions (including officer positions) with various companies related to us and Contran since 1989.</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Andrew B. Nace </w:t>
      </w:r>
      <w:r>
        <w:rPr>
          <w:rFonts w:ascii="Arial" w:cs="Arial" w:eastAsia="Arial" w:hAnsi="Arial"/>
          <w:sz w:val="17"/>
          <w:szCs w:val="17"/>
          <w:color w:val="auto"/>
        </w:rPr>
        <w:t>has served as our executive vice president since 2017, and previously served as our vice president from 2013 to 2017. He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serves as executive vice president of Kronos Worldwide and NL and as executive vice president, general counsel and secretary of Valhi and Contran. Mr. Nace has served as legal counsel (including officer positions) to companies related to us and Contran since 2003.</w:t>
      </w:r>
    </w:p>
    <w:p>
      <w:pPr>
        <w:spacing w:after="0" w:line="18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Gregory M. Swalwell </w:t>
      </w:r>
      <w:r>
        <w:rPr>
          <w:rFonts w:ascii="Arial" w:cs="Arial" w:eastAsia="Arial" w:hAnsi="Arial"/>
          <w:sz w:val="18"/>
          <w:szCs w:val="18"/>
          <w:color w:val="auto"/>
        </w:rPr>
        <w:t>has served as our executive vice president since 2013. He currently serves as executive vice president and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Kronos Worldwide and NL, and as executive vice president, chief financial officer and chief accounting officer of Valhi and Contran. Mr. Swalwell has served in accounting and financial positions (including officer positions) with various companies related to us and Contran since 1988. As discussed below in the Upcoming Executive Officer Changes section, Mr. Swalwell has provided notice to us, Valhi, Kronos Worldwide and NL that he will retire as an officer of us and those companies effective June 1, 2019.</w:t>
      </w:r>
    </w:p>
    <w:p>
      <w:pPr>
        <w:spacing w:after="0" w:line="184"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b w:val="1"/>
          <w:bCs w:val="1"/>
          <w:color w:val="auto"/>
        </w:rPr>
        <w:t xml:space="preserve">James W. Brown </w:t>
      </w:r>
      <w:r>
        <w:rPr>
          <w:rFonts w:ascii="Arial" w:cs="Arial" w:eastAsia="Arial" w:hAnsi="Arial"/>
          <w:sz w:val="18"/>
          <w:szCs w:val="18"/>
          <w:color w:val="auto"/>
        </w:rPr>
        <w:t>has served as our vice president, chief financial officer and controller since 2014. He currently serves as vice president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and strategic initiatives of Valhi. Mr. Brown has served in accounting and financial positions (including officer positions) with various companies related to us and Contran since 2003.</w:t>
      </w:r>
    </w:p>
    <w:p>
      <w:pPr>
        <w:spacing w:after="0" w:line="17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 xml:space="preserve">Steven S. Eaton </w:t>
      </w:r>
      <w:r>
        <w:rPr>
          <w:rFonts w:ascii="Arial" w:cs="Arial" w:eastAsia="Arial" w:hAnsi="Arial"/>
          <w:sz w:val="18"/>
          <w:szCs w:val="18"/>
          <w:color w:val="auto"/>
        </w:rPr>
        <w:t>has served as our vice president and director of internal control over financial reporting since 2015. He currently serves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director of internal control over financial reporting for Kronos Worldwide, NL and Valhi. Mr. Eaton has served in internal audit positions (including officer positions) with various companies related to us and Contran since 2006.</w:t>
      </w:r>
    </w:p>
    <w:p>
      <w:pPr>
        <w:spacing w:after="0" w:line="176"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Jane R. Grimm </w:t>
      </w:r>
      <w:r>
        <w:rPr>
          <w:rFonts w:ascii="Arial" w:cs="Arial" w:eastAsia="Arial" w:hAnsi="Arial"/>
          <w:sz w:val="18"/>
          <w:szCs w:val="18"/>
          <w:color w:val="auto"/>
        </w:rPr>
        <w:t>has served as our vice president, secretary and associate general counsel since 2017. Ms. Grimm has served in legal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officer positions) with various companies related to us and Contran since 2010.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both"/>
        <w:ind w:right="240" w:firstLine="648"/>
        <w:spacing w:after="0" w:line="289" w:lineRule="auto"/>
        <w:rPr>
          <w:sz w:val="20"/>
          <w:szCs w:val="20"/>
          <w:color w:val="auto"/>
        </w:rPr>
      </w:pPr>
      <w:r>
        <w:rPr>
          <w:rFonts w:ascii="Arial" w:cs="Arial" w:eastAsia="Arial" w:hAnsi="Arial"/>
          <w:sz w:val="17"/>
          <w:szCs w:val="17"/>
          <w:b w:val="1"/>
          <w:bCs w:val="1"/>
          <w:color w:val="auto"/>
        </w:rPr>
        <w:t xml:space="preserve">Bryan A. Hanley </w:t>
      </w:r>
      <w:r>
        <w:rPr>
          <w:rFonts w:ascii="Arial" w:cs="Arial" w:eastAsia="Arial" w:hAnsi="Arial"/>
          <w:sz w:val="17"/>
          <w:szCs w:val="17"/>
          <w:color w:val="auto"/>
        </w:rPr>
        <w:t>has served as our vice president and treasurer since 2017. He currently serves as vice president and treasurer of Contran, Valhi,</w:t>
      </w:r>
      <w:r>
        <w:rPr>
          <w:rFonts w:ascii="Arial" w:cs="Arial" w:eastAsia="Arial" w:hAnsi="Arial"/>
          <w:sz w:val="17"/>
          <w:szCs w:val="17"/>
          <w:b w:val="1"/>
          <w:bCs w:val="1"/>
          <w:color w:val="auto"/>
        </w:rPr>
        <w:t xml:space="preserve"> </w:t>
      </w:r>
      <w:r>
        <w:rPr>
          <w:rFonts w:ascii="Arial" w:cs="Arial" w:eastAsia="Arial" w:hAnsi="Arial"/>
          <w:sz w:val="17"/>
          <w:szCs w:val="17"/>
          <w:color w:val="auto"/>
        </w:rPr>
        <w:t>Kronos Worldwide and NL. From 2013 to 2017, Mr. Hanley served as assistant treasurer and director, investor relations of Pier 1 Imports, Inc., a publicly traded retailer specializing in home furnishings and decor, and also served as its assistant treasurer from 2010 to 2013.</w:t>
      </w:r>
    </w:p>
    <w:p>
      <w:pPr>
        <w:spacing w:after="0" w:line="1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i w:val="1"/>
          <w:iCs w:val="1"/>
          <w:color w:val="auto"/>
        </w:rPr>
        <w:t>Upcoming Executive Officer Changes</w:t>
      </w:r>
      <w:r>
        <w:rPr>
          <w:rFonts w:ascii="Arial" w:cs="Arial" w:eastAsia="Arial" w:hAnsi="Arial"/>
          <w:sz w:val="17"/>
          <w:szCs w:val="17"/>
          <w:color w:val="auto"/>
        </w:rPr>
        <w:t>. On March 18, 2019, Gregory M. Swalwell, our executive vice president, provided notice to us that,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June 1, 2019, he will retire as one of our officers. In connection with his retirement from us, Mr. Swalwell has also provided notice to Valhi, Kronos Worldwide and NL that he will also retire as an officer of those companies as of such date. Following such retirements, Mr. Swalwell will continue to be employed by Contran and will continue to serve as executive vice president, chief financial officer and chief accounting officer of Contran.</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James W. Brown currently serves as our vice president, chief financial officer and controller. Following such retirement notices of Mr. Swalwell, the board of directors of each of Valhi and Kronos Worldwide took action, also effective as of June 1, 2019, to elect Mr. Brown as senior vice president and chief financial officer of each of Valhi and Kronos Worldwide. As a result, Mr. Brown will no longer serve as one of our officers effective June 1, 2019, and our board of directors took action, also effective as of June 1, 2019, to:</w:t>
      </w:r>
    </w:p>
    <w:p>
      <w:pPr>
        <w:spacing w:after="0" w:line="214" w:lineRule="exact"/>
        <w:rPr>
          <w:sz w:val="20"/>
          <w:szCs w:val="20"/>
          <w:color w:val="auto"/>
        </w:rPr>
      </w:pPr>
    </w:p>
    <w:p>
      <w:pPr>
        <w:ind w:left="1300" w:right="140" w:hanging="320"/>
        <w:spacing w:after="0" w:line="258"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elect Amy Allbach Samford, currently the vice president and controller of Valhi, NL and Contran, as our vice president and chief financial officer;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elect Amy E. Ruf, currently our assistant controller, as our vice president and controller.</w:t>
      </w:r>
    </w:p>
    <w:p>
      <w:pPr>
        <w:spacing w:after="0" w:line="23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Ms. Samford, age 45, has served as vice president and controller of each of Valhi, NL and Contran since 2016. Beginning June 1, 2019, she will also serve as vice president and chief financial officer of NL, and will continue to serve as vice president and controller of Valhi and Contran. Ms. Samford has served in various accounting and financial positions (including officer positions) in various companies related to us and Contran since 2006.</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Ruf, age 42, has served in various accounting and financial positions in various companies related to us and Contran since 2004.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b w:val="1"/>
          <w:bCs w:val="1"/>
          <w:i w:val="1"/>
          <w:iCs w:val="1"/>
          <w:color w:val="auto"/>
        </w:rPr>
        <w:t>Controlled Company Status, Director Independence and Committees</w:t>
      </w:r>
      <w:r>
        <w:rPr>
          <w:rFonts w:ascii="Arial" w:cs="Arial" w:eastAsia="Arial" w:hAnsi="Arial"/>
          <w:sz w:val="17"/>
          <w:szCs w:val="17"/>
          <w:color w:val="auto"/>
        </w:rPr>
        <w:t>. Because of NL’s ownership of 86.5% of the outstanding shares of our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common stock,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or corporate governance committee or charters for these committees.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Ann Manix, Cecil H. Moore, Jr.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8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b w:val="1"/>
          <w:bCs w:val="1"/>
          <w:i w:val="1"/>
          <w:iCs w:val="1"/>
          <w:color w:val="auto"/>
        </w:rPr>
        <w:t>2018 Meetings and Standing Committees of the Board of Directors</w:t>
      </w:r>
      <w:r>
        <w:rPr>
          <w:rFonts w:ascii="Arial" w:cs="Arial" w:eastAsia="Arial" w:hAnsi="Arial"/>
          <w:sz w:val="17"/>
          <w:szCs w:val="17"/>
          <w:color w:val="auto"/>
        </w:rPr>
        <w:t>. The board of directors held six meetings in 2018. Each of our incumbent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attended 100% of the board meetings and meetings of the committees on which he or she served that were held while he or she was in office during 2018. It is expected that each director nominee will attend our annual meeting of stockholders, which is held immediately before the annual meeting of the board of directors. All of our directors who were elected at our 2018 annual stockholder meeting attended such meeting.</w:t>
      </w:r>
    </w:p>
    <w:p>
      <w:pPr>
        <w:spacing w:after="0" w:line="171"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assists with the board of directors’ oversight responsibilities relating to our financial accounting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processes and auditing processes.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87" w:lineRule="exact"/>
        <w:rPr>
          <w:sz w:val="20"/>
          <w:szCs w:val="20"/>
          <w:color w:val="auto"/>
        </w:rPr>
      </w:pPr>
    </w:p>
    <w:p>
      <w:pPr>
        <w:ind w:left="1300" w:right="22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member of our audit committee is independent, financially literate and has no material relationship with us other than serving as our director;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Ms. Terri L. Herrington and Mr. Cecil H. Moore, Jr. is an “audit committee financial expert.”</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 member of our audit committee serves on more than three public company audit committees. For further information on the role of our audit committee, see the Audit Committee Report in this proxy statement. The current members of our audit committee are Cecil H. Moore, Jr. (chairman, who is not standing for reelection as a director), Thomas E. Barry, Terri L. Herrington, Ann Manix and Mary A. Tidlund. Dr. Barry is expected to be appointed as chairman of our audit committee at the annual meeting of our board of directors that will immediately follow our 2019 annual meeting of stockholders. Our audit committee held five meetings in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Management Development and Compensation Committee</w:t>
      </w:r>
      <w:r>
        <w:rPr>
          <w:rFonts w:ascii="Arial" w:cs="Arial" w:eastAsia="Arial" w:hAnsi="Arial"/>
          <w:sz w:val="18"/>
          <w:szCs w:val="18"/>
          <w:color w:val="auto"/>
        </w:rPr>
        <w:t>. The principal responsibilities of our management development and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are:</w:t>
      </w:r>
    </w:p>
    <w:p>
      <w:pPr>
        <w:spacing w:after="0" w:line="170" w:lineRule="exact"/>
        <w:rPr>
          <w:sz w:val="20"/>
          <w:szCs w:val="20"/>
          <w:color w:val="auto"/>
        </w:rPr>
      </w:pPr>
    </w:p>
    <w:p>
      <w:pPr>
        <w:ind w:left="1300" w:right="54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recommend to the board of directors whether or not to approve any proposed charge to us or any of our privately held subsidiaries pursuant to our ISA with Contran;</w:t>
      </w:r>
    </w:p>
    <w:p>
      <w:pPr>
        <w:spacing w:after="0" w:line="386" w:lineRule="exact"/>
        <w:rPr>
          <w:rFonts w:ascii="Arial" w:cs="Arial" w:eastAsia="Arial" w:hAnsi="Arial"/>
          <w:sz w:val="18"/>
          <w:szCs w:val="18"/>
          <w:color w:val="auto"/>
        </w:rPr>
      </w:pPr>
    </w:p>
    <w:p>
      <w:pPr>
        <w:ind w:left="1300" w:right="90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review, approve and administer certain matters regarding our employee benefit plans or programs, including annual incentive compensation awards;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review, approve, administer and grant awards under our equity compensation plan;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review and administer such other compensation matters as the board of directors may direct from time to time.</w:t>
      </w:r>
    </w:p>
    <w:p>
      <w:pPr>
        <w:spacing w:after="0" w:line="200" w:lineRule="exact"/>
        <w:rPr>
          <w:sz w:val="20"/>
          <w:szCs w:val="20"/>
          <w:color w:val="auto"/>
        </w:rPr>
      </w:pPr>
    </w:p>
    <w:p>
      <w:pPr>
        <w:spacing w:after="0" w:line="24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and Thomas E. Barry. Our management development and compensation committee held two meetings in 2018.</w:t>
      </w:r>
    </w:p>
    <w:p>
      <w:pPr>
        <w:spacing w:after="0" w:line="19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b w:val="1"/>
          <w:bCs w:val="1"/>
          <w:i w:val="1"/>
          <w:iCs w:val="1"/>
          <w:color w:val="auto"/>
        </w:rPr>
        <w:t>Risk Oversight</w:t>
      </w:r>
      <w:r>
        <w:rPr>
          <w:rFonts w:ascii="Arial" w:cs="Arial" w:eastAsia="Arial" w:hAnsi="Arial"/>
          <w:sz w:val="16"/>
          <w:szCs w:val="16"/>
          <w:color w:val="auto"/>
        </w:rPr>
        <w:t>. Our board of directors oversees the actions we take in managing our material risks. Our management is 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 Our audit committee annually receives management’s reports and assessments on, among other things, the risk of fraud, certain material business risks and a ranking of such material business risks and our insurance program. The audit committee also receives reports from our independent registered public accounting firm regarding, among other things, financial risks and the risk of fraud. 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 The audit committee and management development and compensation committee report to the board of directors about their meetings. We believe the leadership structure of the board of directors is appropriate for our risk oversight.</w:t>
      </w:r>
    </w:p>
    <w:p>
      <w:pPr>
        <w:spacing w:after="0" w:line="16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Identifying and Evaluating Director Nominees</w:t>
      </w:r>
      <w:r>
        <w:rPr>
          <w:rFonts w:ascii="Arial" w:cs="Arial" w:eastAsia="Arial" w:hAnsi="Arial"/>
          <w:sz w:val="18"/>
          <w:szCs w:val="18"/>
          <w:color w:val="auto"/>
        </w:rPr>
        <w:t>. Historically, our management has recommended director nominees to the board of directors.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in our corporate governance guidelines:</w:t>
      </w:r>
    </w:p>
    <w:p>
      <w:pPr>
        <w:spacing w:after="0" w:line="170"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has no specific minimum qualifications for director nominees;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386"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ind w:right="40"/>
        <w:spacing w:after="0" w:line="273" w:lineRule="auto"/>
        <w:rPr>
          <w:sz w:val="20"/>
          <w:szCs w:val="20"/>
          <w:color w:val="auto"/>
        </w:rPr>
      </w:pPr>
      <w:r>
        <w:rPr>
          <w:rFonts w:ascii="Arial" w:cs="Arial" w:eastAsia="Arial" w:hAnsi="Arial"/>
          <w:sz w:val="17"/>
          <w:szCs w:val="17"/>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7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b w:val="1"/>
          <w:bCs w:val="1"/>
          <w:i w:val="1"/>
          <w:iCs w:val="1"/>
          <w:color w:val="auto"/>
        </w:rPr>
        <w:t>Leadership Structure of the Board of Directors and Independent Director Meetings</w:t>
      </w:r>
      <w:r>
        <w:rPr>
          <w:rFonts w:ascii="Arial" w:cs="Arial" w:eastAsia="Arial" w:hAnsi="Arial"/>
          <w:sz w:val="16"/>
          <w:szCs w:val="16"/>
          <w:color w:val="auto"/>
        </w:rPr>
        <w:t>. Loretta J. Feehan serves as our chair of the board (non-executive), and our chief executive officer does not serve on our board. The board of directors believes our current leadership structure is appropriate for a controlled company under the 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our corporate governance guidelines, our independent directors are entitled to meet on a regular basis throughout the year, and will meet at least once annually, without the participation of our other directors who are not independent. While we do not have a lead independent director, the chairman of our audit committee presides at all of the meetings of our independent directors. In 2018, we complied with the NYSE American requirements for meetings of our independent directors.</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b w:val="1"/>
          <w:bCs w:val="1"/>
          <w:i w:val="1"/>
          <w:iCs w:val="1"/>
          <w:color w:val="auto"/>
        </w:rPr>
        <w:t>Stockholder Proposals and Director Nominations for the 2020 Annual Meeting of Stockholders</w:t>
      </w:r>
      <w:r>
        <w:rPr>
          <w:rFonts w:ascii="Arial" w:cs="Arial" w:eastAsia="Arial" w:hAnsi="Arial"/>
          <w:sz w:val="16"/>
          <w:szCs w:val="16"/>
          <w:color w:val="auto"/>
        </w:rPr>
        <w:t>. Stockholders may submit proposals on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stockholder action at our annual stockholder meetings, consistent with rules adopted by the SEC. We must receive such proposals not later than December 20, 2019 to be considered for inclusion in the proxy statement and form of proxy card relating to our annual meeting of stockholders in 2020. Our bylaws require that the proposal must set forth a brief description of the proposal, the name and address of the proposing stockholder as they appear in our records, the number of shares of our common stock the stockholder holds and any material interest the stockholder has in the proposal.</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will consider the director nominee recommendations of our stockholders in accordance with the process discussed above. Our bylaws require that a nomination set forth the name and address of the nominating stockholder, a representation that the stockholder will be a stockholder of record entitled to vote at the annual stockholder meeting and intends to appear in person or by proxy at the meeting to nominate the nominee, a description of all arrangements or understandings between the stockholder and the nominee (or other persons pursuant to which the nomination is to be made), such other information regarding the nominee as would be required to be included in a proxy statement filed pursuant to the proxy rules of the SEC and the consent of the nominee to serve as a director if elected.</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proposals or director nominations to be brought at the 2020 annual meeting of stockholders but not included in the proxy statement for such meeting, our bylaws require that the proposal or nomination must be delivered or mailed to our principal executive offices in most cases no later than March 4, 2020. Proposals and nominations should be addressed to our corporate secretary at CompX International Inc., Three Lincoln Centre, 5430 LBJ Freeway, Suite 1700, Dallas, Texas 75240-2620.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20" w:firstLine="648"/>
        <w:spacing w:after="0" w:line="293" w:lineRule="auto"/>
        <w:rPr>
          <w:sz w:val="20"/>
          <w:szCs w:val="20"/>
          <w:color w:val="auto"/>
        </w:rPr>
      </w:pPr>
      <w:r>
        <w:rPr>
          <w:rFonts w:ascii="Arial" w:cs="Arial" w:eastAsia="Arial" w:hAnsi="Arial"/>
          <w:sz w:val="16"/>
          <w:szCs w:val="16"/>
          <w:b w:val="1"/>
          <w:bCs w:val="1"/>
          <w:i w:val="1"/>
          <w:iCs w:val="1"/>
          <w:color w:val="auto"/>
        </w:rPr>
        <w:t>Communications with Directors</w:t>
      </w:r>
      <w:r>
        <w:rPr>
          <w:rFonts w:ascii="Arial" w:cs="Arial" w:eastAsia="Arial" w:hAnsi="Arial"/>
          <w:sz w:val="16"/>
          <w:szCs w:val="16"/>
          <w:color w:val="auto"/>
        </w:rPr>
        <w:t>. Stockholders and other interested parties who wish to communicate with the board of directors or its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independent director meetings.</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8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color w:val="auto"/>
        </w:rPr>
        <w:t>. During 2018, Ann Manix and Thomas E. Barry served on the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compensation committee. No member of the committee:</w:t>
      </w:r>
    </w:p>
    <w:p>
      <w:pPr>
        <w:spacing w:after="0" w:line="170"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an officer or employee of ours during 2018 or any prior year;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had any related party relationships with us that requires disclosure under applicable SEC rules;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had any interlock relationships under applicable SEC rules.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For 2018, no executive officer of ours had any interlock relationships within the scope of the intent of applicable SEC rules. However, during 2018 Robert 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Graham was an executive officer of ours and on the board of directors of Contran when concurrently also serving as one of our directors.</w:t>
      </w:r>
    </w:p>
    <w:p>
      <w:pPr>
        <w:spacing w:after="0" w:line="211"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b w:val="1"/>
          <w:bCs w:val="1"/>
          <w:i w:val="1"/>
          <w:iCs w:val="1"/>
          <w:color w:val="auto"/>
        </w:rPr>
        <w:t>Code of Business Conduct and Ethics</w:t>
      </w:r>
      <w:r>
        <w:rPr>
          <w:rFonts w:ascii="Arial" w:cs="Arial" w:eastAsia="Arial" w:hAnsi="Arial"/>
          <w:sz w:val="17"/>
          <w:szCs w:val="17"/>
          <w:color w:val="auto"/>
        </w:rPr>
        <w:t>. We have adopted a code of business conduct and ethics. The code applies to all of our directors,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We will disclose amendments to or waivers of the code as required by law and the applicable rules of the NYSE American.</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b w:val="1"/>
          <w:bCs w:val="1"/>
          <w:i w:val="1"/>
          <w:iCs w:val="1"/>
          <w:color w:val="auto"/>
        </w:rPr>
        <w:t>Corporate Governance Guidelines</w:t>
      </w:r>
      <w:r>
        <w:rPr>
          <w:rFonts w:ascii="Arial" w:cs="Arial" w:eastAsia="Arial" w:hAnsi="Arial"/>
          <w:sz w:val="17"/>
          <w:szCs w:val="17"/>
          <w:color w:val="auto"/>
        </w:rPr>
        <w:t>. We have adopted corporate governance guidelines to assist the board of directors in exercising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responsibilities. Among other things, the corporate governance guidelines provide for director qualifications, for independence standards and responsibilities, for approval procedures for ISAs and that our audit committee chairman preside at all meetings of the independent directors.</w:t>
      </w:r>
    </w:p>
    <w:p>
      <w:pPr>
        <w:spacing w:after="0" w:line="16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b w:val="1"/>
          <w:bCs w:val="1"/>
          <w:i w:val="1"/>
          <w:iCs w:val="1"/>
          <w:color w:val="auto"/>
        </w:rPr>
        <w:t>Availability of Corporate Governance Documents</w:t>
      </w:r>
      <w:r>
        <w:rPr>
          <w:rFonts w:ascii="Arial" w:cs="Arial" w:eastAsia="Arial" w:hAnsi="Arial"/>
          <w:sz w:val="18"/>
          <w:szCs w:val="18"/>
          <w:color w:val="auto"/>
        </w:rPr>
        <w:t>. A copy of each of our audit committee charter, code of business conduct and ethics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governance guidelines is available on our website at www.compx.com under the corporate section.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OTHER INFORMATION</w:t>
      </w:r>
    </w:p>
    <w:p>
      <w:pPr>
        <w:spacing w:after="0" w:line="211"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b w:val="1"/>
          <w:bCs w:val="1"/>
          <w:i w:val="1"/>
          <w:iCs w:val="1"/>
          <w:color w:val="auto"/>
        </w:rPr>
        <w:t>Compensation Discussion and Analysis</w:t>
      </w:r>
      <w:r>
        <w:rPr>
          <w:rFonts w:ascii="Arial" w:cs="Arial" w:eastAsia="Arial" w:hAnsi="Arial"/>
          <w:sz w:val="16"/>
          <w:szCs w:val="16"/>
          <w:color w:val="auto"/>
        </w:rPr>
        <w:t>. This compensation discussion and analysis describes the key principles and factors underlying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compensation policies for our named executive officers. In 2018, we employed one of our named executive officers. Contran employed and directly compensated our four other named executive officers who provided their services to us in 2018 under our ISA with Contran.</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defined in the Glossary of Terms at the beginning of this proxy statement, the phrase “named executive officers” refers to the five persons whose compensation is summarized in the 2018 Summary Compensation Table in this proxy statement. Such phrase is not intended to refer, and does not refer, to all of our executive officers.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Nonbinding Advisory Stockholder Vote on Executive Officer Compensation</w:t>
      </w:r>
      <w:r>
        <w:rPr>
          <w:rFonts w:ascii="Arial" w:cs="Arial" w:eastAsia="Arial" w:hAnsi="Arial"/>
          <w:sz w:val="18"/>
          <w:szCs w:val="18"/>
          <w:color w:val="auto"/>
        </w:rPr>
        <w:t>. For the 2018 annual meeting of stockholders, we submitted a</w:t>
      </w:r>
      <w:r>
        <w:rPr>
          <w:rFonts w:ascii="Arial" w:cs="Arial" w:eastAsia="Arial" w:hAnsi="Arial"/>
          <w:sz w:val="18"/>
          <w:szCs w:val="18"/>
          <w:i w:val="1"/>
          <w:iCs w:val="1"/>
          <w:color w:val="auto"/>
        </w:rPr>
        <w:t xml:space="preserve"> </w:t>
      </w:r>
      <w:r>
        <w:rPr>
          <w:rFonts w:ascii="Arial" w:cs="Arial" w:eastAsia="Arial" w:hAnsi="Arial"/>
          <w:sz w:val="18"/>
          <w:szCs w:val="18"/>
          <w:color w:val="auto"/>
        </w:rPr>
        <w:t>nonbinding advisory proposal recommending the stockholders adopt a resolution approving the compensation of our named executive officers as disclosed in the 2018 proxy statement. At the annual meeting, the resolution received the affirmative vote of 94.2% of the eligible votes. We considered the favorable result and determined not to make any material changes to our compensation practices.</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Compensation of our Named Executive Officer Employed by Us</w:t>
      </w:r>
      <w:r>
        <w:rPr>
          <w:rFonts w:ascii="Arial" w:cs="Arial" w:eastAsia="Arial" w:hAnsi="Arial"/>
          <w:sz w:val="18"/>
          <w:szCs w:val="18"/>
          <w:color w:val="auto"/>
        </w:rPr>
        <w:t>. We have one named executive officer employed by us. Scott C. James is our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Mr. James was an executive officer and employed by us for all of the last three years, and became our chief executive officer in May 2017.</w:t>
      </w:r>
    </w:p>
    <w:p>
      <w:pPr>
        <w:spacing w:after="0" w:line="177"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Prior to 2016, we decided to forgo long-term compensation (other than defined contribution plans that are generally available on a non-discriminatory basis to all employees) and implemented a compensation program that is primarily cash-based, with minimal perquisites, if any. Our objectives for the primarily cash-based compensation program as it relates to our senior officers, including Mr. James, are to:</w:t>
      </w:r>
    </w:p>
    <w:p>
      <w:pPr>
        <w:spacing w:after="0" w:line="162"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have a total individual compensation package that is easy to understand;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encourage them to maximize long-term stockholder value;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achieve a balanced compensation package that would attract and retain highly qualified senior officers and appropriately reflect each such officer’s individual performance, contributions and general market value.</w:t>
      </w:r>
    </w:p>
    <w:p>
      <w:pPr>
        <w:spacing w:after="0" w:line="3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spacing w:after="0" w:line="18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We have established Mr. James’ annual base salary based on his responsibility and experience. We pay this portion of his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to provide Mr. James with a reliable amount of compensation for the year, subject to his continued at-will employment and satisfactory performance for his services at the level of his responsibilities. Robert D. Graham, who is our vice chairman of the board, conducts an annual internal review of Mr. James’ salary level and makes a recommendation on the salary to our management development and compensation committee. (For 2016, the review and recommendation for Mr. James was conducted by our then-current chief executive officer.) The committee reviews the recommendation and may take such action, including modifications to the recommendation, as it deems appropriate. The recommendation of Mr. Graham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1" w:name="page22"/>
    <w:bookmarkEnd w:id="21"/>
    <w:p>
      <w:pPr>
        <w:ind w:right="80" w:firstLine="648"/>
        <w:spacing w:after="0" w:line="259" w:lineRule="auto"/>
        <w:rPr>
          <w:sz w:val="20"/>
          <w:szCs w:val="20"/>
          <w:color w:val="auto"/>
        </w:rPr>
      </w:pPr>
      <w:r>
        <w:rPr>
          <w:rFonts w:ascii="Arial" w:cs="Arial" w:eastAsia="Arial" w:hAnsi="Arial"/>
          <w:sz w:val="18"/>
          <w:szCs w:val="18"/>
          <w:color w:val="auto"/>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2018 Summary Compensation Table in this proxy statement for each of the last three years.</w:t>
      </w:r>
    </w:p>
    <w:p>
      <w:pPr>
        <w:spacing w:after="0" w:line="183"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Annual Incentive Bonus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pay a discretionary incentive bonus annually in cash to Mr. James to motivate him to achieve higher levels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in attaining 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Mr. Graham (or, for 2016, of our then-current chief executive officer) and upon the determinations of our management development and compensation committee, which may take such action, including modifications to the recommendation, as it deems appropriate.</w:t>
      </w:r>
    </w:p>
    <w:p>
      <w:pPr>
        <w:spacing w:after="0" w:line="16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56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w w:val="87"/>
              </w:rPr>
              <w:t>Discretionary Incentive Bonuses as a</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8"/>
              </w:rPr>
              <w:t>Percentage of Base Salary</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Named Executive Officer</w:t>
            </w:r>
          </w:p>
        </w:tc>
        <w:tc>
          <w:tcPr>
            <w:tcW w:w="20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color w:val="auto"/>
              </w:rPr>
              <w:t>(1)</w:t>
            </w:r>
          </w:p>
        </w:tc>
        <w:tc>
          <w:tcPr>
            <w:tcW w:w="2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(1)</w:t>
            </w:r>
          </w:p>
        </w:tc>
        <w:tc>
          <w:tcPr>
            <w:tcW w:w="16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8"/>
              </w:rPr>
              <w:t xml:space="preserve">2018 </w:t>
            </w:r>
            <w:r>
              <w:rPr>
                <w:rFonts w:ascii="Arial" w:cs="Arial" w:eastAsia="Arial" w:hAnsi="Arial"/>
                <w:sz w:val="18"/>
                <w:szCs w:val="18"/>
                <w:color w:val="auto"/>
                <w:w w:val="98"/>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Scott C. James</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56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128%</w:t>
            </w:r>
          </w:p>
        </w:tc>
        <w:tc>
          <w:tcPr>
            <w:tcW w:w="16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38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bonuses were approved by our management development and compensation committee in the first quarter of the following year, and such bonuses were paid in such following year for performance in the reported year.</w:t>
      </w:r>
    </w:p>
    <w:p>
      <w:pPr>
        <w:spacing w:after="0" w:line="3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2018 discretionary incentive bonus for Mr. James recognized, among other things, our higher sales and operating income in 2018 in both of our segments as compared to 2017, and Mr. James’ greater level of experience as chief executive officer. The 2017 discretionary incentive bonus for Mr. James recognized, among other things, the promotion of Mr. James in 2017 to our chief executive officer, improved revenues in 2017 in both of our segments as compared to 2016, and continued strong operating income. The 2016 discretionary incentive bonus for Mr. James recognized, among other things, the continuation of our significantly improved operating income in 2016 in both of our segments as compared to 2015. These discretionary incentive bonuses are disclosed in the bonus column in the 2018 Summary Compensation Table in this proxy statement.</w:t>
      </w:r>
    </w:p>
    <w:p>
      <w:pPr>
        <w:spacing w:after="0" w:line="174"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Defined Contribution Plans</w:t>
      </w:r>
      <w:r>
        <w:rPr>
          <w:rFonts w:ascii="Arial" w:cs="Arial" w:eastAsia="Arial" w:hAnsi="Arial"/>
          <w:sz w:val="18"/>
          <w:szCs w:val="18"/>
          <w:color w:val="auto"/>
        </w:rPr>
        <w:t>. We pay discretionary annual contributions to the CompX Capital Accumulation Plan, a profit sharing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88" w:lineRule="exact"/>
        <w:rPr>
          <w:sz w:val="20"/>
          <w:szCs w:val="20"/>
          <w:color w:val="auto"/>
        </w:rPr>
      </w:pPr>
    </w:p>
    <w:p>
      <w:pPr>
        <w:ind w:left="1300" w:right="180" w:hanging="644"/>
        <w:spacing w:after="0" w:line="342"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the CompX Capital Accumulation Plan for each of the last three plan years, 7.25% of that year’s earnings before taxes of our combined CompX security products division and Livorsi marine components unit for each of the last three years (with certain adjustments); and</w:t>
      </w:r>
    </w:p>
    <w:p>
      <w:pPr>
        <w:spacing w:after="0" w:line="339" w:lineRule="exact"/>
        <w:rPr>
          <w:rFonts w:ascii="Arial" w:cs="Arial" w:eastAsia="Arial" w:hAnsi="Arial"/>
          <w:sz w:val="16"/>
          <w:szCs w:val="16"/>
          <w:color w:val="auto"/>
        </w:rPr>
      </w:pPr>
    </w:p>
    <w:p>
      <w:pPr>
        <w:ind w:left="1300" w:right="58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our 401(k) plan for each of the last three plan years, a matching contribution from a pool of 5% of the earnings before taxes of the business unit up to 100% of the participant’s eligible earnings.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140" w:firstLine="648"/>
        <w:spacing w:after="0" w:line="277" w:lineRule="auto"/>
        <w:rPr>
          <w:sz w:val="20"/>
          <w:szCs w:val="20"/>
          <w:color w:val="auto"/>
        </w:rPr>
      </w:pPr>
      <w:r>
        <w:rPr>
          <w:rFonts w:ascii="Arial" w:cs="Arial" w:eastAsia="Arial" w:hAnsi="Arial"/>
          <w:sz w:val="18"/>
          <w:szCs w:val="18"/>
          <w:color w:val="auto"/>
        </w:rPr>
        <w:t>Mr. James received such contributions for each of the last three years. These contributions are included in his all other compensation column in the 2018 Summary Compensation Table in this proxy statement.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Compensation of our Named Executive Officers Employed by Contran</w:t>
      </w:r>
      <w:r>
        <w:rPr>
          <w:rFonts w:ascii="Arial" w:cs="Arial" w:eastAsia="Arial" w:hAnsi="Arial"/>
          <w:sz w:val="18"/>
          <w:szCs w:val="18"/>
          <w:color w:val="auto"/>
        </w:rPr>
        <w:t>. For each of the last three years, certain of our named executive officers were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Contran and provided their services to us pursuant to our ISA with Contran. Our named executive officers who provided services to us pursuant to our ISA with Contran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6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Name</w:t>
            </w:r>
          </w:p>
        </w:tc>
        <w:tc>
          <w:tcPr>
            <w:tcW w:w="904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Positions with CompX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Andrew B. Nace</w:t>
            </w:r>
          </w:p>
        </w:tc>
        <w:tc>
          <w:tcPr>
            <w:tcW w:w="9040" w:type="dxa"/>
            <w:vAlign w:val="bottom"/>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James W. Brown</w:t>
            </w:r>
          </w:p>
        </w:tc>
        <w:tc>
          <w:tcPr>
            <w:tcW w:w="9040" w:type="dxa"/>
            <w:vAlign w:val="bottom"/>
          </w:tcPr>
          <w:p>
            <w:pPr>
              <w:ind w:left="660"/>
              <w:spacing w:after="0"/>
              <w:rPr>
                <w:sz w:val="20"/>
                <w:szCs w:val="20"/>
                <w:color w:val="auto"/>
              </w:rPr>
            </w:pPr>
            <w:r>
              <w:rPr>
                <w:rFonts w:ascii="Arial" w:cs="Arial" w:eastAsia="Arial" w:hAnsi="Arial"/>
                <w:sz w:val="18"/>
                <w:szCs w:val="18"/>
                <w:color w:val="auto"/>
              </w:rPr>
              <w:t>Vice President, Chief Financial Officer and Controller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nature of the duties of each of our named executive officers who are employees of Contran is consistent with the duties normally associated with the officer titles and positions such officer holds with us.</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Intercorporate Services Agreement with Contran</w:t>
      </w:r>
      <w:r>
        <w:rPr>
          <w:rFonts w:ascii="Arial" w:cs="Arial" w:eastAsia="Arial" w:hAnsi="Arial"/>
          <w:sz w:val="18"/>
          <w:szCs w:val="18"/>
          <w:color w:val="auto"/>
        </w:rPr>
        <w:t>. We pay Contran a fee for services provided pursuant to our ISA with Contran, which fee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 The nature of the duties of each of our executive officers who are employees of Contran is consistent with the duties normally associated with the officer titles and positions such officer holds with us.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2018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2018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8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in our collective business judgment and experience without performing any independent market research.</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annualized base salary of such employee at the beginning of the year;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180" w:hanging="644"/>
        <w:spacing w:after="0" w:line="342"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339" w:lineRule="exact"/>
        <w:rPr>
          <w:rFonts w:ascii="Arial" w:cs="Arial" w:eastAsia="Arial" w:hAnsi="Arial"/>
          <w:sz w:val="16"/>
          <w:szCs w:val="16"/>
          <w:color w:val="auto"/>
        </w:rPr>
      </w:pPr>
    </w:p>
    <w:p>
      <w:pPr>
        <w:ind w:left="1300" w:right="40" w:hanging="644"/>
        <w:spacing w:after="0" w:line="259"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Contran’s portion of the social security and medicare taxes on such base salary and an estimated overhead factor (25% for 2018 and 2017 and 23% for 2016)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w:t>
      </w:r>
    </w:p>
    <w:p>
      <w:pPr>
        <w:spacing w:after="0" w:line="200" w:lineRule="exact"/>
        <w:rPr>
          <w:sz w:val="20"/>
          <w:szCs w:val="20"/>
          <w:color w:val="auto"/>
        </w:rPr>
      </w:pP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Contran’s senior management subsequently made such adjustments to the details of the proposed ISA charge as they deemed necessary for accuracy, overall reasonableness and fairness to us.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first quarter of each year,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81"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quality of the services Contran provides to us, including the quality of the services certain of our executive officers provide to us;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comparison of the ISA charge and number of full-time equivalent employees reflected in the charge by department for the prior year and proposed for the current year;</w:t>
      </w:r>
    </w:p>
    <w:p>
      <w:pPr>
        <w:spacing w:after="0" w:line="386"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charges by department and in total and such amounts as a percentage of Contran’s similarly calculated costs for its departments and in total for those years;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average hourly rate;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concurrence of our chief financial officer as to the reasonableness of the proposed charge.</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that:</w:t>
      </w:r>
    </w:p>
    <w:p>
      <w:pPr>
        <w:spacing w:after="0" w:line="188" w:lineRule="exact"/>
        <w:rPr>
          <w:sz w:val="20"/>
          <w:szCs w:val="20"/>
          <w:color w:val="auto"/>
        </w:rPr>
      </w:pPr>
    </w:p>
    <w:p>
      <w:pPr>
        <w:ind w:left="1300" w:right="4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to employ the additional personnel necessary to provide the quality of the services provided by Contran would exceed the proposed aggregate fee to be charged by Contran to us under our ISA with Contran; and</w:t>
      </w:r>
    </w:p>
    <w:p>
      <w:pPr>
        <w:spacing w:after="0" w:line="386"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cost for such services would be no less favorable than could otherwise be obtained from an unrelated third party for comparable services in the committee’s collective business judgment and experience, without performing any independent market research.</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reaching its recommendation, our management development and compensation committee did not review:</w:t>
      </w:r>
    </w:p>
    <w:p>
      <w:pPr>
        <w:spacing w:after="0" w:line="225" w:lineRule="exact"/>
        <w:rPr>
          <w:sz w:val="20"/>
          <w:szCs w:val="20"/>
          <w:color w:val="auto"/>
        </w:rPr>
      </w:pPr>
    </w:p>
    <w:p>
      <w:pPr>
        <w:ind w:left="1300" w:right="34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ISA charge from Contran to any other publicly held parent or sister company, although such charge was separately reviewed by the management development and compensation committee of the applicable company; and</w:t>
      </w:r>
    </w:p>
    <w:p>
      <w:pPr>
        <w:spacing w:after="0" w:line="3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compensation policies of Contran or the amount of time our named executive officers employed by Contran are expected to devote to us because: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ind w:left="1960" w:right="300" w:hanging="655"/>
        <w:spacing w:after="0" w:line="277" w:lineRule="auto"/>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named executive officers employed by Contran, provides services to many companies related to Contran, including Contran itself;</w:t>
      </w:r>
    </w:p>
    <w:p>
      <w:pPr>
        <w:spacing w:after="0" w:line="386"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fee we pay to Contran under our ISA with Contran each year does not represent all of Contran’s cost of employing each of such named executive officers;</w:t>
      </w:r>
    </w:p>
    <w:p>
      <w:pPr>
        <w:spacing w:after="0" w:line="386" w:lineRule="exact"/>
        <w:rPr>
          <w:rFonts w:ascii="Arial" w:cs="Arial" w:eastAsia="Arial" w:hAnsi="Arial"/>
          <w:sz w:val="18"/>
          <w:szCs w:val="18"/>
          <w:color w:val="auto"/>
        </w:rPr>
      </w:pPr>
    </w:p>
    <w:p>
      <w:pPr>
        <w:ind w:left="1960" w:right="220" w:hanging="655"/>
        <w:spacing w:after="0" w:line="277" w:lineRule="auto"/>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Contran and these other companies related to Contran absorb the remaining amount of Contran’s cost of employing each of such named executive officers; and</w:t>
      </w:r>
    </w:p>
    <w:p>
      <w:pPr>
        <w:spacing w:after="0" w:line="386" w:lineRule="exact"/>
        <w:rPr>
          <w:rFonts w:ascii="Arial" w:cs="Arial" w:eastAsia="Arial" w:hAnsi="Arial"/>
          <w:sz w:val="18"/>
          <w:szCs w:val="18"/>
          <w:color w:val="auto"/>
        </w:rPr>
      </w:pPr>
    </w:p>
    <w:p>
      <w:pPr>
        <w:ind w:left="1960" w:right="700" w:hanging="655"/>
        <w:spacing w:after="0" w:line="342" w:lineRule="auto"/>
        <w:tabs>
          <w:tab w:leader="none" w:pos="1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members of our management development and compensation committee consider the other factors discussed above in determining whether to recommend that the proposed ISA fee for each year be approved by the full board of directors.</w:t>
      </w:r>
    </w:p>
    <w:p>
      <w:pPr>
        <w:spacing w:after="0" w:line="340"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Based on the recommendation of our management development and compensation committee as well as the concurrence of our chief financial officer, our independent directors approved the proposed annual ISA charge effective January 1, 2018, with our other directors abstaining.</w:t>
      </w:r>
    </w:p>
    <w:p>
      <w:pPr>
        <w:spacing w:after="0" w:line="3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(during 2016 and 2017, the Code contained an exception to such limitation for performance-based compensation).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2016, 2017 and 2018 the ISA did not include, and in 2019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spacing w:after="0" w:line="17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Director Fees, including Equity-Based Compensation. </w:t>
      </w:r>
      <w:r>
        <w:rPr>
          <w:rFonts w:ascii="Arial" w:cs="Arial" w:eastAsia="Arial" w:hAnsi="Arial"/>
          <w:sz w:val="17"/>
          <w:szCs w:val="17"/>
          <w:color w:val="auto"/>
        </w:rPr>
        <w:t>Prior to July 2017, we paid director fees in the form of cash and stock compensation to Mr.</w:t>
      </w:r>
      <w:r>
        <w:rPr>
          <w:rFonts w:ascii="Arial" w:cs="Arial" w:eastAsia="Arial" w:hAnsi="Arial"/>
          <w:sz w:val="17"/>
          <w:szCs w:val="17"/>
          <w:i w:val="1"/>
          <w:iCs w:val="1"/>
          <w:color w:val="auto"/>
        </w:rPr>
        <w:t xml:space="preserve"> </w:t>
      </w:r>
      <w:r>
        <w:rPr>
          <w:rFonts w:ascii="Arial" w:cs="Arial" w:eastAsia="Arial" w:hAnsi="Arial"/>
          <w:sz w:val="17"/>
          <w:szCs w:val="17"/>
          <w:color w:val="auto"/>
        </w:rPr>
        <w:t>Graham, who provided services to us pursuant to our ISA with Contran and who also served on our board of directors. Other than these director fees, we did not pay any compensation directly to Mr. Graham. Effective July 2017, our executive officers, including our named executive officers, are no longer eligible to receive cash compensation for their service on our board of directors. Beginning in 2018, our executive officers, including our named executive officers, are no longer eligible to receive equity-based compensation for their services on our board of directors.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2018 Summary Compensation Table sets forth the cash fees that we paid to Mr. Graham for his director services prior to July 2017. The director fees paid to him were annual director retainer fees and fees for attending board meetings. The cash director fees paid were not dependent upon our financial performance.</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2018 Summary Compensation Table sets forth the director stock grants we paid to Mr. Graham for his director services prior to July 2017. See footnote 4 to the 2018 Summary Compensation Table for a discussion of the formula by which these stock awards were determined. The stock grants Mr. Graham received prior to July 2017 were pursuant to the same formula used for all eligible directors at the time. The dollar amount of the stock awards appearing in the 2018 Summary Compensation Table represents the value recognized for financial statement reporting purposes of shares of common stock we granted to Mr. Graham for his director services.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Prior to 2016, we decided to forgo the grant of any equity compensation other than annual awards of stock to our directors, as discussed above. We also do not have any security ownership requirements or guidelines for our management or directors. We do not currently anticipate any equity-based compensation will be granted in 2019, other than the annual grants of stock to our directors who are not employees of Contran or one of its subsidiaries or affiliates.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Compensation Committee Report</w:t>
      </w:r>
      <w:r>
        <w:rPr>
          <w:rFonts w:ascii="Arial" w:cs="Arial" w:eastAsia="Arial" w:hAnsi="Arial"/>
          <w:sz w:val="17"/>
          <w:szCs w:val="17"/>
          <w:color w:val="auto"/>
        </w:rPr>
        <w:t>. The management development and compensation committee has reviewed with management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Discussion and Analysis section in this proxy statement. Based on the committee’s review and a discussion with management, the committee recommended to the board of directors that our compensation discussion and analysis be included in this proxy statement.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members of our management development and compensation committee submit the foregoing report as of February 27, 2019.</w:t>
      </w:r>
    </w:p>
    <w:p>
      <w:pPr>
        <w:sectPr>
          <w:pgSz w:w="11900" w:h="16838" w:orient="portrait"/>
          <w:cols w:equalWidth="0" w:num="1">
            <w:col w:w="11300"/>
          </w:cols>
          <w:pgMar w:left="240" w:top="125" w:right="35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 Manix</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 of our Management Development and Compensation Committee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Barry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 of our Management Development and Compensation Committee</w:t>
      </w:r>
    </w:p>
    <w:p>
      <w:pPr>
        <w:spacing w:after="0" w:line="200" w:lineRule="exact"/>
        <w:rPr>
          <w:sz w:val="20"/>
          <w:szCs w:val="20"/>
          <w:color w:val="auto"/>
        </w:rPr>
      </w:pPr>
    </w:p>
    <w:p>
      <w:pPr>
        <w:sectPr>
          <w:pgSz w:w="11900" w:h="16838" w:orient="portrait"/>
          <w:cols w:equalWidth="0" w:num="2">
            <w:col w:w="5240" w:space="720"/>
            <w:col w:w="5340"/>
          </w:cols>
          <w:pgMar w:left="24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26" w:name="page27"/>
    <w:bookmarkEnd w:id="26"/>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Summary of Cash and Certain Other Compensation of Executive Officers</w:t>
      </w:r>
      <w:r>
        <w:rPr>
          <w:rFonts w:ascii="Arial" w:cs="Arial" w:eastAsia="Arial" w:hAnsi="Arial"/>
          <w:sz w:val="17"/>
          <w:szCs w:val="17"/>
          <w:color w:val="auto"/>
        </w:rPr>
        <w:t>. The 2018 Summary Compensation Table below provides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concerning compensation we and our subsidiaries paid or accrued for services rendered during the last three years by our chief executive officer, our chief financial officer, and each of the three other most highly compensated individuals (in certain instances, based on ISA charges to us) who were our executive officers at December 31, 2018. Messrs. Brown, Graham, Nace and Swalwell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xml:space="preserve">2018 SUMMARY COMPENSATION TABLE </w:t>
            </w:r>
            <w:r>
              <w:rPr>
                <w:rFonts w:ascii="Arial" w:cs="Arial" w:eastAsia="Arial" w:hAnsi="Arial"/>
                <w:sz w:val="18"/>
                <w:szCs w:val="18"/>
                <w:color w:val="auto"/>
              </w:rPr>
              <w:t>(1)</w:t>
            </w: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All Other</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ind w:left="320"/>
              <w:spacing w:after="0"/>
              <w:rPr>
                <w:sz w:val="20"/>
                <w:szCs w:val="20"/>
                <w:color w:val="auto"/>
              </w:rPr>
            </w:pPr>
            <w:r>
              <w:rPr>
                <w:rFonts w:ascii="Arial" w:cs="Arial" w:eastAsia="Arial" w:hAnsi="Arial"/>
                <w:sz w:val="18"/>
                <w:szCs w:val="18"/>
                <w:b w:val="1"/>
                <w:bCs w:val="1"/>
                <w:color w:val="auto"/>
              </w:rPr>
              <w:t>Name and Principal Position</w:t>
            </w:r>
          </w:p>
        </w:tc>
        <w:tc>
          <w:tcPr>
            <w:tcW w:w="82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1960" w:type="dxa"/>
            <w:vAlign w:val="bottom"/>
          </w:tcPr>
          <w:p>
            <w:pPr>
              <w:jc w:val="right"/>
              <w:ind w:right="650"/>
              <w:spacing w:after="0"/>
              <w:rPr>
                <w:sz w:val="20"/>
                <w:szCs w:val="20"/>
                <w:color w:val="auto"/>
              </w:rPr>
            </w:pPr>
            <w:r>
              <w:rPr>
                <w:rFonts w:ascii="Arial" w:cs="Arial" w:eastAsia="Arial" w:hAnsi="Arial"/>
                <w:sz w:val="18"/>
                <w:szCs w:val="18"/>
                <w:b w:val="1"/>
                <w:bCs w:val="1"/>
                <w:color w:val="auto"/>
              </w:rPr>
              <w:t>Salary</w:t>
            </w:r>
          </w:p>
        </w:tc>
        <w:tc>
          <w:tcPr>
            <w:tcW w:w="13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Bonus</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Stock Awards</w:t>
            </w: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Compensation</w:t>
            </w: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 (2)</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2018</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$409,000(3)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   -0-</w:t>
            </w:r>
          </w:p>
        </w:tc>
        <w:tc>
          <w:tcPr>
            <w:tcW w:w="17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  -0-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i w:val="1"/>
                <w:iCs w:val="1"/>
                <w:color w:val="auto"/>
              </w:rPr>
              <w:t>Vice Chairman of the Board</w:t>
            </w:r>
          </w:p>
        </w:tc>
        <w:tc>
          <w:tcPr>
            <w:tcW w:w="820" w:type="dxa"/>
            <w:vAlign w:val="bottom"/>
          </w:tcPr>
          <w:p>
            <w:pPr>
              <w:ind w:left="300"/>
              <w:spacing w:after="0"/>
              <w:rPr>
                <w:sz w:val="20"/>
                <w:szCs w:val="20"/>
                <w:color w:val="auto"/>
              </w:rPr>
            </w:pPr>
            <w:r>
              <w:rPr>
                <w:rFonts w:ascii="Arial" w:cs="Arial" w:eastAsia="Arial" w:hAnsi="Arial"/>
                <w:sz w:val="18"/>
                <w:szCs w:val="18"/>
                <w:color w:val="auto"/>
              </w:rPr>
              <w:t>2017</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225,500(3)</w:t>
            </w: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13,900(4)</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239,400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Scott C. James</w:t>
            </w:r>
          </w:p>
        </w:tc>
        <w:tc>
          <w:tcPr>
            <w:tcW w:w="820" w:type="dxa"/>
            <w:vAlign w:val="bottom"/>
          </w:tcPr>
          <w:p>
            <w:pPr>
              <w:ind w:left="300"/>
              <w:spacing w:after="0"/>
              <w:rPr>
                <w:sz w:val="20"/>
                <w:szCs w:val="20"/>
                <w:color w:val="auto"/>
              </w:rPr>
            </w:pPr>
            <w:r>
              <w:rPr>
                <w:rFonts w:ascii="Arial" w:cs="Arial" w:eastAsia="Arial" w:hAnsi="Arial"/>
                <w:sz w:val="18"/>
                <w:szCs w:val="18"/>
                <w:color w:val="auto"/>
              </w:rPr>
              <w:t>2018</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424,327</w:t>
            </w: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550,000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40,238(5)</w:t>
            </w:r>
          </w:p>
        </w:tc>
        <w:tc>
          <w:tcPr>
            <w:tcW w:w="1280" w:type="dxa"/>
            <w:vAlign w:val="bottom"/>
          </w:tcPr>
          <w:p>
            <w:pPr>
              <w:jc w:val="right"/>
              <w:spacing w:after="0"/>
              <w:rPr>
                <w:sz w:val="20"/>
                <w:szCs w:val="20"/>
                <w:color w:val="auto"/>
              </w:rPr>
            </w:pPr>
            <w:r>
              <w:rPr>
                <w:rFonts w:ascii="Arial" w:cs="Arial" w:eastAsia="Arial" w:hAnsi="Arial"/>
                <w:sz w:val="18"/>
                <w:szCs w:val="18"/>
                <w:color w:val="auto"/>
              </w:rPr>
              <w:t>1,014,565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Chief</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2017</w:t>
            </w: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389,712</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500,000</w:t>
            </w:r>
          </w:p>
        </w:tc>
        <w:tc>
          <w:tcPr>
            <w:tcW w:w="1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34,435(5)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i w:val="1"/>
                <w:iCs w:val="1"/>
                <w:color w:val="auto"/>
              </w:rPr>
              <w:t>Executive Officer</w:t>
            </w:r>
          </w:p>
        </w:tc>
        <w:tc>
          <w:tcPr>
            <w:tcW w:w="820" w:type="dxa"/>
            <w:vAlign w:val="bottom"/>
          </w:tcPr>
          <w:p>
            <w:pPr>
              <w:ind w:left="300"/>
              <w:spacing w:after="0"/>
              <w:rPr>
                <w:sz w:val="20"/>
                <w:szCs w:val="20"/>
                <w:color w:val="auto"/>
              </w:rPr>
            </w:pPr>
            <w:r>
              <w:rPr>
                <w:rFonts w:ascii="Arial" w:cs="Arial" w:eastAsia="Arial" w:hAnsi="Arial"/>
                <w:sz w:val="18"/>
                <w:szCs w:val="18"/>
                <w:color w:val="auto"/>
              </w:rPr>
              <w:t>2016</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374,486</w:t>
            </w: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425,000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35,586(5)</w:t>
            </w:r>
          </w:p>
        </w:tc>
        <w:tc>
          <w:tcPr>
            <w:tcW w:w="1280" w:type="dxa"/>
            <w:vAlign w:val="bottom"/>
          </w:tcPr>
          <w:p>
            <w:pPr>
              <w:jc w:val="right"/>
              <w:spacing w:after="0"/>
              <w:rPr>
                <w:sz w:val="20"/>
                <w:szCs w:val="20"/>
                <w:color w:val="auto"/>
              </w:rPr>
            </w:pPr>
            <w:r>
              <w:rPr>
                <w:rFonts w:ascii="Arial" w:cs="Arial" w:eastAsia="Arial" w:hAnsi="Arial"/>
                <w:sz w:val="18"/>
                <w:szCs w:val="18"/>
                <w:color w:val="auto"/>
              </w:rPr>
              <w:t>835,072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Andrew B. Nace (2)</w:t>
            </w:r>
          </w:p>
        </w:tc>
        <w:tc>
          <w:tcPr>
            <w:tcW w:w="820" w:type="dxa"/>
            <w:vAlign w:val="bottom"/>
          </w:tcPr>
          <w:p>
            <w:pPr>
              <w:ind w:left="300"/>
              <w:spacing w:after="0"/>
              <w:rPr>
                <w:sz w:val="20"/>
                <w:szCs w:val="20"/>
                <w:color w:val="auto"/>
              </w:rPr>
            </w:pPr>
            <w:r>
              <w:rPr>
                <w:rFonts w:ascii="Arial" w:cs="Arial" w:eastAsia="Arial" w:hAnsi="Arial"/>
                <w:sz w:val="18"/>
                <w:szCs w:val="18"/>
                <w:color w:val="auto"/>
              </w:rPr>
              <w:t>2018</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306,000(3)</w:t>
            </w: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306,000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2017</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215,000(3)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8"/>
                <w:szCs w:val="18"/>
                <w:color w:val="auto"/>
              </w:rPr>
              <w:t>2016</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222,400(3)</w:t>
            </w: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222,400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Gregory B. Swalwell (2)</w:t>
            </w:r>
          </w:p>
        </w:tc>
        <w:tc>
          <w:tcPr>
            <w:tcW w:w="820" w:type="dxa"/>
            <w:vAlign w:val="bottom"/>
          </w:tcPr>
          <w:p>
            <w:pPr>
              <w:ind w:left="300"/>
              <w:spacing w:after="0"/>
              <w:rPr>
                <w:sz w:val="20"/>
                <w:szCs w:val="20"/>
                <w:color w:val="auto"/>
              </w:rPr>
            </w:pPr>
            <w:r>
              <w:rPr>
                <w:rFonts w:ascii="Arial" w:cs="Arial" w:eastAsia="Arial" w:hAnsi="Arial"/>
                <w:sz w:val="18"/>
                <w:szCs w:val="18"/>
                <w:color w:val="auto"/>
              </w:rPr>
              <w:t>2018</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315,000(3)</w:t>
            </w: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315,000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2017</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210,000(3)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James W. Brown</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2018</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766,000(3)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i w:val="1"/>
                <w:iCs w:val="1"/>
                <w:color w:val="auto"/>
              </w:rPr>
              <w:t>Vice President, Chief</w:t>
            </w:r>
          </w:p>
        </w:tc>
        <w:tc>
          <w:tcPr>
            <w:tcW w:w="820" w:type="dxa"/>
            <w:vAlign w:val="bottom"/>
          </w:tcPr>
          <w:p>
            <w:pPr>
              <w:ind w:left="300"/>
              <w:spacing w:after="0"/>
              <w:rPr>
                <w:sz w:val="20"/>
                <w:szCs w:val="20"/>
                <w:color w:val="auto"/>
              </w:rPr>
            </w:pPr>
            <w:r>
              <w:rPr>
                <w:rFonts w:ascii="Arial" w:cs="Arial" w:eastAsia="Arial" w:hAnsi="Arial"/>
                <w:sz w:val="18"/>
                <w:szCs w:val="18"/>
                <w:color w:val="auto"/>
              </w:rPr>
              <w:t>2017</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710,000(3)</w:t>
            </w: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Financial Officer and</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2016</w:t>
            </w: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690,900(3)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Arial" w:cs="Arial" w:eastAsia="Arial" w:hAnsi="Arial"/>
                <w:sz w:val="18"/>
                <w:szCs w:val="18"/>
                <w:i w:val="1"/>
                <w:iCs w:val="1"/>
                <w:color w:val="auto"/>
              </w:rPr>
              <w:t>Controller</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2017 was the first year that Messrs. Graham and Swalwell were named executive officers.</w:t>
      </w:r>
    </w:p>
    <w:p>
      <w:pPr>
        <w:spacing w:after="0" w:line="225" w:lineRule="exact"/>
        <w:rPr>
          <w:rFonts w:ascii="Arial" w:cs="Arial" w:eastAsia="Arial" w:hAnsi="Arial"/>
          <w:sz w:val="18"/>
          <w:szCs w:val="18"/>
          <w:color w:val="auto"/>
        </w:rPr>
      </w:pPr>
    </w:p>
    <w:p>
      <w:pPr>
        <w:ind w:left="660" w:right="40" w:hanging="652"/>
        <w:spacing w:after="0" w:line="270"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amounts shown in the table as salary compensation for Messrs. Brown, Graham, Nace and Swalwell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 The amount shown in the table as salary for Mr. Graham also includes director cash compensation we paid to him prior to July 2017, as indicated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Robert D. Graham</w:t>
            </w: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ISA Fees:</w:t>
            </w:r>
          </w:p>
        </w:tc>
        <w:tc>
          <w:tcPr>
            <w:tcW w:w="6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Director Fees Earned or Paid in Cash:</w:t>
            </w: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r>
      <w:tr>
        <w:trPr>
          <w:trHeight w:val="257"/>
        </w:trPr>
        <w:tc>
          <w:tcPr>
            <w:tcW w:w="4360" w:type="dxa"/>
            <w:vAlign w:val="bottom"/>
            <w:shd w:val="clear" w:color="auto" w:fill="CCEEFF"/>
          </w:tcPr>
          <w:p>
            <w:pPr>
              <w:spacing w:after="0"/>
              <w:rPr>
                <w:sz w:val="22"/>
                <w:szCs w:val="22"/>
                <w:color w:val="auto"/>
              </w:rPr>
            </w:pPr>
          </w:p>
        </w:tc>
        <w:tc>
          <w:tcPr>
            <w:tcW w:w="6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225,500</w:t>
            </w:r>
          </w:p>
        </w:tc>
      </w:tr>
      <w:tr>
        <w:trPr>
          <w:trHeight w:val="576"/>
        </w:trPr>
        <w:tc>
          <w:tcPr>
            <w:tcW w:w="4360" w:type="dxa"/>
            <w:vAlign w:val="bottom"/>
            <w:tcBorders>
              <w:top w:val="single" w:sz="8" w:color="CCEEFF"/>
            </w:tcBorders>
          </w:tcPr>
          <w:p>
            <w:pPr>
              <w:spacing w:after="0"/>
              <w:rPr>
                <w:sz w:val="24"/>
                <w:szCs w:val="24"/>
                <w:color w:val="auto"/>
              </w:rPr>
            </w:pPr>
          </w:p>
        </w:tc>
        <w:tc>
          <w:tcPr>
            <w:tcW w:w="5820" w:type="dxa"/>
            <w:vAlign w:val="bottom"/>
            <w:tcBorders>
              <w:top w:val="single" w:sz="8" w:color="CCEEFF"/>
            </w:tcBorders>
          </w:tcPr>
          <w:p>
            <w:pPr>
              <w:jc w:val="right"/>
              <w:ind w:right="4316"/>
              <w:spacing w:after="0"/>
              <w:rPr>
                <w:sz w:val="20"/>
                <w:szCs w:val="20"/>
                <w:color w:val="auto"/>
              </w:rPr>
            </w:pPr>
            <w:r>
              <w:rPr>
                <w:rFonts w:ascii="Arial" w:cs="Arial" w:eastAsia="Arial" w:hAnsi="Arial"/>
                <w:sz w:val="14"/>
                <w:szCs w:val="14"/>
                <w:color w:val="auto"/>
              </w:rPr>
              <w:t>22</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4360" w:type="dxa"/>
            <w:vAlign w:val="bottom"/>
            <w:tcBorders>
              <w:bottom w:val="single" w:sz="8" w:color="auto"/>
            </w:tcBorders>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800" w:right="239" w:bottom="1440" w:gutter="0" w:footer="0" w:header="0"/>
        </w:sectPr>
      </w:pPr>
    </w:p>
    <w:bookmarkStart w:id="27" w:name="page28"/>
    <w:bookmarkEnd w:id="27"/>
    <w:p>
      <w:pPr>
        <w:ind w:left="660" w:right="160" w:hanging="652"/>
        <w:spacing w:after="0" w:line="276"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stock award to Mr. Graham in 2017 consisted of shares of our class A common stock we granted to him for his director services. Beginning in 2018, Mr. Graham, as an employee of Contran, was no longer eligible for equity-based compensation as a director of us. As preapproved by our management development and compensation committee, on the day of the 2017 annual stockholder meeting, each director elected on that day received a grant of fully-vested shares of our common stock under our 2012 Director Stock Plan as determined by a formula based on the closing price of a share of our common stock on the date of such meeting,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ind w:left="1920"/>
              <w:spacing w:after="0"/>
              <w:rPr>
                <w:sz w:val="20"/>
                <w:szCs w:val="20"/>
                <w:color w:val="auto"/>
              </w:rPr>
            </w:pPr>
            <w:r>
              <w:rPr>
                <w:rFonts w:ascii="Arial" w:cs="Arial" w:eastAsia="Arial" w:hAnsi="Arial"/>
                <w:sz w:val="18"/>
                <w:szCs w:val="18"/>
                <w:color w:val="auto"/>
              </w:rPr>
              <w:t>Range of Closing Price Per</w:t>
            </w:r>
          </w:p>
        </w:tc>
        <w:tc>
          <w:tcPr>
            <w:tcW w:w="2380" w:type="dxa"/>
            <w:vAlign w:val="bottom"/>
          </w:tcPr>
          <w:p>
            <w:pPr>
              <w:spacing w:after="0"/>
              <w:rPr>
                <w:sz w:val="18"/>
                <w:szCs w:val="18"/>
                <w:color w:val="auto"/>
              </w:rPr>
            </w:pPr>
          </w:p>
        </w:tc>
        <w:tc>
          <w:tcPr>
            <w:tcW w:w="4260" w:type="dxa"/>
            <w:vAlign w:val="bottom"/>
            <w:gridSpan w:val="2"/>
          </w:tcPr>
          <w:p>
            <w:pPr>
              <w:jc w:val="center"/>
              <w:ind w:right="1350"/>
              <w:spacing w:after="0"/>
              <w:rPr>
                <w:sz w:val="20"/>
                <w:szCs w:val="20"/>
                <w:color w:val="auto"/>
              </w:rPr>
            </w:pPr>
            <w:r>
              <w:rPr>
                <w:rFonts w:ascii="Arial" w:cs="Arial" w:eastAsia="Arial" w:hAnsi="Arial"/>
                <w:sz w:val="18"/>
                <w:szCs w:val="18"/>
                <w:color w:val="auto"/>
                <w:w w:val="88"/>
              </w:rPr>
              <w:t>Shares of Common</w:t>
            </w:r>
          </w:p>
        </w:tc>
      </w:tr>
      <w:tr>
        <w:trPr>
          <w:trHeight w:val="237"/>
        </w:trPr>
        <w:tc>
          <w:tcPr>
            <w:tcW w:w="478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Share on the Date of Grant</w:t>
            </w:r>
          </w:p>
        </w:tc>
        <w:tc>
          <w:tcPr>
            <w:tcW w:w="23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
          </w:tcPr>
          <w:p>
            <w:pPr>
              <w:jc w:val="center"/>
              <w:ind w:right="1350"/>
              <w:spacing w:after="0"/>
              <w:rPr>
                <w:sz w:val="20"/>
                <w:szCs w:val="20"/>
                <w:color w:val="auto"/>
              </w:rPr>
            </w:pPr>
            <w:r>
              <w:rPr>
                <w:rFonts w:ascii="Arial" w:cs="Arial" w:eastAsia="Arial" w:hAnsi="Arial"/>
                <w:sz w:val="18"/>
                <w:szCs w:val="18"/>
                <w:color w:val="auto"/>
                <w:w w:val="90"/>
              </w:rPr>
              <w:t>Stock to Be Granted</w:t>
            </w:r>
          </w:p>
        </w:tc>
      </w:tr>
      <w:tr>
        <w:trPr>
          <w:trHeight w:val="216"/>
        </w:trPr>
        <w:tc>
          <w:tcPr>
            <w:tcW w:w="4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Under $5.00</w:t>
            </w:r>
          </w:p>
        </w:tc>
        <w:tc>
          <w:tcPr>
            <w:tcW w:w="23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3"/>
              </w:rPr>
              <w:t>2,000</w:t>
            </w:r>
          </w:p>
        </w:tc>
        <w:tc>
          <w:tcPr>
            <w:tcW w:w="2380" w:type="dxa"/>
            <w:vAlign w:val="bottom"/>
            <w:shd w:val="clear" w:color="auto" w:fill="CCEEFF"/>
          </w:tcPr>
          <w:p>
            <w:pPr>
              <w:spacing w:after="0"/>
              <w:rPr>
                <w:sz w:val="18"/>
                <w:szCs w:val="18"/>
                <w:color w:val="auto"/>
              </w:rPr>
            </w:pPr>
          </w:p>
        </w:tc>
      </w:tr>
      <w:tr>
        <w:trPr>
          <w:trHeight w:val="216"/>
        </w:trPr>
        <w:tc>
          <w:tcPr>
            <w:tcW w:w="4780" w:type="dxa"/>
            <w:vAlign w:val="bottom"/>
          </w:tcPr>
          <w:p>
            <w:pPr>
              <w:ind w:left="640"/>
              <w:spacing w:after="0"/>
              <w:rPr>
                <w:sz w:val="20"/>
                <w:szCs w:val="20"/>
                <w:color w:val="auto"/>
              </w:rPr>
            </w:pPr>
            <w:r>
              <w:rPr>
                <w:rFonts w:ascii="Arial" w:cs="Arial" w:eastAsia="Arial" w:hAnsi="Arial"/>
                <w:sz w:val="18"/>
                <w:szCs w:val="18"/>
                <w:color w:val="auto"/>
              </w:rPr>
              <w:t>$5.00 to $9.99</w:t>
            </w:r>
          </w:p>
        </w:tc>
        <w:tc>
          <w:tcPr>
            <w:tcW w:w="2380" w:type="dxa"/>
            <w:vAlign w:val="bottom"/>
          </w:tcPr>
          <w:p>
            <w:pPr>
              <w:spacing w:after="0"/>
              <w:rPr>
                <w:sz w:val="18"/>
                <w:szCs w:val="18"/>
                <w:color w:val="auto"/>
              </w:rPr>
            </w:pPr>
          </w:p>
        </w:tc>
        <w:tc>
          <w:tcPr>
            <w:tcW w:w="1880" w:type="dxa"/>
            <w:vAlign w:val="bottom"/>
          </w:tcPr>
          <w:p>
            <w:pPr>
              <w:jc w:val="center"/>
              <w:ind w:left="850"/>
              <w:spacing w:after="0"/>
              <w:rPr>
                <w:sz w:val="20"/>
                <w:szCs w:val="20"/>
                <w:color w:val="auto"/>
              </w:rPr>
            </w:pPr>
            <w:r>
              <w:rPr>
                <w:rFonts w:ascii="Arial" w:cs="Arial" w:eastAsia="Arial" w:hAnsi="Arial"/>
                <w:sz w:val="18"/>
                <w:szCs w:val="18"/>
                <w:color w:val="auto"/>
                <w:w w:val="93"/>
              </w:rPr>
              <w:t>1,500</w:t>
            </w:r>
          </w:p>
        </w:tc>
        <w:tc>
          <w:tcPr>
            <w:tcW w:w="2380" w:type="dxa"/>
            <w:vAlign w:val="bottom"/>
          </w:tcPr>
          <w:p>
            <w:pPr>
              <w:spacing w:after="0"/>
              <w:rPr>
                <w:sz w:val="18"/>
                <w:szCs w:val="18"/>
                <w:color w:val="auto"/>
              </w:rPr>
            </w:pPr>
          </w:p>
        </w:tc>
      </w:tr>
      <w:tr>
        <w:trPr>
          <w:trHeight w:val="216"/>
        </w:trPr>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$10.00 to $20.00</w:t>
            </w:r>
          </w:p>
        </w:tc>
        <w:tc>
          <w:tcPr>
            <w:tcW w:w="23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3"/>
              </w:rPr>
              <w:t>1,000</w:t>
            </w:r>
          </w:p>
        </w:tc>
        <w:tc>
          <w:tcPr>
            <w:tcW w:w="2380" w:type="dxa"/>
            <w:vAlign w:val="bottom"/>
            <w:shd w:val="clear" w:color="auto" w:fill="CCEEFF"/>
          </w:tcPr>
          <w:p>
            <w:pPr>
              <w:spacing w:after="0"/>
              <w:rPr>
                <w:sz w:val="18"/>
                <w:szCs w:val="18"/>
                <w:color w:val="auto"/>
              </w:rPr>
            </w:pPr>
          </w:p>
        </w:tc>
      </w:tr>
      <w:tr>
        <w:trPr>
          <w:trHeight w:val="230"/>
        </w:trPr>
        <w:tc>
          <w:tcPr>
            <w:tcW w:w="4780" w:type="dxa"/>
            <w:vAlign w:val="bottom"/>
          </w:tcPr>
          <w:p>
            <w:pPr>
              <w:ind w:left="640"/>
              <w:spacing w:after="0"/>
              <w:rPr>
                <w:sz w:val="20"/>
                <w:szCs w:val="20"/>
                <w:color w:val="auto"/>
              </w:rPr>
            </w:pPr>
            <w:r>
              <w:rPr>
                <w:rFonts w:ascii="Arial" w:cs="Arial" w:eastAsia="Arial" w:hAnsi="Arial"/>
                <w:sz w:val="18"/>
                <w:szCs w:val="18"/>
                <w:color w:val="auto"/>
              </w:rPr>
              <w:t>Over $20.00</w:t>
            </w:r>
          </w:p>
        </w:tc>
        <w:tc>
          <w:tcPr>
            <w:tcW w:w="2380" w:type="dxa"/>
            <w:vAlign w:val="bottom"/>
          </w:tcPr>
          <w:p>
            <w:pPr>
              <w:spacing w:after="0"/>
              <w:rPr>
                <w:sz w:val="20"/>
                <w:szCs w:val="20"/>
                <w:color w:val="auto"/>
              </w:rPr>
            </w:pPr>
          </w:p>
        </w:tc>
        <w:tc>
          <w:tcPr>
            <w:tcW w:w="1880" w:type="dxa"/>
            <w:vAlign w:val="bottom"/>
          </w:tcPr>
          <w:p>
            <w:pPr>
              <w:jc w:val="center"/>
              <w:ind w:left="850"/>
              <w:spacing w:after="0"/>
              <w:rPr>
                <w:sz w:val="20"/>
                <w:szCs w:val="20"/>
                <w:color w:val="auto"/>
              </w:rPr>
            </w:pPr>
            <w:r>
              <w:rPr>
                <w:rFonts w:ascii="Arial" w:cs="Arial" w:eastAsia="Arial" w:hAnsi="Arial"/>
                <w:sz w:val="18"/>
                <w:szCs w:val="18"/>
                <w:color w:val="auto"/>
                <w:w w:val="86"/>
              </w:rPr>
              <w:t>500</w:t>
            </w:r>
          </w:p>
        </w:tc>
        <w:tc>
          <w:tcPr>
            <w:tcW w:w="2380" w:type="dxa"/>
            <w:vAlign w:val="bottom"/>
          </w:tcPr>
          <w:p>
            <w:pPr>
              <w:spacing w:after="0"/>
              <w:rPr>
                <w:sz w:val="20"/>
                <w:szCs w:val="20"/>
                <w:color w:val="auto"/>
              </w:rPr>
            </w:pPr>
          </w:p>
        </w:tc>
      </w:tr>
      <w:tr>
        <w:trPr>
          <w:trHeight w:val="499"/>
        </w:trPr>
        <w:tc>
          <w:tcPr>
            <w:tcW w:w="7160" w:type="dxa"/>
            <w:vAlign w:val="bottom"/>
            <w:gridSpan w:val="2"/>
          </w:tcPr>
          <w:p>
            <w:pPr>
              <w:ind w:left="660"/>
              <w:spacing w:after="0"/>
              <w:rPr>
                <w:sz w:val="20"/>
                <w:szCs w:val="20"/>
                <w:color w:val="auto"/>
              </w:rPr>
            </w:pPr>
            <w:r>
              <w:rPr>
                <w:rFonts w:ascii="Arial" w:cs="Arial" w:eastAsia="Arial" w:hAnsi="Arial"/>
                <w:sz w:val="18"/>
                <w:szCs w:val="18"/>
                <w:color w:val="auto"/>
              </w:rPr>
              <w:t>The stock award we made to Mr. Graham in 2017 consisted of the following:</w:t>
            </w:r>
          </w:p>
        </w:tc>
        <w:tc>
          <w:tcPr>
            <w:tcW w:w="18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6"/>
        </w:trPr>
        <w:tc>
          <w:tcPr>
            <w:tcW w:w="47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880" w:type="dxa"/>
            <w:vAlign w:val="bottom"/>
          </w:tcPr>
          <w:p>
            <w:pPr>
              <w:jc w:val="center"/>
              <w:ind w:left="110"/>
              <w:spacing w:after="0"/>
              <w:rPr>
                <w:sz w:val="20"/>
                <w:szCs w:val="20"/>
                <w:color w:val="auto"/>
              </w:rPr>
            </w:pPr>
            <w:r>
              <w:rPr>
                <w:rFonts w:ascii="Arial" w:cs="Arial" w:eastAsia="Arial" w:hAnsi="Arial"/>
                <w:sz w:val="18"/>
                <w:szCs w:val="18"/>
                <w:color w:val="auto"/>
                <w:w w:val="91"/>
              </w:rPr>
              <w:t>Closing Price on Date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Grant Date Value of Shares of</w:t>
            </w:r>
          </w:p>
        </w:tc>
      </w:tr>
      <w:tr>
        <w:trPr>
          <w:trHeight w:val="237"/>
        </w:trPr>
        <w:tc>
          <w:tcPr>
            <w:tcW w:w="478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Shares of Class A Common Stock</w:t>
            </w:r>
          </w:p>
        </w:tc>
        <w:tc>
          <w:tcPr>
            <w:tcW w:w="2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Date of Grant</w:t>
            </w:r>
          </w:p>
        </w:tc>
        <w:tc>
          <w:tcPr>
            <w:tcW w:w="1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of Grant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A Common Stock</w:t>
            </w:r>
          </w:p>
        </w:tc>
      </w:tr>
      <w:tr>
        <w:trPr>
          <w:trHeight w:val="418"/>
        </w:trPr>
        <w:tc>
          <w:tcPr>
            <w:tcW w:w="4780" w:type="dxa"/>
            <w:vAlign w:val="bottom"/>
          </w:tcPr>
          <w:p>
            <w:pPr>
              <w:spacing w:after="0"/>
              <w:rPr>
                <w:sz w:val="20"/>
                <w:szCs w:val="20"/>
                <w:color w:val="auto"/>
              </w:rPr>
            </w:pPr>
            <w:r>
              <w:rPr>
                <w:rFonts w:ascii="Arial" w:cs="Arial" w:eastAsia="Arial" w:hAnsi="Arial"/>
                <w:sz w:val="18"/>
                <w:szCs w:val="18"/>
                <w:i w:val="1"/>
                <w:iCs w:val="1"/>
                <w:color w:val="auto"/>
              </w:rPr>
              <w:t>Robert D. Graham</w:t>
            </w:r>
          </w:p>
        </w:tc>
        <w:tc>
          <w:tcPr>
            <w:tcW w:w="2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1,000 shares of CompX class A common stock</w:t>
            </w:r>
          </w:p>
        </w:tc>
        <w:tc>
          <w:tcPr>
            <w:tcW w:w="2380" w:type="dxa"/>
            <w:vAlign w:val="bottom"/>
          </w:tcPr>
          <w:p>
            <w:pPr>
              <w:ind w:left="780"/>
              <w:spacing w:after="0"/>
              <w:rPr>
                <w:sz w:val="20"/>
                <w:szCs w:val="20"/>
                <w:color w:val="auto"/>
              </w:rPr>
            </w:pPr>
            <w:r>
              <w:rPr>
                <w:rFonts w:ascii="Arial" w:cs="Arial" w:eastAsia="Arial" w:hAnsi="Arial"/>
                <w:sz w:val="18"/>
                <w:szCs w:val="18"/>
                <w:color w:val="auto"/>
              </w:rPr>
              <w:t>May 24, 2017</w:t>
            </w:r>
          </w:p>
        </w:tc>
        <w:tc>
          <w:tcPr>
            <w:tcW w:w="1880" w:type="dxa"/>
            <w:vAlign w:val="bottom"/>
          </w:tcPr>
          <w:p>
            <w:pPr>
              <w:jc w:val="center"/>
              <w:ind w:left="810"/>
              <w:spacing w:after="0"/>
              <w:rPr>
                <w:sz w:val="20"/>
                <w:szCs w:val="20"/>
                <w:color w:val="auto"/>
              </w:rPr>
            </w:pPr>
            <w:r>
              <w:rPr>
                <w:rFonts w:ascii="Arial" w:cs="Arial" w:eastAsia="Arial" w:hAnsi="Arial"/>
                <w:sz w:val="18"/>
                <w:szCs w:val="18"/>
                <w:color w:val="auto"/>
                <w:w w:val="90"/>
              </w:rPr>
              <w:t>$13.90</w:t>
            </w:r>
          </w:p>
        </w:tc>
        <w:tc>
          <w:tcPr>
            <w:tcW w:w="2380" w:type="dxa"/>
            <w:vAlign w:val="bottom"/>
          </w:tcPr>
          <w:p>
            <w:pPr>
              <w:jc w:val="right"/>
              <w:ind w:right="1670"/>
              <w:spacing w:after="0"/>
              <w:rPr>
                <w:sz w:val="20"/>
                <w:szCs w:val="20"/>
                <w:color w:val="auto"/>
              </w:rPr>
            </w:pPr>
            <w:r>
              <w:rPr>
                <w:rFonts w:ascii="Arial" w:cs="Arial" w:eastAsia="Arial" w:hAnsi="Arial"/>
                <w:sz w:val="18"/>
                <w:szCs w:val="18"/>
                <w:color w:val="auto"/>
                <w:w w:val="92"/>
              </w:rPr>
              <w:t>$13,900</w:t>
            </w:r>
          </w:p>
        </w:tc>
      </w:tr>
    </w:tbl>
    <w:p>
      <w:pPr>
        <w:spacing w:after="0" w:line="283"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We valued this stock award at the closing price of a share of the class A common stock on the date of grant, consistent with the requirements of Financial Accounting Standards Board Accounting Standards Codification Topic 718.</w:t>
      </w:r>
    </w:p>
    <w:p>
      <w:pPr>
        <w:spacing w:after="0" w:line="62" w:lineRule="exact"/>
        <w:rPr>
          <w:sz w:val="20"/>
          <w:szCs w:val="20"/>
          <w:color w:val="auto"/>
        </w:rPr>
      </w:pPr>
    </w:p>
    <w:p>
      <w:pPr>
        <w:ind w:left="660" w:right="240" w:hanging="652"/>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other compensation for Mr. James for each of the last three years consisted of our matching contributions to his account under our 401(k) Plan and our contributions to his account under the CompX Capital Accumulation Plan, a defined contribution plan,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140" w:type="dxa"/>
            <w:vAlign w:val="bottom"/>
          </w:tcPr>
          <w:p>
            <w:pPr>
              <w:jc w:val="center"/>
              <w:ind w:right="450"/>
              <w:spacing w:after="0"/>
              <w:rPr>
                <w:sz w:val="20"/>
                <w:szCs w:val="20"/>
                <w:color w:val="auto"/>
              </w:rPr>
            </w:pPr>
            <w:r>
              <w:rPr>
                <w:rFonts w:ascii="Arial" w:cs="Arial" w:eastAsia="Arial" w:hAnsi="Arial"/>
                <w:sz w:val="18"/>
                <w:szCs w:val="18"/>
                <w:color w:val="auto"/>
                <w:w w:val="94"/>
              </w:rPr>
              <w:t>Employer’s</w:t>
            </w:r>
          </w:p>
        </w:tc>
        <w:tc>
          <w:tcPr>
            <w:tcW w:w="24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20" w:type="dxa"/>
            <w:vAlign w:val="bottom"/>
          </w:tcPr>
          <w:p>
            <w:pPr>
              <w:jc w:val="right"/>
              <w:ind w:right="250"/>
              <w:spacing w:after="0"/>
              <w:rPr>
                <w:sz w:val="20"/>
                <w:szCs w:val="20"/>
                <w:color w:val="auto"/>
              </w:rPr>
            </w:pPr>
            <w:r>
              <w:rPr>
                <w:rFonts w:ascii="Arial" w:cs="Arial" w:eastAsia="Arial" w:hAnsi="Arial"/>
                <w:sz w:val="18"/>
                <w:szCs w:val="18"/>
                <w:color w:val="auto"/>
              </w:rPr>
              <w:t>Employer’s 401(k) Plan Matching</w:t>
            </w:r>
          </w:p>
        </w:tc>
        <w:tc>
          <w:tcPr>
            <w:tcW w:w="3140" w:type="dxa"/>
            <w:vAlign w:val="bottom"/>
          </w:tcPr>
          <w:p>
            <w:pPr>
              <w:jc w:val="center"/>
              <w:ind w:right="430"/>
              <w:spacing w:after="0"/>
              <w:rPr>
                <w:sz w:val="20"/>
                <w:szCs w:val="20"/>
                <w:color w:val="auto"/>
              </w:rPr>
            </w:pPr>
            <w:r>
              <w:rPr>
                <w:rFonts w:ascii="Arial" w:cs="Arial" w:eastAsia="Arial" w:hAnsi="Arial"/>
                <w:sz w:val="18"/>
                <w:szCs w:val="18"/>
                <w:color w:val="auto"/>
                <w:w w:val="92"/>
              </w:rPr>
              <w:t>Capital Accumulation Plan</w:t>
            </w:r>
          </w:p>
        </w:tc>
        <w:tc>
          <w:tcPr>
            <w:tcW w:w="2460" w:type="dxa"/>
            <w:vAlign w:val="bottom"/>
          </w:tcPr>
          <w:p>
            <w:pPr>
              <w:spacing w:after="0"/>
              <w:rPr>
                <w:sz w:val="18"/>
                <w:szCs w:val="18"/>
                <w:color w:val="auto"/>
              </w:rPr>
            </w:pPr>
          </w:p>
        </w:tc>
      </w:tr>
      <w:tr>
        <w:trPr>
          <w:trHeight w:val="237"/>
        </w:trPr>
        <w:tc>
          <w:tcPr>
            <w:tcW w:w="23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Year</w:t>
            </w:r>
          </w:p>
        </w:tc>
        <w:tc>
          <w:tcPr>
            <w:tcW w:w="35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Contributions</w:t>
            </w:r>
          </w:p>
        </w:tc>
        <w:tc>
          <w:tcPr>
            <w:tcW w:w="31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2"/>
              </w:rPr>
              <w:t>Contributions</w:t>
            </w:r>
          </w:p>
        </w:tc>
        <w:tc>
          <w:tcPr>
            <w:tcW w:w="24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Total</w:t>
            </w:r>
          </w:p>
        </w:tc>
      </w:tr>
      <w:tr>
        <w:trPr>
          <w:trHeight w:val="216"/>
        </w:trPr>
        <w:tc>
          <w:tcPr>
            <w:tcW w:w="2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3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2018</w:t>
            </w:r>
          </w:p>
        </w:tc>
        <w:tc>
          <w:tcPr>
            <w:tcW w:w="35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$16,500</w:t>
            </w:r>
          </w:p>
        </w:tc>
        <w:tc>
          <w:tcPr>
            <w:tcW w:w="31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$23,738</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$40,238</w:t>
            </w:r>
          </w:p>
        </w:tc>
      </w:tr>
      <w:tr>
        <w:trPr>
          <w:trHeight w:val="216"/>
        </w:trPr>
        <w:tc>
          <w:tcPr>
            <w:tcW w:w="2300" w:type="dxa"/>
            <w:vAlign w:val="bottom"/>
          </w:tcPr>
          <w:p>
            <w:pPr>
              <w:ind w:left="1240"/>
              <w:spacing w:after="0"/>
              <w:rPr>
                <w:sz w:val="20"/>
                <w:szCs w:val="20"/>
                <w:color w:val="auto"/>
              </w:rPr>
            </w:pPr>
            <w:r>
              <w:rPr>
                <w:rFonts w:ascii="Arial" w:cs="Arial" w:eastAsia="Arial" w:hAnsi="Arial"/>
                <w:sz w:val="18"/>
                <w:szCs w:val="18"/>
                <w:color w:val="auto"/>
              </w:rPr>
              <w:t>2017</w:t>
            </w:r>
          </w:p>
        </w:tc>
        <w:tc>
          <w:tcPr>
            <w:tcW w:w="3520" w:type="dxa"/>
            <w:vAlign w:val="bottom"/>
          </w:tcPr>
          <w:p>
            <w:pPr>
              <w:jc w:val="right"/>
              <w:ind w:right="590"/>
              <w:spacing w:after="0"/>
              <w:rPr>
                <w:sz w:val="20"/>
                <w:szCs w:val="20"/>
                <w:color w:val="auto"/>
              </w:rPr>
            </w:pPr>
            <w:r>
              <w:rPr>
                <w:rFonts w:ascii="Arial" w:cs="Arial" w:eastAsia="Arial" w:hAnsi="Arial"/>
                <w:sz w:val="18"/>
                <w:szCs w:val="18"/>
                <w:color w:val="auto"/>
              </w:rPr>
              <w:t>11,897</w:t>
            </w:r>
          </w:p>
        </w:tc>
        <w:tc>
          <w:tcPr>
            <w:tcW w:w="3140" w:type="dxa"/>
            <w:vAlign w:val="bottom"/>
          </w:tcPr>
          <w:p>
            <w:pPr>
              <w:jc w:val="right"/>
              <w:ind w:right="910"/>
              <w:spacing w:after="0"/>
              <w:rPr>
                <w:sz w:val="20"/>
                <w:szCs w:val="20"/>
                <w:color w:val="auto"/>
              </w:rPr>
            </w:pPr>
            <w:r>
              <w:rPr>
                <w:rFonts w:ascii="Arial" w:cs="Arial" w:eastAsia="Arial" w:hAnsi="Arial"/>
                <w:sz w:val="18"/>
                <w:szCs w:val="18"/>
                <w:color w:val="auto"/>
              </w:rPr>
              <w:t>22,538</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34,435</w:t>
            </w:r>
          </w:p>
        </w:tc>
      </w:tr>
      <w:tr>
        <w:trPr>
          <w:trHeight w:val="216"/>
        </w:trPr>
        <w:tc>
          <w:tcPr>
            <w:tcW w:w="23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2016</w:t>
            </w:r>
          </w:p>
        </w:tc>
        <w:tc>
          <w:tcPr>
            <w:tcW w:w="35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13,014</w:t>
            </w:r>
          </w:p>
        </w:tc>
        <w:tc>
          <w:tcPr>
            <w:tcW w:w="31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22,572</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35,586</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discussion of our retirement plan contributions in the Compensation Discussion and Analysis section of this proxy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 Grants of Plan-Based Awards</w:t>
      </w:r>
      <w:r>
        <w:rPr>
          <w:rFonts w:ascii="Arial" w:cs="Arial" w:eastAsia="Arial" w:hAnsi="Arial"/>
          <w:sz w:val="17"/>
          <w:szCs w:val="17"/>
          <w:color w:val="auto"/>
        </w:rPr>
        <w:t>. During 2018, no named executive officer received any plan-based awards from us or our subsidiaries.</w:t>
      </w:r>
    </w:p>
    <w:p>
      <w:pPr>
        <w:spacing w:after="0" w:line="23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No Outstanding Equity Awards at December 31, 2018</w:t>
      </w:r>
      <w:r>
        <w:rPr>
          <w:rFonts w:ascii="Arial" w:cs="Arial" w:eastAsia="Arial" w:hAnsi="Arial"/>
          <w:sz w:val="16"/>
          <w:szCs w:val="16"/>
          <w:color w:val="auto"/>
        </w:rPr>
        <w:t>. At December 31, 2018, none of our named executive officers held outstanding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purchase shares of our class A common stock (or common stock of our parent companies), or held any equity incentive awards for such shares.</w:t>
      </w:r>
    </w:p>
    <w:p>
      <w:pPr>
        <w:spacing w:after="0" w:line="1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No Option Exercises or Stock Vested</w:t>
      </w:r>
      <w:r>
        <w:rPr>
          <w:rFonts w:ascii="Arial" w:cs="Arial" w:eastAsia="Arial" w:hAnsi="Arial"/>
          <w:sz w:val="18"/>
          <w:szCs w:val="18"/>
          <w:color w:val="auto"/>
        </w:rPr>
        <w:t>. During 2018, no named executive officer exercised any stock options or held any stock subject to 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18"/>
          <w:szCs w:val="18"/>
          <w:color w:val="auto"/>
        </w:rPr>
        <w:t>. We do not have any defined benefit pension plans in which our named executive officers participate.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w:t>
      </w:r>
      <w:r>
        <w:rPr>
          <w:rFonts w:ascii="Arial" w:cs="Arial" w:eastAsia="Arial" w:hAnsi="Arial"/>
          <w:sz w:val="18"/>
          <w:szCs w:val="18"/>
          <w:color w:val="auto"/>
        </w:rPr>
        <w:t>. We do not owe any nonqualified deferred compensation to our named executive officers.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right="220" w:firstLine="648"/>
        <w:spacing w:after="0" w:line="297" w:lineRule="auto"/>
        <w:rPr>
          <w:sz w:val="20"/>
          <w:szCs w:val="20"/>
          <w:color w:val="auto"/>
        </w:rPr>
      </w:pP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 In August 2015, pursuant to a mandate of the Dodd-Frank Wall Street Reform and Consumer Protection Act, the SEC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rule requiring annual disclosure of the ratio of a registrant’s median employee’s annual total compensation to the total annual compensation of its chief executive officer. For 2018, the total annual compensation (as disclosed in the 2018 Summary Compensation Table) of Scott C. James, our chief executive officer, is $1,014,565; the reasonable estimate of the median of the annual total compensation of all of our employees except our chief executive officer, calculated in a manner consistent with Item 402(u) of Regulation S-K, is $49,583; and the ratio of such two amounts is 20 to 1.</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2017. Based on such random sample of our employees, and using the 2017 base salary (or equivalent for hourly employees) for each employee in such random sample as reflected in our payroll records, the median employee was estimated by determining the employee in such random sample who had the median 2017 base salary (or equivalent for hourly employees). Base salary (or equivalent) amounts were annualized for any employee who had less than a full year of service during 2017. There has been no change in our employee population or employee compensation arrangements since that median employee was identified that we believe would significantly impact our pay ratio disclosure.</w:t>
      </w:r>
    </w:p>
    <w:p>
      <w:pPr>
        <w:spacing w:after="0" w:line="2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Director Compensation</w:t>
      </w:r>
      <w:r>
        <w:rPr>
          <w:rFonts w:ascii="Arial" w:cs="Arial" w:eastAsia="Arial" w:hAnsi="Arial"/>
          <w:sz w:val="18"/>
          <w:szCs w:val="18"/>
          <w:color w:val="auto"/>
        </w:rPr>
        <w:t>. Our directors who are not employees of Contran or one of its subsidiaries or affiliates (including us) are eligible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service as directors. The table below reflects the annual rates of their retainers for 2018.</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2018 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Retainers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Each director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Chair of the board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Chairman of our audit committee and any member of our audit committee whom the board identified as an “audit committee financial</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expert” (provided that if one person served in both capacities only one such retainer was paid)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Other members of our audit committee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Members of our other committees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an eligible director dies while serving on our board of directors, his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The following table provides information with respect to compensation each of our eligible directors earned for their 2018 director services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 xml:space="preserve">2018 DIRECTOR COMPENSATION </w:t>
            </w:r>
            <w:r>
              <w:rPr>
                <w:rFonts w:ascii="Arial" w:cs="Arial" w:eastAsia="Arial" w:hAnsi="Arial"/>
                <w:sz w:val="18"/>
                <w:szCs w:val="18"/>
                <w:color w:val="auto"/>
              </w:rPr>
              <w:t>(1)</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Fees Earned</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or Paid in</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 Awards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ind w:left="3420"/>
              <w:spacing w:after="0"/>
              <w:rPr>
                <w:sz w:val="20"/>
                <w:szCs w:val="20"/>
                <w:color w:val="auto"/>
              </w:rPr>
            </w:pPr>
            <w:r>
              <w:rPr>
                <w:rFonts w:ascii="Arial" w:cs="Arial" w:eastAsia="Arial" w:hAnsi="Arial"/>
                <w:sz w:val="18"/>
                <w:szCs w:val="18"/>
                <w:b w:val="1"/>
                <w:bCs w:val="1"/>
                <w:color w:val="auto"/>
              </w:rPr>
              <w:t>Name</w:t>
            </w:r>
          </w:p>
        </w:tc>
        <w:tc>
          <w:tcPr>
            <w:tcW w:w="3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 xml:space="preserve">Cash </w:t>
            </w:r>
            <w:r>
              <w:rPr>
                <w:rFonts w:ascii="Arial" w:cs="Arial" w:eastAsia="Arial" w:hAnsi="Arial"/>
                <w:sz w:val="18"/>
                <w:szCs w:val="18"/>
                <w:color w:val="auto"/>
                <w:w w:val="90"/>
              </w:rPr>
              <w:t>(2)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5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3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David A. Bowers (4)</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15,500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82,000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Terri L. Herrington</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58,500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Ann Manix</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62,000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Cecil H. Moore, Jr.</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77,000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76,913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cash retainers and meeting fees the director earned for director services he or she provided to us in 2018.</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value of 1,350 shares of our class A common stock we granted to each of the eligible directors on May 23, 2018. For the purposes of this table, we valued these stock awards at the $14.75 closing price per share of such shares on their date of grant, consistent with the requirements of Financial Accounting Standards Board Accounting Standards Codification Topic 718.</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Prior to his retirement on May 22, 2018 as an officer and employee of CompX, Mr. Bowers was not eligible to receive compensation for his service as one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b w:val="1"/>
          <w:bCs w:val="1"/>
          <w:i w:val="1"/>
          <w:iCs w:val="1"/>
          <w:color w:val="auto"/>
        </w:rPr>
        <w:t>Compensation Policies and Practices as They Relate to Risk Management</w:t>
      </w:r>
      <w:r>
        <w:rPr>
          <w:rFonts w:ascii="Arial" w:cs="Arial" w:eastAsia="Arial" w:hAnsi="Arial"/>
          <w:sz w:val="17"/>
          <w:szCs w:val="17"/>
          <w:color w:val="auto"/>
        </w:rPr>
        <w:t>. We believe that the risks arising from our compensation policies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practices are not reasonably likely to have a material adverse effect on us. In reaching this conclusion, we considered the following:</w:t>
      </w:r>
    </w:p>
    <w:p>
      <w:pPr>
        <w:spacing w:after="0" w:line="147" w:lineRule="exact"/>
        <w:rPr>
          <w:sz w:val="20"/>
          <w:szCs w:val="20"/>
          <w:color w:val="auto"/>
        </w:rPr>
      </w:pPr>
    </w:p>
    <w:p>
      <w:pPr>
        <w:ind w:left="1300" w:right="260" w:hanging="644"/>
        <w:spacing w:after="0" w:line="308"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362"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p>
    <w:p>
      <w:pPr>
        <w:spacing w:after="0" w:line="397"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397" w:lineRule="exact"/>
        <w:rPr>
          <w:rFonts w:ascii="Arial" w:cs="Arial" w:eastAsia="Arial" w:hAnsi="Arial"/>
          <w:sz w:val="18"/>
          <w:szCs w:val="18"/>
          <w:color w:val="auto"/>
        </w:rPr>
      </w:pPr>
    </w:p>
    <w:p>
      <w:pPr>
        <w:ind w:left="1960" w:right="240" w:hanging="648"/>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executive officers, who are responsible for establishing and executing such business plan, are not eligible to receive bonuses based on the business plan, but instead are only eligible for the discretionary-based bonuses described above; and</w:t>
      </w:r>
    </w:p>
    <w:p>
      <w:pPr>
        <w:spacing w:after="0" w:line="340" w:lineRule="exact"/>
        <w:rPr>
          <w:sz w:val="20"/>
          <w:szCs w:val="20"/>
          <w:color w:val="auto"/>
        </w:rPr>
      </w:pPr>
    </w:p>
    <w:p>
      <w:pPr>
        <w:ind w:left="1960" w:right="200" w:hanging="655"/>
        <w:spacing w:after="0" w:line="277" w:lineRule="auto"/>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exist ceilings for our other key employee bonuses (which are not a significant part of their compensation) regardless of the actual level of our financial performance achieved;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1300" w:hanging="644"/>
        <w:spacing w:after="0" w:line="264"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p>
    <w:p>
      <w:pPr>
        <w:spacing w:after="0" w:line="3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since we are a controlled company, as previously discussed, management has a strong incentive to understand and perform in the long-term interests of our stockholders; and</w:t>
      </w:r>
    </w:p>
    <w:p>
      <w:pPr>
        <w:spacing w:after="0" w:line="386"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experience is that our employees are appropriately motivated by our compensation policies and practices to achieve profits and other business objectives in compliance with our oversight of material short and long-term risks.</w:t>
      </w:r>
    </w:p>
    <w:p>
      <w:pPr>
        <w:spacing w:after="0" w:line="3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our compensation policies and practices for our executive officers, please see the Compensation Discussion and Analysis section of this proxy statement.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Compensation Consultants</w:t>
      </w:r>
      <w:r>
        <w:rPr>
          <w:rFonts w:ascii="Arial" w:cs="Arial" w:eastAsia="Arial" w:hAnsi="Arial"/>
          <w:sz w:val="18"/>
          <w:szCs w:val="18"/>
          <w:color w:val="auto"/>
        </w:rPr>
        <w:t>. Neither our board of directors, management development and compensation committee nor management has engaged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compensation consultants.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2018 our executive officers, directors and 10% shareholders complied with all applicable filing requirements under section 16(a).</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i w:val="1"/>
          <w:iCs w:val="1"/>
          <w:color w:val="auto"/>
        </w:rPr>
        <w:t>Related Party Transaction Policy</w:t>
      </w:r>
      <w:r>
        <w:rPr>
          <w:rFonts w:ascii="Arial" w:cs="Arial" w:eastAsia="Arial" w:hAnsi="Arial"/>
          <w:sz w:val="18"/>
          <w:szCs w:val="18"/>
          <w:color w:val="auto"/>
        </w:rPr>
        <w:t>. From time to time, we engage in transactions with affiliated companies. Pursuant to our Policy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Party Transactions, or RPT Policy, all related party transactions to which we are or are proposed to be a party are approved or ratified by our audit committee (unless another committee of our board of directors composed solely of independent directors, or all of the independent directors of our board, shall have approved or ratified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Arial" w:cs="Arial" w:eastAsia="Arial" w:hAnsi="Arial"/>
          <w:sz w:val="18"/>
          <w:szCs w:val="18"/>
          <w:b w:val="1"/>
          <w:bCs w:val="1"/>
          <w:i w:val="1"/>
          <w:iCs w:val="1"/>
          <w:color w:val="auto"/>
        </w:rPr>
        <w:t>www.compx.com</w:t>
      </w:r>
      <w:r>
        <w:rPr>
          <w:rFonts w:ascii="Arial" w:cs="Arial" w:eastAsia="Arial" w:hAnsi="Arial"/>
          <w:sz w:val="18"/>
          <w:szCs w:val="18"/>
          <w:color w:val="auto"/>
        </w:rPr>
        <w:t xml:space="preserve"> under the corporate governance section.</w:t>
      </w:r>
    </w:p>
    <w:p>
      <w:pPr>
        <w:spacing w:after="0" w:line="193"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During 2018 our audit committee reviewed, adopted and ratified the following ordinary course of business related party transactions to which we are a party in accordance with the terms of such RPT Policy:</w:t>
      </w:r>
    </w:p>
    <w:p>
      <w:pPr>
        <w:spacing w:after="0" w:line="387" w:lineRule="exact"/>
        <w:rPr>
          <w:sz w:val="20"/>
          <w:szCs w:val="20"/>
          <w:color w:val="auto"/>
        </w:rPr>
      </w:pPr>
    </w:p>
    <w:p>
      <w:pPr>
        <w:jc w:val="both"/>
        <w:ind w:left="1300" w:right="36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Risk Management Program – a program pursuant to which Contran and certain of its subsidiaries and related entities, including us, as a group purchase third-party insurance policies and risk management services, with the costs thereof apportioned among the participating companies;</w:t>
      </w:r>
    </w:p>
    <w:p>
      <w:pPr>
        <w:spacing w:after="0" w:line="397"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Sharing Agreement– the cash payments for income taxes periodically paid by us to NL or received by us from NL, as applicable, and related items pursuant to the terms of our tax sharing agreement with NL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Cash Management Loans – our unsecured revolving credit facility with Valhi, which provides for loans by us to Valhi of up to $40 million.</w:t>
      </w:r>
    </w:p>
    <w:p>
      <w:pPr>
        <w:spacing w:after="0" w:line="200" w:lineRule="exact"/>
        <w:rPr>
          <w:sz w:val="20"/>
          <w:szCs w:val="20"/>
          <w:color w:val="auto"/>
        </w:rPr>
      </w:pPr>
    </w:p>
    <w:p>
      <w:pPr>
        <w:spacing w:after="0" w:line="264" w:lineRule="exact"/>
        <w:rPr>
          <w:sz w:val="20"/>
          <w:szCs w:val="20"/>
          <w:color w:val="auto"/>
        </w:rPr>
      </w:pPr>
    </w:p>
    <w:p>
      <w:pPr>
        <w:ind w:right="40" w:firstLine="506"/>
        <w:spacing w:after="0" w:line="257" w:lineRule="auto"/>
        <w:rPr>
          <w:sz w:val="20"/>
          <w:szCs w:val="20"/>
          <w:color w:val="auto"/>
        </w:rPr>
      </w:pPr>
      <w:r>
        <w:rPr>
          <w:rFonts w:ascii="Arial" w:cs="Arial" w:eastAsia="Arial" w:hAnsi="Arial"/>
          <w:sz w:val="18"/>
          <w:szCs w:val="18"/>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and ratify the fee we paid to Contran in 2018 under our intercorporate services agreement with Contran, because such intercorporate services fee is approved by all of the independent directors of our board, as more fully described below. During 2018, we were not a party to any other related party transactions (ordinary course of business related party transactions or otherwise) requiring approval or ratification under the RPT Policy.</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b w:val="1"/>
          <w:bCs w:val="1"/>
          <w:i w:val="1"/>
          <w:iCs w:val="1"/>
          <w:color w:val="auto"/>
        </w:rPr>
        <w:t>Relationships with Related Parties</w:t>
      </w:r>
      <w:r>
        <w:rPr>
          <w:rFonts w:ascii="Arial" w:cs="Arial" w:eastAsia="Arial" w:hAnsi="Arial"/>
          <w:sz w:val="18"/>
          <w:szCs w:val="18"/>
          <w:color w:val="auto"/>
        </w:rPr>
        <w:t>. As set forth under the Security Ownership section of this proxy statement, Lisa K. Simmons and Serena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Simmons Connelly may be deemed to control us. We and other entities that may be deemed to be controlled by or related to Ms. Simmons and Ms. Connelly sometimes engage in the following:</w:t>
      </w:r>
    </w:p>
    <w:p>
      <w:pPr>
        <w:spacing w:after="0" w:line="181" w:lineRule="exact"/>
        <w:rPr>
          <w:sz w:val="20"/>
          <w:szCs w:val="20"/>
          <w:color w:val="auto"/>
        </w:rPr>
      </w:pPr>
    </w:p>
    <w:p>
      <w:pPr>
        <w:ind w:left="1300" w:right="300" w:hanging="644"/>
        <w:spacing w:after="0" w:line="264"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397"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200" w:lineRule="exact"/>
        <w:rPr>
          <w:sz w:val="20"/>
          <w:szCs w:val="20"/>
          <w:color w:val="auto"/>
        </w:rPr>
      </w:pPr>
    </w:p>
    <w:p>
      <w:pPr>
        <w:spacing w:after="0" w:line="20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Ms. Connelly.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ind w:right="380" w:firstLine="648"/>
        <w:spacing w:after="0" w:line="312" w:lineRule="auto"/>
        <w:rPr>
          <w:sz w:val="20"/>
          <w:szCs w:val="20"/>
          <w:color w:val="auto"/>
        </w:rPr>
      </w:pPr>
      <w:r>
        <w:rPr>
          <w:rFonts w:ascii="Arial" w:cs="Arial" w:eastAsia="Arial" w:hAnsi="Arial"/>
          <w:sz w:val="16"/>
          <w:szCs w:val="16"/>
          <w:color w:val="auto"/>
        </w:rPr>
        <w:t>Certain directors or executive officers of Contran, NL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consistent with the provisions of the RPT Policy.</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Intercorporate Services Agreements</w:t>
      </w:r>
      <w:r>
        <w:rPr>
          <w:rFonts w:ascii="Arial" w:cs="Arial" w:eastAsia="Arial" w:hAnsi="Arial"/>
          <w:sz w:val="16"/>
          <w:szCs w:val="16"/>
          <w:color w:val="auto"/>
        </w:rPr>
        <w:t>. As discussed elsewhere in this proxy statement, we and certain related companies have entered into ISAs.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ISAs, employees of one company provide certain services, including executive officer services, to the other company on an annual fixed fee basis. The services rendered under the ISAs may include executive, management, financial, internal audit, accounting, tax, legal, insurance, real estate management, environmental management, risk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2018 fee charged to us under our ISA with Contran.</w:t>
      </w:r>
    </w:p>
    <w:p>
      <w:pPr>
        <w:spacing w:after="0" w:line="16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2018, we paid Contran fees of approximately $3.5 million for its services under our ISA with Contran, including amounts for the services of certain of our named executive officers that are employees of Contran, as disclosed in the 2018 Summary Compensation Table in this proxy statement. In 2019, we expect to pay Contran fees of approximately $3.4 million for its services under this ISA, including the services of certain of our named executive officers that are employees of Contran.</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Risk Management Program</w:t>
      </w:r>
      <w:r>
        <w:rPr>
          <w:rFonts w:ascii="Arial" w:cs="Arial" w:eastAsia="Arial" w:hAnsi="Arial"/>
          <w:sz w:val="16"/>
          <w:szCs w:val="16"/>
          <w:color w:val="auto"/>
        </w:rPr>
        <w:t>. We and Contran participate in a combined risk management program. Pursuant to the program, Contran and certain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subsidiaries and related entities, including us and certain of our subsidiaries and related entities, as a group purchase insurance policies and risk management services. The program apportions its costs among the participating companies. Tall Pines and EWI provide for or broker the insurance policies. Tall Pines purchases reinsurance for substantially all of the risks it underwrites. EWI also provides claims and risk management services and, where appropriate, engages certain third-party risk management consultants. Tall Pines is a captive insurance company wholly owned by Valhi. EWI is a reinsurance brokerage and risk management company wholly owned by NL. Tall Pines purchases reinsurance from third-party insurance carriers with an A.M. Best Company rating of generally at least an “A-” (excellent) for substantially all of the risks it underwrites. Consistent with insurance industry practices, Tall Pines and EWI receive commissions from insurance and reinsurance underwriters and/or assess fees for the policies that they provide or broker.</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firstLine="648"/>
        <w:spacing w:after="0" w:line="257" w:lineRule="auto"/>
        <w:rPr>
          <w:sz w:val="20"/>
          <w:szCs w:val="20"/>
          <w:color w:val="auto"/>
        </w:rPr>
      </w:pPr>
      <w:r>
        <w:rPr>
          <w:rFonts w:ascii="Arial" w:cs="Arial" w:eastAsia="Arial" w:hAnsi="Arial"/>
          <w:sz w:val="18"/>
          <w:szCs w:val="18"/>
          <w:color w:val="auto"/>
        </w:rPr>
        <w:t>During 2018, we paid Tall Pines and EWI in the aggregate approximately $2.0 million. This amount principally represents payments for insurance premiums, including premiums or fees paid to Tall Pines and commissions or fees paid to EWI. This amount also includes payments to insurers or reinsurers through EWI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these relationships with Tall Pines and EWI will continue in 2019.</w:t>
      </w:r>
    </w:p>
    <w:p>
      <w:pPr>
        <w:spacing w:after="0" w:line="188"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In October 2018,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24" w:lineRule="exact"/>
        <w:rPr>
          <w:sz w:val="20"/>
          <w:szCs w:val="20"/>
          <w:color w:val="auto"/>
        </w:rPr>
      </w:pPr>
    </w:p>
    <w:p>
      <w:pPr>
        <w:ind w:left="1300" w:right="42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premiums for all of the insurance and reinsurance policies are set by third parties (the underwriters for the insurance or reinsurance carriers bearing the risk), without any markup by Tall Pines or EWI;</w:t>
      </w:r>
    </w:p>
    <w:p>
      <w:pPr>
        <w:spacing w:after="0" w:line="386"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Arial" w:cs="Arial" w:eastAsia="Arial" w:hAnsi="Arial"/>
          <w:sz w:val="18"/>
          <w:szCs w:val="18"/>
          <w:i w:val="1"/>
          <w:iCs w:val="1"/>
          <w:color w:val="auto"/>
        </w:rPr>
        <w:t>i.e</w:t>
      </w:r>
      <w:r>
        <w:rPr>
          <w:rFonts w:ascii="Arial" w:cs="Arial" w:eastAsia="Arial" w:hAnsi="Arial"/>
          <w:sz w:val="18"/>
          <w:szCs w:val="18"/>
          <w:color w:val="auto"/>
        </w:rPr>
        <w:t>. the dominant premium factor, which is the factor that has the greatest impact on the premium, such as revenues, payroll or employee headcount);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EWI provides claims and risk management services to each of the companies participating in the risk management program, including us, and where appropriate EWI engages third-party risk management consultants;</w:t>
      </w:r>
    </w:p>
    <w:p>
      <w:pPr>
        <w:spacing w:after="0" w:line="386" w:lineRule="exact"/>
        <w:rPr>
          <w:rFonts w:ascii="Arial" w:cs="Arial" w:eastAsia="Arial" w:hAnsi="Arial"/>
          <w:sz w:val="18"/>
          <w:szCs w:val="18"/>
          <w:color w:val="auto"/>
        </w:rPr>
      </w:pPr>
    </w:p>
    <w:p>
      <w:pPr>
        <w:ind w:left="1300" w:right="80" w:hanging="644"/>
        <w:spacing w:after="0" w:line="34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commissions received by Tall Pines and EWI from the insurance or reinsurance underwriters, and the fees assessed for the policies they so provide or broker, are in amounts equal to the commissions or fees which would be received by third-party brokers or underwriters;</w:t>
      </w:r>
    </w:p>
    <w:p>
      <w:pPr>
        <w:spacing w:after="0" w:line="339" w:lineRule="exact"/>
        <w:rPr>
          <w:rFonts w:ascii="Arial" w:cs="Arial" w:eastAsia="Arial" w:hAnsi="Arial"/>
          <w:sz w:val="16"/>
          <w:szCs w:val="16"/>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insurance coverages provided to us by the risk management program are sufficient and adequate for our purposes;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20" w:hanging="644"/>
        <w:spacing w:after="0" w:line="25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benefits to our participating in the risk management program include, among others, (a) the ability to obtain broader coverage, with strong/solvent underwriters, at a reduced cost as compared to the coverage and cost that would be available if we were to purchase insurance by itself, (b) the greater spread of risk among the companies participating in the risk management program, (c) the ability to obtain centralized premium and claim reporting, and (d) the ability to have access to the experienced risk management personnel of EWI, including in the areas of loss controls and claims processing; and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1300" w:right="140" w:hanging="644"/>
        <w:spacing w:after="0" w:line="34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“cost of risk” metric, as defined by the Risk and Insurance Management Society, or RIMS, for the Contran group is lower as compared to the cost of risk as reflected in a recent RIMS benchmark survey for certain groups of companies comparable to the Contran group.</w:t>
      </w:r>
    </w:p>
    <w:p>
      <w:pPr>
        <w:spacing w:after="0" w:line="34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part of such presentations, our chief financial officer, after consultation with other members of our management, advised the committee of his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and provided the committee with his recommendation that the committee approve, adopt and ratify our participation in the risk management program in all respects.</w:t>
      </w:r>
    </w:p>
    <w:p>
      <w:pPr>
        <w:spacing w:after="0" w:line="15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approved, adopted and ratified our participation in the risk management program in all respects.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firstLine="648"/>
        <w:spacing w:after="0" w:line="254" w:lineRule="auto"/>
        <w:rPr>
          <w:sz w:val="20"/>
          <w:szCs w:val="20"/>
          <w:color w:val="auto"/>
        </w:rPr>
      </w:pP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We and our qualifying subsidiaries are members of the consolidated U.S. federal tax return of which Contran is the parent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9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2018, and pursuant to our tax sharing agreement, we made net cash payments for income taxes to NL of approximately $4.3 million.</w:t>
      </w:r>
    </w:p>
    <w:p>
      <w:pPr>
        <w:spacing w:after="0" w:line="166"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In February 2018,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38" w:lineRule="exact"/>
        <w:rPr>
          <w:sz w:val="20"/>
          <w:szCs w:val="20"/>
          <w:color w:val="auto"/>
        </w:rPr>
      </w:pPr>
    </w:p>
    <w:p>
      <w:pPr>
        <w:ind w:left="1300" w:right="16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tax sharing agreement is consistent with accounting principles generally accepted in the United States of America, and consistent with applicable law and regulations; and</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such presentation, our chief financial officer and our chief tax officer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7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After considering the information contained in the presentations, including the recommendation of our chief financial officer and our chief tax officer, and following further discussion and review by the audit committee, our audit committee determined that the terms of the tax sharing agreement are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i w:val="1"/>
          <w:iCs w:val="1"/>
          <w:color w:val="auto"/>
        </w:rPr>
        <w:t>Related Party Loans for Cash Management Purposes</w:t>
      </w:r>
      <w:r>
        <w:rPr>
          <w:rFonts w:ascii="Arial" w:cs="Arial" w:eastAsia="Arial" w:hAnsi="Arial"/>
          <w:sz w:val="17"/>
          <w:szCs w:val="17"/>
          <w:color w:val="auto"/>
        </w:rPr>
        <w:t>. From time to time, loans and advances are made between us and various related parties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firstLine="648"/>
        <w:spacing w:after="0" w:line="271" w:lineRule="auto"/>
        <w:rPr>
          <w:sz w:val="20"/>
          <w:szCs w:val="20"/>
          <w:color w:val="auto"/>
        </w:rPr>
      </w:pPr>
      <w:r>
        <w:rPr>
          <w:rFonts w:ascii="Arial" w:cs="Arial" w:eastAsia="Arial" w:hAnsi="Arial"/>
          <w:sz w:val="17"/>
          <w:szCs w:val="17"/>
          <w:color w:val="auto"/>
        </w:rPr>
        <w:t>During 2018, we had an unsecured revolving promissory note with Valhi whereby we agreed to loan Valhi up to $40 million. Our loan to Valhi, as amended, bears interest at the prime rate plus 1.00%, payable quarterly and all principal and unpaid interest due on demand, but in any event no earlier than December 31, 2020. The agreement contains no financial covenants or other financial restrictions. Loans made to Valhi at any time under the agreement are at our discretion. During our fiscal year ended December 30, 2018, we made aggregate loans to Valhi of $46.8 million, Valhi repaid an aggregate of $51.0 million, and the largest amount of principal outstanding under the loan was $40.0 million. At December 30, 2018, the outstanding balance of such loan to Valhi was $34.0 million. On December 31, 2018 (one day after the end of our 2018 fiscal year-end, but on the last day of the fiscal year for Valhi), we loaned $6.0 million to Valhi, increasing the outstanding principal balance receivable from Valhi under the promissory note to $40.0 million. During 2018, we received aggregate interest under this note (including unused commitment fees) of $2.1 million.</w:t>
      </w:r>
    </w:p>
    <w:p>
      <w:pPr>
        <w:spacing w:after="0" w:line="20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February 2018, our management made a presentation to our audit committee regarding our loan to Valhi. Among other things during such presentation, the committee was informed of the following (in addition to the matters described above):</w:t>
      </w:r>
    </w:p>
    <w:p>
      <w:pPr>
        <w:spacing w:after="0" w:line="170"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no outstanding indebtedness;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receive an unused commitment fee of 50 basis points per annum, payable quarterly;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higher than the rate of return we would earn on any of our funds available for investment; and</w:t>
      </w:r>
    </w:p>
    <w:p>
      <w:pPr>
        <w:spacing w:after="0" w:line="386"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387"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As part of such presentation, our chief financial officer, after consultation with our treasurer and other members of our management, advised the committee of his belief that the terms of our loan to Valhi are fair and reasonable to us, and are on terms no less favorable than we could otherwise obtain from unrelated parties, and provided the committee with his recommendation that the committee approve, adopt and ratify our loan to Valhi in all respects.</w:t>
      </w:r>
    </w:p>
    <w:p>
      <w:pPr>
        <w:spacing w:after="0" w:line="14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Our audit committee of the board of directors is composed of five directors and operates under a written charter adopted by the board of directors. All members of our audit committee meet the independence standards established by the board of directors and the NYSE American and promulgated by the SEC under the Sarbanes-Oxley Act of 2002. Two members of our audit committee meet the audit committee financial expert requirements under the applicable SEC rules. The audit committee charter is available on our website at </w:t>
      </w:r>
      <w:r>
        <w:rPr>
          <w:rFonts w:ascii="Arial" w:cs="Arial" w:eastAsia="Arial" w:hAnsi="Arial"/>
          <w:sz w:val="16"/>
          <w:szCs w:val="16"/>
          <w:b w:val="1"/>
          <w:bCs w:val="1"/>
          <w:i w:val="1"/>
          <w:iCs w:val="1"/>
          <w:color w:val="auto"/>
        </w:rPr>
        <w:t>www.compx.com</w:t>
      </w:r>
      <w:r>
        <w:rPr>
          <w:rFonts w:ascii="Arial" w:cs="Arial" w:eastAsia="Arial" w:hAnsi="Arial"/>
          <w:sz w:val="16"/>
          <w:szCs w:val="16"/>
          <w:color w:val="auto"/>
        </w:rPr>
        <w:t xml:space="preserve"> under the corporate section.</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8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audit committee assists the board of directors in fulfilling its responsibility to oversee management’s implementation of our financial reporting process and the audits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approval or ratification of certain related party transactions in accordance with the terms of our RPT Policy, as discussed above in the Certain Relationships and Transactions section in this proxy statement.</w:t>
      </w:r>
    </w:p>
    <w:p>
      <w:pPr>
        <w:spacing w:after="0" w:line="16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its oversight role, our audit committee reviewed and discussed our audited consolidated financial statements with management and with PwC, our independent registered public accounting firm for 2018. Our audit committee also reviewed and discussed our internal control over financial reporting with management and with PwC. Management and PwC indicated that our consolidated financial statements as of and for the year ended December 31, 2018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6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Based upon the foregoing considerations, our audit committee recommended to the board of directors that our audited consolidated financial statements be included in our 2018 Annual Report on Form 10-K for filing with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Members of our audit committee of the board of directors respectfully submit the foregoing report as of February 27, 2019.</w:t>
      </w: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Cecil H. Moore, Jr.</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Chairman of our Audit Committee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Arial" w:cs="Arial" w:eastAsia="Arial" w:hAnsi="Arial"/>
                <w:sz w:val="18"/>
                <w:szCs w:val="18"/>
                <w:b w:val="1"/>
                <w:bCs w:val="1"/>
                <w:color w:val="auto"/>
              </w:rPr>
              <w:t>Thomas E. Barry</w:t>
            </w:r>
          </w:p>
        </w:tc>
        <w:tc>
          <w:tcPr>
            <w:tcW w:w="2820" w:type="dxa"/>
            <w:vAlign w:val="bottom"/>
          </w:tcPr>
          <w:p>
            <w:pPr>
              <w:ind w:left="280"/>
              <w:spacing w:after="0"/>
              <w:rPr>
                <w:sz w:val="20"/>
                <w:szCs w:val="20"/>
                <w:color w:val="auto"/>
              </w:rPr>
            </w:pPr>
            <w:r>
              <w:rPr>
                <w:rFonts w:ascii="Arial" w:cs="Arial" w:eastAsia="Arial" w:hAnsi="Arial"/>
                <w:sz w:val="18"/>
                <w:szCs w:val="18"/>
                <w:b w:val="1"/>
                <w:bCs w:val="1"/>
                <w:color w:val="auto"/>
              </w:rPr>
              <w:t>Terri L. Herrington</w:t>
            </w:r>
          </w:p>
        </w:tc>
        <w:tc>
          <w:tcPr>
            <w:tcW w:w="2900" w:type="dxa"/>
            <w:vAlign w:val="bottom"/>
          </w:tcPr>
          <w:p>
            <w:pPr>
              <w:ind w:left="300"/>
              <w:spacing w:after="0"/>
              <w:rPr>
                <w:sz w:val="20"/>
                <w:szCs w:val="20"/>
                <w:color w:val="auto"/>
              </w:rPr>
            </w:pPr>
            <w:r>
              <w:rPr>
                <w:rFonts w:ascii="Arial" w:cs="Arial" w:eastAsia="Arial" w:hAnsi="Arial"/>
                <w:sz w:val="18"/>
                <w:szCs w:val="18"/>
                <w:b w:val="1"/>
                <w:bCs w:val="1"/>
                <w:color w:val="auto"/>
              </w:rPr>
              <w:t>Ann Manix</w:t>
            </w:r>
          </w:p>
        </w:tc>
        <w:tc>
          <w:tcPr>
            <w:tcW w:w="3100" w:type="dxa"/>
            <w:vAlign w:val="bottom"/>
          </w:tcPr>
          <w:p>
            <w:pPr>
              <w:ind w:left="260"/>
              <w:spacing w:after="0"/>
              <w:rPr>
                <w:sz w:val="20"/>
                <w:szCs w:val="20"/>
                <w:color w:val="auto"/>
              </w:rPr>
            </w:pPr>
            <w:r>
              <w:rPr>
                <w:rFonts w:ascii="Arial" w:cs="Arial" w:eastAsia="Arial" w:hAnsi="Arial"/>
                <w:sz w:val="18"/>
                <w:szCs w:val="18"/>
                <w:b w:val="1"/>
                <w:bCs w:val="1"/>
                <w:color w:val="auto"/>
              </w:rPr>
              <w:t>Mary A. Tidlund</w:t>
            </w:r>
          </w:p>
        </w:tc>
      </w:tr>
      <w:tr>
        <w:trPr>
          <w:trHeight w:val="230"/>
        </w:trPr>
        <w:tc>
          <w:tcPr>
            <w:tcW w:w="2600" w:type="dxa"/>
            <w:vAlign w:val="bottom"/>
          </w:tcPr>
          <w:p>
            <w:pPr>
              <w:spacing w:after="0"/>
              <w:rPr>
                <w:sz w:val="20"/>
                <w:szCs w:val="20"/>
                <w:color w:val="auto"/>
              </w:rPr>
            </w:pPr>
            <w:r>
              <w:rPr>
                <w:rFonts w:ascii="Arial" w:cs="Arial" w:eastAsia="Arial" w:hAnsi="Arial"/>
                <w:sz w:val="18"/>
                <w:szCs w:val="18"/>
                <w:i w:val="1"/>
                <w:iCs w:val="1"/>
                <w:color w:val="auto"/>
              </w:rPr>
              <w:t>Member of our Audit Committee</w:t>
            </w:r>
          </w:p>
        </w:tc>
        <w:tc>
          <w:tcPr>
            <w:tcW w:w="2820" w:type="dxa"/>
            <w:vAlign w:val="bottom"/>
          </w:tcPr>
          <w:p>
            <w:pPr>
              <w:ind w:left="280"/>
              <w:spacing w:after="0"/>
              <w:rPr>
                <w:sz w:val="20"/>
                <w:szCs w:val="20"/>
                <w:color w:val="auto"/>
              </w:rPr>
            </w:pPr>
            <w:r>
              <w:rPr>
                <w:rFonts w:ascii="Arial" w:cs="Arial" w:eastAsia="Arial" w:hAnsi="Arial"/>
                <w:sz w:val="18"/>
                <w:szCs w:val="18"/>
                <w:i w:val="1"/>
                <w:iCs w:val="1"/>
                <w:color w:val="auto"/>
                <w:w w:val="98"/>
              </w:rPr>
              <w:t>Member of our Audit Committee</w:t>
            </w:r>
          </w:p>
        </w:tc>
        <w:tc>
          <w:tcPr>
            <w:tcW w:w="2900" w:type="dxa"/>
            <w:vAlign w:val="bottom"/>
          </w:tcPr>
          <w:p>
            <w:pPr>
              <w:ind w:left="300"/>
              <w:spacing w:after="0"/>
              <w:rPr>
                <w:sz w:val="20"/>
                <w:szCs w:val="20"/>
                <w:color w:val="auto"/>
              </w:rPr>
            </w:pPr>
            <w:r>
              <w:rPr>
                <w:rFonts w:ascii="Arial" w:cs="Arial" w:eastAsia="Arial" w:hAnsi="Arial"/>
                <w:sz w:val="18"/>
                <w:szCs w:val="18"/>
                <w:i w:val="1"/>
                <w:iCs w:val="1"/>
                <w:color w:val="auto"/>
              </w:rPr>
              <w:t>Member of our Audit Committee</w:t>
            </w:r>
          </w:p>
        </w:tc>
        <w:tc>
          <w:tcPr>
            <w:tcW w:w="3100" w:type="dxa"/>
            <w:vAlign w:val="bottom"/>
          </w:tcPr>
          <w:p>
            <w:pPr>
              <w:ind w:left="260"/>
              <w:spacing w:after="0"/>
              <w:rPr>
                <w:sz w:val="20"/>
                <w:szCs w:val="20"/>
                <w:color w:val="auto"/>
              </w:rPr>
            </w:pPr>
            <w:r>
              <w:rPr>
                <w:rFonts w:ascii="Arial" w:cs="Arial" w:eastAsia="Arial" w:hAnsi="Arial"/>
                <w:sz w:val="18"/>
                <w:szCs w:val="18"/>
                <w:i w:val="1"/>
                <w:iCs w:val="1"/>
                <w:color w:val="auto"/>
              </w:rPr>
              <w:t>Member of our Audit Committee</w:t>
            </w:r>
          </w:p>
        </w:tc>
      </w:tr>
      <w:tr>
        <w:trPr>
          <w:trHeight w:val="825"/>
        </w:trPr>
        <w:tc>
          <w:tcPr>
            <w:tcW w:w="2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00" w:type="dxa"/>
            <w:vAlign w:val="bottom"/>
          </w:tcPr>
          <w:p>
            <w:pPr>
              <w:jc w:val="right"/>
              <w:ind w:right="2456"/>
              <w:spacing w:after="0"/>
              <w:rPr>
                <w:sz w:val="20"/>
                <w:szCs w:val="20"/>
                <w:color w:val="auto"/>
              </w:rPr>
            </w:pPr>
            <w:r>
              <w:rPr>
                <w:rFonts w:ascii="Arial" w:cs="Arial" w:eastAsia="Arial" w:hAnsi="Arial"/>
                <w:sz w:val="14"/>
                <w:szCs w:val="14"/>
                <w:color w:val="auto"/>
              </w:rPr>
              <w:t>32</w:t>
            </w:r>
          </w:p>
        </w:tc>
        <w:tc>
          <w:tcPr>
            <w:tcW w:w="3100" w:type="dxa"/>
            <w:vAlign w:val="bottom"/>
          </w:tcPr>
          <w:p>
            <w:pPr>
              <w:spacing w:after="0"/>
              <w:rPr>
                <w:sz w:val="24"/>
                <w:szCs w:val="24"/>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INDEPENDENT REGISTERED PUBLIC ACCOUNTING FIRM MATTERS</w:t>
      </w:r>
    </w:p>
    <w:p>
      <w:pPr>
        <w:spacing w:after="0" w:line="229"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7"/>
          <w:szCs w:val="17"/>
          <w:b w:val="1"/>
          <w:bCs w:val="1"/>
          <w:i w:val="1"/>
          <w:iCs w:val="1"/>
          <w:color w:val="auto"/>
        </w:rPr>
        <w:t>Independent Registered Public Accounting Firm</w:t>
      </w:r>
      <w:r>
        <w:rPr>
          <w:rFonts w:ascii="Arial" w:cs="Arial" w:eastAsia="Arial" w:hAnsi="Arial"/>
          <w:sz w:val="17"/>
          <w:szCs w:val="17"/>
          <w:color w:val="auto"/>
        </w:rPr>
        <w:t>. PwC served as our independent registered public accounting firm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2018. Our audit committee has appointed PwC to review our quarterly unaudited condensed consolidated financial statements to be included in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first quarter of 2019. We expect PwC will be considered for appointment to:</w:t>
      </w:r>
    </w:p>
    <w:p>
      <w:pPr>
        <w:spacing w:after="0" w:line="202" w:lineRule="exact"/>
        <w:rPr>
          <w:sz w:val="20"/>
          <w:szCs w:val="20"/>
          <w:color w:val="auto"/>
        </w:rPr>
      </w:pPr>
    </w:p>
    <w:p>
      <w:pPr>
        <w:ind w:left="1300" w:right="18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our quarterly unaudited condensed consolidated financial statements to be included in our Quarterly Reports on Form 10-Q for the second and third quarters of 2019 and the first quarter of 2020;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audit our annual consolidated financial statements for the year ending December 31,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PwC are not expected to attend our 2019 annual stockholder meeting.</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b w:val="1"/>
          <w:bCs w:val="1"/>
          <w:i w:val="1"/>
          <w:iCs w:val="1"/>
          <w:color w:val="auto"/>
        </w:rPr>
        <w:t>Fees Paid to PricewaterhouseCoopers LLP</w:t>
      </w:r>
      <w:r>
        <w:rPr>
          <w:rFonts w:ascii="Arial" w:cs="Arial" w:eastAsia="Arial" w:hAnsi="Arial"/>
          <w:sz w:val="18"/>
          <w:szCs w:val="18"/>
          <w:color w:val="auto"/>
        </w:rPr>
        <w:t>. The following table shows the aggregate fees that our audit committee has authorized and PwC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billed or is expected to bill to us for services rendered for 2017 and 2018. Additional fees for 2018 may subsequently be authorized and paid to PwC, in which case the amounts disclosed below for fees paid to PwC for 2018 would be adjusted to reflect such additional payments in our proxy statement relating to next year’s annual stockholder meeting. In this regard, we have similarly adjusted the audit fees shown for 2017 from the amounts disclosed in our 2018 proxy statement.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ind w:left="3860"/>
              <w:spacing w:after="0"/>
              <w:rPr>
                <w:sz w:val="20"/>
                <w:szCs w:val="20"/>
                <w:color w:val="auto"/>
              </w:rPr>
            </w:pPr>
            <w:r>
              <w:rPr>
                <w:rFonts w:ascii="Arial" w:cs="Arial" w:eastAsia="Arial" w:hAnsi="Arial"/>
                <w:sz w:val="18"/>
                <w:szCs w:val="18"/>
                <w:b w:val="1"/>
                <w:bCs w:val="1"/>
                <w:color w:val="auto"/>
              </w:rPr>
              <w:t>Type of Fees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 (2)</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883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Fees for the following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audits of consolidated year-end financial statements for each year;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reviews of the unaudited quarterly financial statements appearing in Forms 10-Q for each of the first three quarters of each year;</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consents and/or assistance with registration statements filed with the SEC;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normally provided statutory or regulatory filings or engagements for each year;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estimated out-of-pocket costs PwC incurred in providing all of such services, for which PwC is reimbursed.</w:t>
      </w:r>
    </w:p>
    <w:p>
      <w:pPr>
        <w:spacing w:after="0" w:line="102"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Permitted fees for tax compliance, tax advice and tax planning services.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Preapproval Policies and Procedures</w:t>
      </w:r>
      <w:r>
        <w:rPr>
          <w:rFonts w:ascii="Arial" w:cs="Arial" w:eastAsia="Arial" w:hAnsi="Arial"/>
          <w:sz w:val="18"/>
          <w:szCs w:val="18"/>
          <w:color w:val="auto"/>
        </w:rPr>
        <w:t>. For the purpose of maintaining the independence of our independent registered public accounting firm,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87" w:lineRule="exact"/>
        <w:rPr>
          <w:sz w:val="20"/>
          <w:szCs w:val="20"/>
          <w:color w:val="auto"/>
        </w:rPr>
      </w:pPr>
    </w:p>
    <w:p>
      <w:pPr>
        <w:ind w:left="1300" w:right="160" w:hanging="644"/>
        <w:spacing w:after="0" w:line="312"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362" w:lineRule="exact"/>
        <w:rPr>
          <w:rFonts w:ascii="Arial" w:cs="Arial" w:eastAsia="Arial" w:hAnsi="Arial"/>
          <w:sz w:val="16"/>
          <w:szCs w:val="16"/>
          <w:color w:val="auto"/>
        </w:rPr>
      </w:pPr>
    </w:p>
    <w:p>
      <w:pPr>
        <w:ind w:left="1300" w:right="60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These other permitted services include:</w:t>
      </w:r>
    </w:p>
    <w:p>
      <w:pPr>
        <w:spacing w:after="0" w:line="225" w:lineRule="exact"/>
        <w:rPr>
          <w:sz w:val="20"/>
          <w:szCs w:val="20"/>
          <w:color w:val="auto"/>
        </w:rPr>
      </w:pPr>
    </w:p>
    <w:p>
      <w:pPr>
        <w:ind w:left="1300" w:right="50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audit-related services, such as certain consultations regarding accounting treatments or interpretations and assistance in responding to certain SEC comment letters;</w:t>
      </w:r>
    </w:p>
    <w:p>
      <w:pPr>
        <w:spacing w:after="0" w:line="386"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audit-related services, such as certain other consultations regarding accounting treatments or interpretations, employee benefit plan audits, due diligence and control reviews;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 services, such as tax compliance and consulting, transfer pricing, customs and duties and expatriate tax services;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assistance with corporate governance matters and filing documents in foreign jurisdictions not involving the practice of law.</w:t>
      </w:r>
    </w:p>
    <w:p>
      <w:pPr>
        <w:spacing w:after="0" w:line="200" w:lineRule="exact"/>
        <w:rPr>
          <w:sz w:val="20"/>
          <w:szCs w:val="20"/>
          <w:color w:val="auto"/>
        </w:rPr>
      </w:pP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policy also lists certain services for which the independent auditor is always prohibited from providing us under applicable requirements of the SEC or the PCAOB.</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2018, our audit committee preapproved all of PwC’s services provided to us or any of our subsidiaries in compliance with our preapproval policy without the use of the SEC’s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to such preapproval requirement.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RESOLUTION ON NAMED EXECUTIVE OFFICER COMPENSATION</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Background</w:t>
      </w:r>
      <w:r>
        <w:rPr>
          <w:rFonts w:ascii="Arial" w:cs="Arial" w:eastAsia="Arial" w:hAnsi="Arial"/>
          <w:sz w:val="18"/>
          <w:szCs w:val="18"/>
          <w:color w:val="auto"/>
        </w:rPr>
        <w:t>. Pursuant to Section 14A of the Securities Exchange Act, a publicly held company is required to submit to its stockholders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nonbinding advisory vote to approve the compensation of its named executive officers, commonly known as a “Say-on-Pay” proposal. Our stockholders have approved an annual frequency for these Say-on-Pay proposals. After our 2019 annual meeting of stockholders, the next nonbinding stockholder advisory vote on a Say-on-Pay proposal will be at our 2020 annual meeting of stockholders. The next nonbinding stockholder advisory vote on the frequency of a Say-on-Pay proposal will be at our 2023 annual meeting of stockholders.</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b w:val="1"/>
          <w:bCs w:val="1"/>
          <w:i w:val="1"/>
          <w:iCs w:val="1"/>
          <w:color w:val="auto"/>
        </w:rPr>
        <w:t>Say-on-Pay Proposal</w:t>
      </w:r>
      <w:r>
        <w:rPr>
          <w:rFonts w:ascii="Arial" w:cs="Arial" w:eastAsia="Arial" w:hAnsi="Arial"/>
          <w:sz w:val="16"/>
          <w:szCs w:val="16"/>
          <w:color w:val="auto"/>
        </w:rPr>
        <w:t>. This proposal affords our stockholders the opportunity to submit a nonbinding advisory vote on our named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61" w:lineRule="exact"/>
        <w:rPr>
          <w:sz w:val="20"/>
          <w:szCs w:val="20"/>
          <w:color w:val="auto"/>
        </w:rPr>
      </w:pPr>
    </w:p>
    <w:p>
      <w:pPr>
        <w:ind w:left="660" w:right="800" w:firstLine="648"/>
        <w:spacing w:after="0" w:line="295"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by the affirmative vote of the holders of the majority of the class A shares of common stock present in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represented by proxy at the 2019 annual stockholder meeting and entitled to vote on the subject matter, the stockholders of CompX International Inc. approve, on a nonbinding advisory basis, the compensation of its executive officers named in the 2018 Summary Compensation Table in the 2019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6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b w:val="1"/>
          <w:bCs w:val="1"/>
          <w:i w:val="1"/>
          <w:iCs w:val="1"/>
          <w:color w:val="auto"/>
        </w:rPr>
        <w:t>Effect of the Proposal</w:t>
      </w:r>
      <w:r>
        <w:rPr>
          <w:rFonts w:ascii="Arial" w:cs="Arial" w:eastAsia="Arial" w:hAnsi="Arial"/>
          <w:sz w:val="18"/>
          <w:szCs w:val="18"/>
          <w:color w:val="auto"/>
        </w:rPr>
        <w:t>. The Say-on-Pay proposal is nonbinding and advisory. Our stockholders’ approval or disapproval of this proposal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our board of directors, its management development and compensation committee or our management to take any action regarding our executive compensation practices.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i w:val="1"/>
          <w:iCs w:val="1"/>
          <w:color w:val="auto"/>
        </w:rPr>
        <w:t>Vote Required</w:t>
      </w:r>
      <w:r>
        <w:rPr>
          <w:rFonts w:ascii="Arial" w:cs="Arial" w:eastAsia="Arial" w:hAnsi="Arial"/>
          <w:sz w:val="18"/>
          <w:szCs w:val="18"/>
          <w:color w:val="auto"/>
        </w:rPr>
        <w:t>. Because this proposal is a nonbinding advisory vote, there is no minimum requisite vote to approve the Say-on-Pay proposal.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proposed resolution provides that the nonbinding affirmative vote of the holders of the majority of the class A shares of common stock present in person or represented by proxy at the 2019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83"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 xml:space="preserve">OUR BOARD OF DIRECTORS RECOMMENDS A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SAY-ON-PAY PROPOSAL AS SET FORTH IN THE NONBINDING ADVISORY RESOLUTION APPROVING OUR NAMED EXECUTIVE OFFICER COMPENSATION AS DISCLOSED IN THIS PROXY STATEMENT.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2018 ANNUAL REPORT ON FORM 10-K</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A copy of our Annual Report on Form 10-K for the fiscal year ended December 31, 2018 is included as part of the annual report mailed to our stockholders with this proxy statement and may also be accessed on our website at </w:t>
      </w:r>
      <w:r>
        <w:rPr>
          <w:rFonts w:ascii="Arial" w:cs="Arial" w:eastAsia="Arial" w:hAnsi="Arial"/>
          <w:sz w:val="18"/>
          <w:szCs w:val="18"/>
          <w:b w:val="1"/>
          <w:bCs w:val="1"/>
          <w:i w:val="1"/>
          <w:iCs w:val="1"/>
          <w:color w:val="auto"/>
        </w:rPr>
        <w:t>www.compx.com</w:t>
      </w:r>
      <w:r>
        <w:rPr>
          <w:rFonts w:ascii="Arial" w:cs="Arial" w:eastAsia="Arial" w:hAnsi="Arial"/>
          <w:sz w:val="18"/>
          <w:szCs w:val="18"/>
          <w:color w:val="auto"/>
        </w:rPr>
        <w: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66"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 no longer wish to participate in householding and would prefer to receive separate proxy materials;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you receive multiple copies of the proxy materials at your address and would like to request householding of our communications.</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REQUEST COPIES OF THE 2018 ANNUAL REPORT AND THIS PROXY STATEMENT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 obtain copies of our 2018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April 16, 2019</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23" w:right="29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ectPr>
          <w:pgSz w:w="11900" w:h="16838" w:orient="portrait"/>
          <w:cols w:equalWidth="0" w:num="1">
            <w:col w:w="9019"/>
          </w:cols>
          <w:pgMar w:left="1440" w:top="1440" w:right="1440" w:bottom="1440" w:gutter="0" w:footer="0" w:header="0"/>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5430 LBJ Freeway, Suite 1700</w:t>
      </w:r>
    </w:p>
    <w:p>
      <w:pPr>
        <w:spacing w:after="0" w:line="3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734695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861060</wp:posOffset>
            </wp:positionV>
            <wp:extent cx="2280920" cy="1003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CompX International Inc.</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SOLICITED ON BEHALF OF THE BOARD OF DIRECTORS OF COMPX INTERNATIONAL</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 FOR THE ANNUAL MEETING OF STOCKHOLDERS TO BE HELD MAY 22, 2019</w:t>
      </w:r>
    </w:p>
    <w:p>
      <w:pPr>
        <w:spacing w:after="0" w:line="2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undersigned hereby appoints Scott C. James, James W. Brown and Jane R. Grimm, and each of them, proxy for the undersigned, with full power of substitution, to vote on behalf of the undersigned at the 2019 Annual Meeting of Stockholders (the "Meeting") of CompX International Inc., a Delaware corporation ("CompX"), to be held at CompX's corporate offices at Three Lincoln Centre, 5430 LBJ Freeway, Suite 1700, Dallas, Texas 75240-2620 on Wednesday, May 22, 2019, at 10:00 a.m. (local time), and at any adjournment or postponement of the Meeting, all of the shares of class A common stock, par value $0.01 per share, of CompX standing in the name of the undersigned or that the undersigned may be entitled to vote on the proposals set forth, and in the manner directed, on this proxy card.</w:t>
      </w:r>
    </w:p>
    <w:p>
      <w:pPr>
        <w:spacing w:after="0" w:line="216"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THIS PROXY AUTHORIZATION MAY BE REVOKED AS SET FORTH IN THE PROXY STATEMENT</w:t>
      </w: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THAT ACCOMPANIED THIS PROXY CARD.</w:t>
      </w:r>
    </w:p>
    <w:p>
      <w:pPr>
        <w:spacing w:after="0" w:line="25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The agents named on this proxy card, if this card is properly executed, will vote in the manner directed on this card. If this card is properly executed but no direction is given with respect to the election of one or more nominees named on the reverse side of this card or proposal 2, the agents will vote "FOR" each such nominee for election as a director and "FOR" proposal 2. To the extent allowed by applicable law, the agents will vote in their discretion on any other matter that may properly come before the Meeting and any adjournment or postponement thereof.</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SIGN, DATE AND MAIL THIS PROXY CARD PROMPTLY IN THE ENCLOSED ENVELOPE.</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SEE REVERSE SIDE.</w:t>
      </w:r>
    </w:p>
    <w:p>
      <w:pPr>
        <w:spacing w:after="0" w:line="25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Stockholder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Meeting to Be Held on May 22, 2019.</w:t>
      </w:r>
    </w:p>
    <w:p>
      <w:pPr>
        <w:spacing w:after="0" w:line="234" w:lineRule="exact"/>
        <w:rPr>
          <w:sz w:val="20"/>
          <w:szCs w:val="20"/>
          <w:color w:val="auto"/>
        </w:rPr>
      </w:pPr>
    </w:p>
    <w:p>
      <w:pPr>
        <w:jc w:val="center"/>
        <w:ind w:left="340" w:right="2380"/>
        <w:spacing w:after="0" w:line="266" w:lineRule="auto"/>
        <w:rPr>
          <w:sz w:val="20"/>
          <w:szCs w:val="20"/>
          <w:color w:val="auto"/>
        </w:rPr>
      </w:pPr>
      <w:r>
        <w:rPr>
          <w:rFonts w:ascii="Arial" w:cs="Arial" w:eastAsia="Arial" w:hAnsi="Arial"/>
          <w:sz w:val="18"/>
          <w:szCs w:val="18"/>
          <w:b w:val="1"/>
          <w:bCs w:val="1"/>
          <w:color w:val="auto"/>
        </w:rPr>
        <w:t xml:space="preserve">The proxy statement and annual report to stockholders (including CompX's Annual Report on Form 10-K for the fiscal year ended December 31, 2018) are available at </w:t>
      </w:r>
      <w:r>
        <w:rPr>
          <w:rFonts w:ascii="Arial" w:cs="Arial" w:eastAsia="Arial" w:hAnsi="Arial"/>
          <w:sz w:val="18"/>
          <w:szCs w:val="18"/>
          <w:b w:val="1"/>
          <w:bCs w:val="1"/>
          <w:u w:val="single" w:color="auto"/>
          <w:color w:val="auto"/>
        </w:rPr>
        <w:t>http://www.viewproxy.com/CompX/2019</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43" w:name="page44"/>
    <w:bookmarkEnd w:id="43"/>
    <w:p>
      <w:pPr>
        <w:spacing w:after="0" w:line="62"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Please mark your vote like this </w:t>
      </w:r>
      <w:r>
        <w:rPr>
          <w:rFonts w:ascii="MS PGothic" w:cs="MS PGothic" w:eastAsia="MS PGothic" w:hAnsi="MS PGothic"/>
          <w:sz w:val="18"/>
          <w:szCs w:val="18"/>
          <w:color w:val="231F20"/>
        </w:rPr>
        <w: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ectPr>
          <w:pgSz w:w="11900" w:h="16900" w:orient="portrait"/>
          <w:cols w:equalWidth="0" w:num="1">
            <w:col w:w="11420"/>
          </w:cols>
          <w:pgMar w:left="240" w:top="45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1. Director Nominees:</w:t>
            </w:r>
          </w:p>
        </w:tc>
        <w:tc>
          <w:tcPr>
            <w:tcW w:w="1520" w:type="dxa"/>
            <w:vAlign w:val="bottom"/>
            <w:vMerge w:val="restart"/>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vMerge w:val="restart"/>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183"/>
        </w:trPr>
        <w:tc>
          <w:tcPr>
            <w:tcW w:w="2320" w:type="dxa"/>
            <w:vAlign w:val="bottom"/>
          </w:tcPr>
          <w:p>
            <w:pPr>
              <w:spacing w:after="0" w:line="183" w:lineRule="exact"/>
              <w:rPr>
                <w:sz w:val="20"/>
                <w:szCs w:val="20"/>
                <w:color w:val="auto"/>
              </w:rPr>
            </w:pPr>
            <w:r>
              <w:rPr>
                <w:rFonts w:ascii="Arial" w:cs="Arial" w:eastAsia="Arial" w:hAnsi="Arial"/>
                <w:sz w:val="18"/>
                <w:szCs w:val="18"/>
                <w:color w:val="auto"/>
              </w:rPr>
              <w:t>01. Thomas E. Barry</w:t>
            </w:r>
          </w:p>
        </w:tc>
        <w:tc>
          <w:tcPr>
            <w:tcW w:w="15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02. David A. Bowers</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03. Loretta J. Feehan</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365"/>
        </w:trPr>
        <w:tc>
          <w:tcPr>
            <w:tcW w:w="2320" w:type="dxa"/>
            <w:vAlign w:val="bottom"/>
          </w:tcPr>
          <w:p>
            <w:pPr>
              <w:spacing w:after="0"/>
              <w:rPr>
                <w:sz w:val="20"/>
                <w:szCs w:val="20"/>
                <w:color w:val="auto"/>
              </w:rPr>
            </w:pPr>
            <w:r>
              <w:rPr>
                <w:rFonts w:ascii="Arial" w:cs="Arial" w:eastAsia="Arial" w:hAnsi="Arial"/>
                <w:sz w:val="18"/>
                <w:szCs w:val="18"/>
                <w:color w:val="auto"/>
              </w:rPr>
              <w:t>04. Robert D. Graham</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05. Terri L. Herrington</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06. Ann Manix</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07. Mary A. Tidlund</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231F20"/>
        </w:rPr>
        <w:t>DO NOT PRINT IN THIS AREA</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231F20"/>
        </w:rPr>
        <w:t>(Shareholder Name &amp; Address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6" w:hanging="186"/>
        <w:spacing w:after="0"/>
        <w:tabs>
          <w:tab w:leader="none" w:pos="186" w:val="left"/>
        </w:tabs>
        <w:numPr>
          <w:ilvl w:val="0"/>
          <w:numId w:val="79"/>
        </w:numPr>
        <w:rPr>
          <w:rFonts w:ascii="Arial" w:cs="Arial" w:eastAsia="Arial" w:hAnsi="Arial"/>
          <w:sz w:val="16"/>
          <w:szCs w:val="16"/>
          <w:color w:val="auto"/>
        </w:rPr>
      </w:pPr>
      <w:r>
        <w:rPr>
          <w:rFonts w:ascii="Arial" w:cs="Arial" w:eastAsia="Arial" w:hAnsi="Arial"/>
          <w:sz w:val="16"/>
          <w:szCs w:val="16"/>
          <w:color w:val="auto"/>
        </w:rPr>
        <w:t>Say-on-Pay, nonbinding advisory vote approving executive compensation</w:t>
      </w:r>
    </w:p>
    <w:p>
      <w:pPr>
        <w:spacing w:after="0" w:line="46" w:lineRule="exact"/>
        <w:rPr>
          <w:rFonts w:ascii="Arial" w:cs="Arial" w:eastAsia="Arial" w:hAnsi="Arial"/>
          <w:sz w:val="16"/>
          <w:szCs w:val="16"/>
          <w:color w:val="auto"/>
        </w:rPr>
      </w:pPr>
    </w:p>
    <w:p>
      <w:pPr>
        <w:ind w:left="1746" w:hanging="211"/>
        <w:spacing w:after="0" w:line="207" w:lineRule="exact"/>
        <w:tabs>
          <w:tab w:leader="none" w:pos="1746" w:val="left"/>
        </w:tabs>
        <w:numPr>
          <w:ilvl w:val="1"/>
          <w:numId w:val="79"/>
        </w:numPr>
        <w:rPr>
          <w:rFonts w:ascii="MS PGothic" w:cs="MS PGothic" w:eastAsia="MS PGothic" w:hAnsi="MS PGothic"/>
          <w:sz w:val="18"/>
          <w:szCs w:val="18"/>
          <w:color w:val="231F20"/>
        </w:rPr>
      </w:pPr>
      <w:r>
        <w:rPr>
          <w:rFonts w:ascii="Arial" w:cs="Arial" w:eastAsia="Arial" w:hAnsi="Arial"/>
          <w:sz w:val="18"/>
          <w:szCs w:val="18"/>
          <w:color w:val="231F20"/>
        </w:rPr>
        <w:t xml:space="preserve">FOR </w:t>
      </w:r>
      <w:r>
        <w:rPr>
          <w:rFonts w:ascii="MS PGothic" w:cs="MS PGothic" w:eastAsia="MS PGothic" w:hAnsi="MS PGothic"/>
          <w:sz w:val="18"/>
          <w:szCs w:val="18"/>
          <w:color w:val="231F20"/>
        </w:rPr>
        <w:t>☐</w:t>
      </w:r>
      <w:r>
        <w:rPr>
          <w:rFonts w:ascii="Arial" w:cs="Arial" w:eastAsia="Arial" w:hAnsi="Arial"/>
          <w:sz w:val="18"/>
          <w:szCs w:val="18"/>
          <w:color w:val="231F20"/>
        </w:rPr>
        <w:t xml:space="preserve"> AGAINST </w:t>
      </w:r>
      <w:r>
        <w:rPr>
          <w:rFonts w:ascii="MS PGothic" w:cs="MS PGothic" w:eastAsia="MS PGothic" w:hAnsi="MS PGothic"/>
          <w:sz w:val="18"/>
          <w:szCs w:val="18"/>
          <w:color w:val="231F20"/>
        </w:rPr>
        <w:t>☐</w:t>
      </w:r>
      <w:r>
        <w:rPr>
          <w:rFonts w:ascii="Arial" w:cs="Arial" w:eastAsia="Arial" w:hAnsi="Arial"/>
          <w:sz w:val="18"/>
          <w:szCs w:val="18"/>
          <w:color w:val="231F20"/>
        </w:rPr>
        <w:t xml:space="preserve"> ABSTAIN</w:t>
      </w:r>
    </w:p>
    <w:p>
      <w:pPr>
        <w:spacing w:after="0" w:line="10" w:lineRule="exact"/>
        <w:rPr>
          <w:rFonts w:ascii="MS PGothic" w:cs="MS PGothic" w:eastAsia="MS PGothic" w:hAnsi="MS PGothic"/>
          <w:sz w:val="18"/>
          <w:szCs w:val="18"/>
          <w:color w:val="231F20"/>
        </w:rPr>
      </w:pPr>
    </w:p>
    <w:p>
      <w:pPr>
        <w:ind w:left="6" w:right="260" w:hanging="6"/>
        <w:spacing w:after="0" w:line="254" w:lineRule="auto"/>
        <w:tabs>
          <w:tab w:leader="none" w:pos="1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WILL ATTEND THE MEETING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335915</wp:posOffset>
            </wp:positionV>
            <wp:extent cx="7246620" cy="18522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231F20"/>
              </w:rPr>
              <w:t>Date</w:t>
            </w:r>
          </w:p>
        </w:tc>
        <w:tc>
          <w:tcPr>
            <w:tcW w:w="5040" w:type="dxa"/>
            <w:vAlign w:val="bottom"/>
            <w:gridSpan w:val="2"/>
          </w:tcPr>
          <w:p>
            <w:pPr>
              <w:jc w:val="right"/>
              <w:spacing w:after="0"/>
              <w:rPr>
                <w:sz w:val="20"/>
                <w:szCs w:val="20"/>
                <w:color w:val="auto"/>
              </w:rPr>
            </w:pPr>
            <w:r>
              <w:rPr>
                <w:rFonts w:ascii="Arial" w:cs="Arial" w:eastAsia="Arial" w:hAnsi="Arial"/>
                <w:sz w:val="18"/>
                <w:szCs w:val="18"/>
                <w:color w:val="231F20"/>
              </w:rPr>
              <w:t>, 2019</w:t>
            </w:r>
          </w:p>
        </w:tc>
      </w:tr>
      <w:tr>
        <w:trPr>
          <w:trHeight w:val="20"/>
        </w:trPr>
        <w:tc>
          <w:tcPr>
            <w:tcW w:w="420" w:type="dxa"/>
            <w:vAlign w:val="bottom"/>
          </w:tcPr>
          <w:p>
            <w:pPr>
              <w:spacing w:after="0" w:line="20" w:lineRule="exact"/>
              <w:rPr>
                <w:sz w:val="1"/>
                <w:szCs w:val="1"/>
                <w:color w:val="auto"/>
              </w:rPr>
            </w:pPr>
          </w:p>
        </w:tc>
        <w:tc>
          <w:tcPr>
            <w:tcW w:w="4600" w:type="dxa"/>
            <w:vAlign w:val="bottom"/>
            <w:shd w:val="clear" w:color="auto" w:fill="231F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
        <w:spacing w:after="0"/>
        <w:rPr>
          <w:sz w:val="20"/>
          <w:szCs w:val="20"/>
          <w:color w:val="auto"/>
        </w:rPr>
      </w:pPr>
      <w:r>
        <w:rPr>
          <w:rFonts w:ascii="Arial" w:cs="Arial" w:eastAsia="Arial" w:hAnsi="Arial"/>
          <w:sz w:val="18"/>
          <w:szCs w:val="18"/>
          <w:color w:val="231F20"/>
        </w:rPr>
        <w:t>Signature</w:t>
      </w: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Arial" w:cs="Arial" w:eastAsia="Arial" w:hAnsi="Arial"/>
          <w:sz w:val="18"/>
          <w:szCs w:val="18"/>
          <w:color w:val="231F20"/>
        </w:rPr>
        <w:t>Signature</w:t>
      </w:r>
    </w:p>
    <w:p>
      <w:pPr>
        <w:spacing w:after="0" w:line="36" w:lineRule="exact"/>
        <w:rPr>
          <w:sz w:val="20"/>
          <w:szCs w:val="20"/>
          <w:color w:val="auto"/>
        </w:rPr>
      </w:pPr>
    </w:p>
    <w:p>
      <w:pPr>
        <w:ind w:left="6" w:right="140"/>
        <w:spacing w:after="0" w:line="257" w:lineRule="auto"/>
        <w:rPr>
          <w:sz w:val="20"/>
          <w:szCs w:val="20"/>
          <w:color w:val="auto"/>
        </w:rPr>
      </w:pPr>
      <w:r>
        <w:rPr>
          <w:rFonts w:ascii="Arial" w:cs="Arial" w:eastAsia="Arial" w:hAnsi="Arial"/>
          <w:sz w:val="18"/>
          <w:szCs w:val="18"/>
          <w:color w:val="231F20"/>
        </w:rPr>
        <w:t>Note: Please sign exactly as the name that appears on this card. Joint owners should each sign. When signing other than in an individual capacity, please fully describe such capacity. Each signatory hereby revokes all proxies heretofore given to vote at said Meeting and any adjournment or postponement thereof.</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8"/>
          <w:szCs w:val="18"/>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361061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0610" cy="3771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320" w:space="414"/>
            <w:col w:w="5686"/>
          </w:cols>
          <w:pgMar w:left="240" w:top="457" w:right="239" w:bottom="0" w:gutter="0" w:footer="0" w:header="0"/>
          <w:type w:val="continuous"/>
        </w:sectPr>
      </w:pPr>
    </w:p>
    <w:p>
      <w:pPr>
        <w:spacing w:after="0" w:line="38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95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95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19685</wp:posOffset>
            </wp:positionV>
            <wp:extent cx="1444625" cy="167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4625"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231F20"/>
        </w:rPr>
        <w:t>PROXY VOTING INSTRUCTIONS</w:t>
      </w:r>
    </w:p>
    <w:p>
      <w:pPr>
        <w:spacing w:after="0" w:line="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231F20"/>
        </w:rPr>
        <w:t>Please have your 11 digit control number ready when voting by Internet or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790" w:type="dxa"/>
        <w:tblCellMar>
          <w:top w:w="0" w:type="dxa"/>
          <w:left w:w="0" w:type="dxa"/>
          <w:bottom w:w="0" w:type="dxa"/>
          <w:right w:w="0" w:type="dxa"/>
        </w:tblCellMar>
      </w:tblPr>
      <w:tr>
        <w:trPr>
          <w:trHeight w:val="1454"/>
        </w:trPr>
        <w:tc>
          <w:tcPr>
            <w:tcW w:w="118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2"/>
          </w:tcPr>
          <w:p>
            <w:pPr>
              <w:jc w:val="center"/>
              <w:ind w:left="926"/>
              <w:spacing w:after="0"/>
              <w:rPr>
                <w:sz w:val="20"/>
                <w:szCs w:val="20"/>
                <w:color w:val="auto"/>
              </w:rPr>
            </w:pPr>
            <w:r>
              <w:rPr>
                <w:rFonts w:ascii="Arial" w:cs="Arial" w:eastAsia="Arial" w:hAnsi="Arial"/>
                <w:sz w:val="108"/>
                <w:szCs w:val="108"/>
                <w:color w:val="231F20"/>
                <w:w w:val="99"/>
              </w:rPr>
              <w:t>(</w:t>
            </w:r>
          </w:p>
        </w:tc>
        <w:tc>
          <w:tcPr>
            <w:tcW w:w="1140" w:type="dxa"/>
            <w:vAlign w:val="bottom"/>
            <w:tcBorders>
              <w:top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r>
      <w:tr>
        <w:trPr>
          <w:trHeight w:val="194"/>
        </w:trPr>
        <w:tc>
          <w:tcPr>
            <w:tcW w:w="1180" w:type="dxa"/>
            <w:vAlign w:val="bottom"/>
            <w:tcBorders>
              <w:left w:val="single" w:sz="8" w:color="auto"/>
            </w:tcBorders>
          </w:tcPr>
          <w:p>
            <w:pPr>
              <w:spacing w:after="0"/>
              <w:rPr>
                <w:sz w:val="16"/>
                <w:szCs w:val="16"/>
                <w:color w:val="auto"/>
              </w:rPr>
            </w:pPr>
          </w:p>
        </w:tc>
        <w:tc>
          <w:tcPr>
            <w:tcW w:w="940" w:type="dxa"/>
            <w:vAlign w:val="bottom"/>
          </w:tcPr>
          <w:p>
            <w:pPr>
              <w:jc w:val="center"/>
              <w:spacing w:after="0" w:line="194" w:lineRule="exact"/>
              <w:rPr>
                <w:sz w:val="20"/>
                <w:szCs w:val="20"/>
                <w:color w:val="auto"/>
              </w:rPr>
            </w:pPr>
            <w:r>
              <w:rPr>
                <w:rFonts w:ascii="Arial" w:cs="Arial" w:eastAsia="Arial" w:hAnsi="Arial"/>
                <w:sz w:val="18"/>
                <w:szCs w:val="18"/>
                <w:b w:val="1"/>
                <w:bCs w:val="1"/>
                <w:color w:val="231F20"/>
              </w:rPr>
              <w:t>INTERNET</w:t>
            </w:r>
          </w:p>
        </w:tc>
        <w:tc>
          <w:tcPr>
            <w:tcW w:w="80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8"/>
                <w:szCs w:val="18"/>
                <w:b w:val="1"/>
                <w:bCs w:val="1"/>
                <w:color w:val="231F20"/>
              </w:rPr>
              <w:t>TELEPHONE</w:t>
            </w:r>
          </w:p>
        </w:tc>
        <w:tc>
          <w:tcPr>
            <w:tcW w:w="22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500"/>
              <w:spacing w:after="0" w:line="194" w:lineRule="exact"/>
              <w:rPr>
                <w:sz w:val="20"/>
                <w:szCs w:val="20"/>
                <w:color w:val="auto"/>
              </w:rPr>
            </w:pPr>
            <w:r>
              <w:rPr>
                <w:rFonts w:ascii="Arial" w:cs="Arial" w:eastAsia="Arial" w:hAnsi="Arial"/>
                <w:sz w:val="18"/>
                <w:szCs w:val="18"/>
                <w:b w:val="1"/>
                <w:bCs w:val="1"/>
                <w:color w:val="231F20"/>
              </w:rPr>
              <w:t>MAIL</w:t>
            </w:r>
          </w:p>
        </w:tc>
      </w:tr>
      <w:tr>
        <w:trPr>
          <w:trHeight w:val="20"/>
        </w:trPr>
        <w:tc>
          <w:tcPr>
            <w:tcW w:w="1180" w:type="dxa"/>
            <w:vAlign w:val="bottom"/>
            <w:tcBorders>
              <w:left w:val="single" w:sz="8" w:color="auto"/>
            </w:tcBorders>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r>
      <w:tr>
        <w:trPr>
          <w:trHeight w:val="218"/>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231F20"/>
                <w:w w:val="89"/>
              </w:rPr>
              <w:t>Vote Your Proxy on the</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231F20"/>
                <w:w w:val="89"/>
              </w:rPr>
              <w:t>Vote Your Proxy by Phone:</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231F20"/>
                <w:w w:val="93"/>
              </w:rPr>
              <w:t>Vote Your Proxy by Mail:</w:t>
            </w:r>
          </w:p>
        </w:tc>
      </w:tr>
      <w:tr>
        <w:trPr>
          <w:trHeight w:val="216"/>
        </w:trPr>
        <w:tc>
          <w:tcPr>
            <w:tcW w:w="2920" w:type="dxa"/>
            <w:vAlign w:val="bottom"/>
            <w:tcBorders>
              <w:left w:val="single" w:sz="8" w:color="auto"/>
              <w:right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231F20"/>
                <w:w w:val="93"/>
              </w:rPr>
              <w:t>Internet: Go to</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231F20"/>
                <w:w w:val="91"/>
              </w:rPr>
              <w:t>Call 1 (866) 804-9616</w:t>
            </w:r>
          </w:p>
        </w:tc>
        <w:tc>
          <w:tcPr>
            <w:tcW w:w="22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20"/>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231F20"/>
                <w:w w:val="93"/>
              </w:rPr>
              <w:t>www.AALvote.com/CIX</w:t>
            </w:r>
          </w:p>
        </w:tc>
        <w:tc>
          <w:tcPr>
            <w:tcW w:w="20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231F20"/>
                <w:w w:val="90"/>
              </w:rPr>
              <w:t>Use any touch-tone telephone to vote your</w:t>
            </w:r>
          </w:p>
        </w:tc>
        <w:tc>
          <w:tcPr>
            <w:tcW w:w="2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92"/>
              </w:rPr>
              <w:t>Mark, sign, and date your proxy</w:t>
            </w:r>
          </w:p>
        </w:tc>
      </w:tr>
      <w:tr>
        <w:trPr>
          <w:trHeight w:val="216"/>
        </w:trPr>
        <w:tc>
          <w:tcPr>
            <w:tcW w:w="2920" w:type="dxa"/>
            <w:vAlign w:val="bottom"/>
            <w:tcBorders>
              <w:left w:val="single" w:sz="8" w:color="auto"/>
              <w:right w:val="single" w:sz="8" w:color="auto"/>
            </w:tcBorders>
            <w:gridSpan w:val="3"/>
          </w:tcPr>
          <w:p>
            <w:pPr>
              <w:jc w:val="center"/>
              <w:ind w:left="290"/>
              <w:spacing w:after="0"/>
              <w:rPr>
                <w:sz w:val="20"/>
                <w:szCs w:val="20"/>
                <w:color w:val="auto"/>
              </w:rPr>
            </w:pPr>
            <w:r>
              <w:rPr>
                <w:rFonts w:ascii="Arial" w:cs="Arial" w:eastAsia="Arial" w:hAnsi="Arial"/>
                <w:sz w:val="18"/>
                <w:szCs w:val="18"/>
                <w:color w:val="231F20"/>
                <w:w w:val="92"/>
              </w:rPr>
              <w:t>Have your proxy card</w:t>
            </w:r>
          </w:p>
        </w:tc>
        <w:tc>
          <w:tcPr>
            <w:tcW w:w="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8"/>
                <w:szCs w:val="18"/>
                <w:color w:val="231F20"/>
                <w:w w:val="93"/>
              </w:rPr>
              <w:t>proxy.</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90"/>
              </w:rPr>
              <w:t>card, then detach it, and return it in</w:t>
            </w:r>
          </w:p>
        </w:tc>
      </w:tr>
      <w:tr>
        <w:trPr>
          <w:trHeight w:val="216"/>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color w:val="231F20"/>
                <w:w w:val="89"/>
              </w:rPr>
              <w:t>available when you access the</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231F20"/>
                <w:w w:val="91"/>
              </w:rPr>
              <w:t>Have your proxy card available when you</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89"/>
              </w:rPr>
              <w:t>the postage-paid envelope provided.</w:t>
            </w:r>
          </w:p>
        </w:tc>
      </w:tr>
      <w:tr>
        <w:trPr>
          <w:trHeight w:val="216"/>
        </w:trPr>
        <w:tc>
          <w:tcPr>
            <w:tcW w:w="118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18"/>
                <w:szCs w:val="18"/>
                <w:color w:val="231F20"/>
                <w:w w:val="85"/>
              </w:rPr>
              <w:t>above</w:t>
            </w:r>
          </w:p>
        </w:tc>
        <w:tc>
          <w:tcPr>
            <w:tcW w:w="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8"/>
                <w:szCs w:val="18"/>
                <w:color w:val="231F20"/>
                <w:w w:val="93"/>
              </w:rPr>
              <w:t>call.</w:t>
            </w:r>
          </w:p>
        </w:tc>
        <w:tc>
          <w:tcPr>
            <w:tcW w:w="22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16"/>
        </w:trPr>
        <w:tc>
          <w:tcPr>
            <w:tcW w:w="2920" w:type="dxa"/>
            <w:vAlign w:val="bottom"/>
            <w:tcBorders>
              <w:left w:val="single" w:sz="8" w:color="auto"/>
              <w:right w:val="single" w:sz="8" w:color="auto"/>
            </w:tcBorders>
            <w:gridSpan w:val="3"/>
          </w:tcPr>
          <w:p>
            <w:pPr>
              <w:jc w:val="center"/>
              <w:ind w:left="290"/>
              <w:spacing w:after="0"/>
              <w:rPr>
                <w:sz w:val="20"/>
                <w:szCs w:val="20"/>
                <w:color w:val="auto"/>
              </w:rPr>
            </w:pPr>
            <w:r>
              <w:rPr>
                <w:rFonts w:ascii="Arial" w:cs="Arial" w:eastAsia="Arial" w:hAnsi="Arial"/>
                <w:sz w:val="18"/>
                <w:szCs w:val="18"/>
                <w:color w:val="231F20"/>
                <w:w w:val="91"/>
              </w:rPr>
              <w:t>website. Follow the prompts to</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231F20"/>
                <w:w w:val="93"/>
              </w:rPr>
              <w:t>Follow the voting instructions to vote your</w:t>
            </w:r>
          </w:p>
        </w:tc>
        <w:tc>
          <w:tcPr>
            <w:tcW w:w="22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30"/>
        </w:trPr>
        <w:tc>
          <w:tcPr>
            <w:tcW w:w="2920" w:type="dxa"/>
            <w:vAlign w:val="bottom"/>
            <w:tcBorders>
              <w:left w:val="single" w:sz="8" w:color="auto"/>
              <w:right w:val="single" w:sz="8" w:color="auto"/>
            </w:tcBorders>
            <w:gridSpan w:val="3"/>
          </w:tcPr>
          <w:p>
            <w:pPr>
              <w:jc w:val="center"/>
              <w:ind w:left="290"/>
              <w:spacing w:after="0"/>
              <w:rPr>
                <w:sz w:val="20"/>
                <w:szCs w:val="20"/>
                <w:color w:val="auto"/>
              </w:rPr>
            </w:pPr>
            <w:r>
              <w:rPr>
                <w:rFonts w:ascii="Arial" w:cs="Arial" w:eastAsia="Arial" w:hAnsi="Arial"/>
                <w:sz w:val="18"/>
                <w:szCs w:val="18"/>
                <w:color w:val="231F20"/>
                <w:w w:val="88"/>
              </w:rPr>
              <w:t>vote your shares.</w:t>
            </w:r>
          </w:p>
        </w:tc>
        <w:tc>
          <w:tcPr>
            <w:tcW w:w="2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8"/>
                <w:szCs w:val="18"/>
                <w:color w:val="231F20"/>
                <w:w w:val="84"/>
              </w:rPr>
              <w:t>shares.</w:t>
            </w:r>
          </w:p>
        </w:tc>
        <w:tc>
          <w:tcPr>
            <w:tcW w:w="22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11"/>
        </w:trPr>
        <w:tc>
          <w:tcPr>
            <w:tcW w:w="1180" w:type="dxa"/>
            <w:vAlign w:val="bottom"/>
            <w:tcBorders>
              <w:lef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r>
    </w:tbl>
    <w:p>
      <w:pPr>
        <w:sectPr>
          <w:pgSz w:w="11900" w:h="16900" w:orient="portrait"/>
          <w:cols w:equalWidth="0" w:num="1">
            <w:col w:w="11420"/>
          </w:cols>
          <w:pgMar w:left="240" w:top="457" w:right="239" w:bottom="0" w:gutter="0" w:footer="0" w:header="0"/>
          <w:type w:val="continuous"/>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646430</wp:posOffset>
            </wp:positionH>
            <wp:positionV relativeFrom="page">
              <wp:posOffset>88900</wp:posOffset>
            </wp:positionV>
            <wp:extent cx="62687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8720" cy="154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lvl w:ilvl="1">
      <w:lvlJc w:val="left"/>
      <w:lvlText w:val="%2)"/>
      <w:numFmt w:val="decimal"/>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upperLetter"/>
      <w:start w:val="17"/>
    </w:lvl>
  </w:abstractNum>
  <w:abstractNum w:abstractNumId="8">
    <w:nsid w:val="725A06FB"/>
    <w:multiLevelType w:val="hybridMultilevel"/>
    <w:lvl w:ilvl="0">
      <w:lvlJc w:val="left"/>
      <w:lvlText w:val="%1:"/>
      <w:numFmt w:val="upperLetter"/>
      <w:start w:val="1"/>
    </w:lvl>
    <w:lvl w:ilvl="1">
      <w:lvlJc w:val="left"/>
      <w:lvlText w:val="·"/>
      <w:numFmt w:val="bullet"/>
      <w:start w:val="1"/>
    </w:lvl>
  </w:abstractNum>
  <w:abstractNum w:abstractNumId="9">
    <w:nsid w:val="2CD89A32"/>
    <w:multiLevelType w:val="hybridMultilevel"/>
    <w:lvl w:ilvl="0">
      <w:lvlJc w:val="left"/>
      <w:lvlText w:val="%1:"/>
      <w:numFmt w:val="upperLetter"/>
      <w:start w:val="17"/>
    </w:lvl>
  </w:abstractNum>
  <w:abstractNum w:abstractNumId="10">
    <w:nsid w:val="57E4CCAF"/>
    <w:multiLevelType w:val="hybridMultilevel"/>
    <w:lvl w:ilvl="0">
      <w:lvlJc w:val="left"/>
      <w:lvlText w:val="%1:"/>
      <w:numFmt w:val="upperLetter"/>
      <w:start w:val="1"/>
    </w:lvl>
    <w:lvl w:ilvl="1">
      <w:lvlJc w:val="left"/>
      <w:lvlText w:val="·"/>
      <w:numFmt w:val="bullet"/>
      <w:start w:val="1"/>
    </w:lvl>
  </w:abstractNum>
  <w:abstractNum w:abstractNumId="11">
    <w:nsid w:val="7A6D8D3C"/>
    <w:multiLevelType w:val="hybridMultilevel"/>
    <w:lvl w:ilvl="0">
      <w:lvlJc w:val="left"/>
      <w:lvlText w:val="%1:"/>
      <w:numFmt w:val="upperLetter"/>
      <w:start w:val="17"/>
    </w:lvl>
  </w:abstractNum>
  <w:abstractNum w:abstractNumId="12">
    <w:nsid w:val="4B588F54"/>
    <w:multiLevelType w:val="hybridMultilevel"/>
    <w:lvl w:ilvl="0">
      <w:lvlJc w:val="left"/>
      <w:lvlText w:val="%1:"/>
      <w:numFmt w:val="upperLetter"/>
      <w:start w:val="1"/>
    </w:lvl>
  </w:abstractNum>
  <w:abstractNum w:abstractNumId="13">
    <w:nsid w:val="542289EC"/>
    <w:multiLevelType w:val="hybridMultilevel"/>
    <w:lvl w:ilvl="0">
      <w:lvlJc w:val="left"/>
      <w:lvlText w:val="%1:"/>
      <w:numFmt w:val="upperLetter"/>
      <w:start w:val="17"/>
    </w:lvl>
  </w:abstractNum>
  <w:abstractNum w:abstractNumId="14">
    <w:nsid w:val="6DE91B18"/>
    <w:multiLevelType w:val="hybridMultilevel"/>
    <w:lvl w:ilvl="0">
      <w:lvlJc w:val="left"/>
      <w:lvlText w:val="%1:"/>
      <w:numFmt w:val="upperLetter"/>
      <w:start w:val="1"/>
    </w:lvl>
    <w:lvl w:ilvl="1">
      <w:lvlJc w:val="left"/>
      <w:lvlText w:val="·"/>
      <w:numFmt w:val="bullet"/>
      <w:start w:val="1"/>
    </w:lvl>
  </w:abstractNum>
  <w:abstractNum w:abstractNumId="15">
    <w:nsid w:val="38437FDB"/>
    <w:multiLevelType w:val="hybridMultilevel"/>
    <w:lvl w:ilvl="0">
      <w:lvlJc w:val="left"/>
      <w:lvlText w:val="%1:"/>
      <w:numFmt w:val="upperLetter"/>
      <w:start w:val="17"/>
    </w:lvl>
  </w:abstractNum>
  <w:abstractNum w:abstractNumId="16">
    <w:nsid w:val="7644A45C"/>
    <w:multiLevelType w:val="hybridMultilevel"/>
    <w:lvl w:ilvl="0">
      <w:lvlJc w:val="left"/>
      <w:lvlText w:val="%1:"/>
      <w:numFmt w:val="upperLetter"/>
      <w:start w:val="1"/>
    </w:lvl>
  </w:abstractNum>
  <w:abstractNum w:abstractNumId="17">
    <w:nsid w:val="32FFF902"/>
    <w:multiLevelType w:val="hybridMultilevel"/>
    <w:lvl w:ilvl="0">
      <w:lvlJc w:val="left"/>
      <w:lvlText w:val="%1:"/>
      <w:numFmt w:val="upperLetter"/>
      <w:start w:val="17"/>
    </w:lvl>
  </w:abstractNum>
  <w:abstractNum w:abstractNumId="18">
    <w:nsid w:val="684A481A"/>
    <w:multiLevelType w:val="hybridMultilevel"/>
    <w:lvl w:ilvl="0">
      <w:lvlJc w:val="left"/>
      <w:lvlText w:val="%1:"/>
      <w:numFmt w:val="upperLetter"/>
      <w:start w:val="1"/>
    </w:lvl>
  </w:abstractNum>
  <w:abstractNum w:abstractNumId="19">
    <w:nsid w:val="579478FE"/>
    <w:multiLevelType w:val="hybridMultilevel"/>
    <w:lvl w:ilvl="0">
      <w:lvlJc w:val="left"/>
      <w:lvlText w:val="%1:"/>
      <w:numFmt w:val="upperLetter"/>
      <w:start w:val="17"/>
    </w:lvl>
  </w:abstractNum>
  <w:abstractNum w:abstractNumId="20">
    <w:nsid w:val="749ABB43"/>
    <w:multiLevelType w:val="hybridMultilevel"/>
    <w:lvl w:ilvl="0">
      <w:lvlJc w:val="left"/>
      <w:lvlText w:val="%1:"/>
      <w:numFmt w:val="upperLetter"/>
      <w:start w:val="1"/>
    </w:lvl>
  </w:abstractNum>
  <w:abstractNum w:abstractNumId="21">
    <w:nsid w:val="3DC240FB"/>
    <w:multiLevelType w:val="hybridMultilevel"/>
    <w:lvl w:ilvl="0">
      <w:lvlJc w:val="left"/>
      <w:lvlText w:val="%1:"/>
      <w:numFmt w:val="upperLetter"/>
      <w:start w:val="17"/>
    </w:lvl>
  </w:abstractNum>
  <w:abstractNum w:abstractNumId="22">
    <w:nsid w:val="1BA026FA"/>
    <w:multiLevelType w:val="hybridMultilevel"/>
    <w:lvl w:ilvl="0">
      <w:lvlJc w:val="left"/>
      <w:lvlText w:val="%1:"/>
      <w:numFmt w:val="upperLetter"/>
      <w:start w:val="1"/>
    </w:lvl>
  </w:abstractNum>
  <w:abstractNum w:abstractNumId="23">
    <w:nsid w:val="79A1DEAA"/>
    <w:multiLevelType w:val="hybridMultilevel"/>
    <w:lvl w:ilvl="0">
      <w:lvlJc w:val="left"/>
      <w:lvlText w:val="%1:"/>
      <w:numFmt w:val="upperLetter"/>
      <w:start w:val="17"/>
    </w:lvl>
  </w:abstractNum>
  <w:abstractNum w:abstractNumId="24">
    <w:nsid w:val="75C6C33A"/>
    <w:multiLevelType w:val="hybridMultilevel"/>
    <w:lvl w:ilvl="0">
      <w:lvlJc w:val="left"/>
      <w:lvlText w:val="%1:"/>
      <w:numFmt w:val="upperLetter"/>
      <w:start w:val="1"/>
    </w:lvl>
  </w:abstractNum>
  <w:abstractNum w:abstractNumId="25">
    <w:nsid w:val="12E685FB"/>
    <w:multiLevelType w:val="hybridMultilevel"/>
    <w:lvl w:ilvl="0">
      <w:lvlJc w:val="left"/>
      <w:lvlText w:val="%1:"/>
      <w:numFmt w:val="upperLetter"/>
      <w:start w:val="17"/>
    </w:lvl>
  </w:abstractNum>
  <w:abstractNum w:abstractNumId="26">
    <w:nsid w:val="70C6A529"/>
    <w:multiLevelType w:val="hybridMultilevel"/>
    <w:lvl w:ilvl="0">
      <w:lvlJc w:val="left"/>
      <w:lvlText w:val="%1:"/>
      <w:numFmt w:val="upperLetter"/>
      <w:start w:val="1"/>
    </w:lvl>
    <w:lvl w:ilvl="1">
      <w:lvlJc w:val="left"/>
      <w:lvlText w:val="·"/>
      <w:numFmt w:val="bullet"/>
      <w:start w:val="1"/>
    </w:lvl>
  </w:abstractNum>
  <w:abstractNum w:abstractNumId="27">
    <w:nsid w:val="520EEDD1"/>
    <w:multiLevelType w:val="hybridMultilevel"/>
    <w:lvl w:ilvl="0">
      <w:lvlJc w:val="left"/>
      <w:lvlText w:val="%1:"/>
      <w:numFmt w:val="upperLetter"/>
      <w:start w:val="17"/>
    </w:lvl>
  </w:abstractNum>
  <w:abstractNum w:abstractNumId="28">
    <w:nsid w:val="374A3FE6"/>
    <w:multiLevelType w:val="hybridMultilevel"/>
    <w:lvl w:ilvl="0">
      <w:lvlJc w:val="left"/>
      <w:lvlText w:val="%1:"/>
      <w:numFmt w:val="upperLetter"/>
      <w:start w:val="1"/>
    </w:lvl>
  </w:abstractNum>
  <w:abstractNum w:abstractNumId="29">
    <w:nsid w:val="4F4EF005"/>
    <w:multiLevelType w:val="hybridMultilevel"/>
    <w:lvl w:ilvl="0">
      <w:lvlJc w:val="left"/>
      <w:lvlText w:val="%1:"/>
      <w:numFmt w:val="upperLetter"/>
      <w:start w:val="17"/>
    </w:lvl>
  </w:abstractNum>
  <w:abstractNum w:abstractNumId="30">
    <w:nsid w:val="23F9C13C"/>
    <w:multiLevelType w:val="hybridMultilevel"/>
    <w:lvl w:ilvl="0">
      <w:lvlJc w:val="left"/>
      <w:lvlText w:val="%1:"/>
      <w:numFmt w:val="upperLetter"/>
      <w:start w:val="1"/>
    </w:lvl>
  </w:abstractNum>
  <w:abstractNum w:abstractNumId="31">
    <w:nsid w:val="649BB77C"/>
    <w:multiLevelType w:val="hybridMultilevel"/>
    <w:lvl w:ilvl="0">
      <w:lvlJc w:val="left"/>
      <w:lvlText w:val="%1:"/>
      <w:numFmt w:val="upperLetter"/>
      <w:start w:val="17"/>
    </w:lvl>
  </w:abstractNum>
  <w:abstractNum w:abstractNumId="32">
    <w:nsid w:val="275AC794"/>
    <w:multiLevelType w:val="hybridMultilevel"/>
    <w:lvl w:ilvl="0">
      <w:lvlJc w:val="left"/>
      <w:lvlText w:val="%1:"/>
      <w:numFmt w:val="upperLetter"/>
      <w:start w:val="1"/>
    </w:lvl>
  </w:abstractNum>
  <w:abstractNum w:abstractNumId="33">
    <w:nsid w:val="39386575"/>
    <w:multiLevelType w:val="hybridMultilevel"/>
    <w:lvl w:ilvl="0">
      <w:lvlJc w:val="left"/>
      <w:lvlText w:val="%1:"/>
      <w:numFmt w:val="upperLetter"/>
      <w:start w:val="17"/>
    </w:lvl>
  </w:abstractNum>
  <w:abstractNum w:abstractNumId="34">
    <w:nsid w:val="1CF10FD8"/>
    <w:multiLevelType w:val="hybridMultilevel"/>
    <w:lvl w:ilvl="0">
      <w:lvlJc w:val="left"/>
      <w:lvlText w:val="%1:"/>
      <w:numFmt w:val="upperLetter"/>
      <w:start w:val="1"/>
    </w:lvl>
  </w:abstractNum>
  <w:abstractNum w:abstractNumId="35">
    <w:nsid w:val="180115BE"/>
    <w:multiLevelType w:val="hybridMultilevel"/>
    <w:lvl w:ilvl="0">
      <w:lvlJc w:val="left"/>
      <w:lvlText w:val="%1:"/>
      <w:numFmt w:val="upperLetter"/>
      <w:start w:val="17"/>
    </w:lvl>
  </w:abstractNum>
  <w:abstractNum w:abstractNumId="36">
    <w:nsid w:val="235BA861"/>
    <w:multiLevelType w:val="hybridMultilevel"/>
    <w:lvl w:ilvl="0">
      <w:lvlJc w:val="left"/>
      <w:lvlText w:val="%1:"/>
      <w:numFmt w:val="upperLetter"/>
      <w:start w:val="1"/>
    </w:lvl>
  </w:abstractNum>
  <w:abstractNum w:abstractNumId="37">
    <w:nsid w:val="47398C89"/>
    <w:multiLevelType w:val="hybridMultilevel"/>
    <w:lvl w:ilvl="0">
      <w:lvlJc w:val="left"/>
      <w:lvlText w:val="%1:"/>
      <w:numFmt w:val="upperLetter"/>
      <w:start w:val="17"/>
    </w:lvl>
  </w:abstractNum>
  <w:abstractNum w:abstractNumId="38">
    <w:nsid w:val="354FE9F9"/>
    <w:multiLevelType w:val="hybridMultilevel"/>
    <w:lvl w:ilvl="0">
      <w:lvlJc w:val="left"/>
      <w:lvlText w:val="%1:"/>
      <w:numFmt w:val="upperLetter"/>
      <w:start w:val="1"/>
    </w:lvl>
  </w:abstractNum>
  <w:abstractNum w:abstractNumId="39">
    <w:nsid w:val="15B5AF5C"/>
    <w:multiLevelType w:val="hybridMultilevel"/>
    <w:lvl w:ilvl="0">
      <w:lvlJc w:val="left"/>
      <w:lvlText w:val="%1:"/>
      <w:numFmt w:val="upperLetter"/>
      <w:start w:val="17"/>
    </w:lvl>
  </w:abstractNum>
  <w:abstractNum w:abstractNumId="40">
    <w:nsid w:val="741226BB"/>
    <w:multiLevelType w:val="hybridMultilevel"/>
    <w:lvl w:ilvl="0">
      <w:lvlJc w:val="left"/>
      <w:lvlText w:val="%1:"/>
      <w:numFmt w:val="upperLetter"/>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4"/>
    </w:lvl>
  </w:abstractNum>
  <w:abstractNum w:abstractNumId="45">
    <w:nsid w:val="7E0C57B1"/>
    <w:multiLevelType w:val="hybridMultilevel"/>
    <w:lvl w:ilvl="0">
      <w:lvlJc w:val="left"/>
      <w:lvlText w:val="(%1)"/>
      <w:numFmt w:val="decimal"/>
      <w:start w:val="4"/>
    </w:lvl>
    <w:lvl w:ilvl="1">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o"/>
      <w:numFmt w:val="bullet"/>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4"/>
    </w:lvl>
  </w:abstractNum>
  <w:abstractNum w:abstractNumId="63">
    <w:nsid w:val="6B94764"/>
    <w:multiLevelType w:val="hybridMultilevel"/>
    <w:lvl w:ilvl="0">
      <w:lvlJc w:val="left"/>
      <w:lvlText w:val="(%1)"/>
      <w:numFmt w:val="decimal"/>
      <w:start w:val="5"/>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o"/>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decimal"/>
      <w:start w:val="1"/>
    </w:lvl>
    <w:lvl w:ilvl="1">
      <w:lvlJc w:val="left"/>
      <w:lvlText w:val="(%2)"/>
      <w:numFmt w:val="lowerLetter"/>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2019-12-03T11:30:25Z</dcterms:created>
  <dcterms:modified xsi:type="dcterms:W3CDTF">2019-12-03T11:30:25Z</dcterms:modified>
</cp:coreProperties>
</file>