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the earliest event reported)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1, 2017</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4040" w:type="dxa"/>
            <w:vAlign w:val="bottom"/>
          </w:tcPr>
          <w:p>
            <w:pPr>
              <w:jc w:val="center"/>
              <w:ind w:right="79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1-13905</w:t>
            </w:r>
          </w:p>
        </w:tc>
        <w:tc>
          <w:tcPr>
            <w:tcW w:w="2660" w:type="dxa"/>
            <w:vAlign w:val="bottom"/>
          </w:tcPr>
          <w:p>
            <w:pPr>
              <w:jc w:val="center"/>
              <w:ind w:left="1250"/>
              <w:spacing w:after="0"/>
              <w:rPr>
                <w:sz w:val="20"/>
                <w:szCs w:val="20"/>
                <w:color w:val="auto"/>
              </w:rPr>
            </w:pPr>
            <w:r>
              <w:rPr>
                <w:rFonts w:ascii="Arial" w:cs="Arial" w:eastAsia="Arial" w:hAnsi="Arial"/>
                <w:sz w:val="18"/>
                <w:szCs w:val="18"/>
                <w:b w:val="1"/>
                <w:bCs w:val="1"/>
                <w:color w:val="auto"/>
                <w:w w:val="91"/>
              </w:rPr>
              <w:t>57-0981653</w:t>
            </w:r>
          </w:p>
        </w:tc>
      </w:tr>
      <w:tr>
        <w:trPr>
          <w:trHeight w:val="216"/>
        </w:trPr>
        <w:tc>
          <w:tcPr>
            <w:tcW w:w="4040" w:type="dxa"/>
            <w:vAlign w:val="bottom"/>
          </w:tcPr>
          <w:p>
            <w:pPr>
              <w:jc w:val="center"/>
              <w:ind w:right="790"/>
              <w:spacing w:after="0"/>
              <w:rPr>
                <w:sz w:val="20"/>
                <w:szCs w:val="20"/>
                <w:color w:val="auto"/>
              </w:rPr>
            </w:pPr>
            <w:r>
              <w:rPr>
                <w:rFonts w:ascii="Arial" w:cs="Arial" w:eastAsia="Arial" w:hAnsi="Arial"/>
                <w:sz w:val="18"/>
                <w:szCs w:val="18"/>
                <w:color w:val="auto"/>
                <w:w w:val="92"/>
              </w:rPr>
              <w:t>(State or other jurisdiction of incorporation)</w:t>
            </w: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3"/>
              </w:rPr>
              <w:t>(Commission</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3"/>
              </w:rPr>
              <w:t>(IRS Employer</w:t>
            </w:r>
          </w:p>
        </w:tc>
      </w:tr>
      <w:tr>
        <w:trPr>
          <w:trHeight w:val="230"/>
        </w:trPr>
        <w:tc>
          <w:tcPr>
            <w:tcW w:w="4040" w:type="dxa"/>
            <w:vAlign w:val="bottom"/>
          </w:tcPr>
          <w:p>
            <w:pPr>
              <w:spacing w:after="0"/>
              <w:rPr>
                <w:sz w:val="20"/>
                <w:szCs w:val="20"/>
                <w:color w:val="auto"/>
              </w:rPr>
            </w:pP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4"/>
              </w:rPr>
              <w:t>File Number)</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5"/>
              </w:rPr>
              <w:t>Identification No.)</w:t>
            </w:r>
          </w:p>
        </w:tc>
      </w:tr>
      <w:tr>
        <w:trPr>
          <w:trHeight w:val="634"/>
        </w:trPr>
        <w:tc>
          <w:tcPr>
            <w:tcW w:w="720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5430 LBJ Freeway, Suite 1700, Dallas, Texas</w:t>
            </w:r>
          </w:p>
        </w:tc>
        <w:tc>
          <w:tcPr>
            <w:tcW w:w="2660" w:type="dxa"/>
            <w:vAlign w:val="bottom"/>
          </w:tcPr>
          <w:p>
            <w:pPr>
              <w:jc w:val="center"/>
              <w:ind w:left="1270"/>
              <w:spacing w:after="0"/>
              <w:rPr>
                <w:sz w:val="20"/>
                <w:szCs w:val="20"/>
                <w:color w:val="auto"/>
              </w:rPr>
            </w:pPr>
            <w:r>
              <w:rPr>
                <w:rFonts w:ascii="Arial" w:cs="Arial" w:eastAsia="Arial" w:hAnsi="Arial"/>
                <w:sz w:val="18"/>
                <w:szCs w:val="18"/>
                <w:b w:val="1"/>
                <w:bCs w:val="1"/>
                <w:color w:val="auto"/>
                <w:w w:val="89"/>
              </w:rPr>
              <w:t>75240-2697</w:t>
            </w:r>
          </w:p>
        </w:tc>
      </w:tr>
      <w:tr>
        <w:trPr>
          <w:trHeight w:val="230"/>
        </w:trPr>
        <w:tc>
          <w:tcPr>
            <w:tcW w:w="7200" w:type="dxa"/>
            <w:vAlign w:val="bottom"/>
            <w:gridSpan w:val="2"/>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2660" w:type="dxa"/>
            <w:vAlign w:val="bottom"/>
          </w:tcPr>
          <w:p>
            <w:pPr>
              <w:jc w:val="center"/>
              <w:ind w:left="1270"/>
              <w:spacing w:after="0"/>
              <w:rPr>
                <w:sz w:val="20"/>
                <w:szCs w:val="20"/>
                <w:color w:val="auto"/>
              </w:rPr>
            </w:pPr>
            <w:r>
              <w:rPr>
                <w:rFonts w:ascii="Arial" w:cs="Arial" w:eastAsia="Arial" w:hAnsi="Arial"/>
                <w:sz w:val="18"/>
                <w:szCs w:val="18"/>
                <w:color w:val="auto"/>
                <w:w w:val="91"/>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1720215</wp:posOffset>
            </wp:positionH>
            <wp:positionV relativeFrom="paragraph">
              <wp:posOffset>280035</wp:posOffset>
            </wp:positionV>
            <wp:extent cx="3824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24605"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3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420"/>
          </w:cols>
          <w:pgMar w:left="240" w:top="229" w:right="239" w:bottom="1440" w:gutter="0" w:footer="0" w:header="0"/>
        </w:sectPr>
      </w:pPr>
    </w:p>
    <w:p>
      <w:pPr>
        <w:spacing w:after="0" w:line="121"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520" w:space="280"/>
            <w:col w:w="10620"/>
          </w:cols>
          <w:pgMar w:left="240" w:top="229" w:right="239" w:bottom="1440" w:gutter="0" w:footer="0" w:header="0"/>
          <w:type w:val="continuous"/>
        </w:sectPr>
      </w:pPr>
    </w:p>
    <w:p>
      <w:pPr>
        <w:spacing w:after="0" w:line="116"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73"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9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tabs>
          <w:tab w:leader="none" w:pos="14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registrant hereby furnishes the information set forth in its press release entitled "CompX Reports Third Quarter 2017 Results" that the registrant issued on November 1, 2017, a copy of which is attached hereto as Exhibit 99.1 and incorporated herein by reference.</w:t>
      </w:r>
    </w:p>
    <w:p>
      <w:pPr>
        <w:spacing w:after="0" w:line="19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press release the registrant furnishes as Exhibit 99.1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189"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registrant hereby furnishes the information set forth in its press release entitled "CompX Declares Quarterly Dividend" that the registrant also issued on November 1, 2017, a copy of which is attached hereto as Exhibit 99.2 and incorporated herein by reference.</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press release the registrant furnishes as Exhibit 99.2 to this current report is not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(d)</w:t>
            </w: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Exhibits</w:t>
            </w: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Item No.</w:t>
            </w:r>
          </w:p>
        </w:tc>
        <w:tc>
          <w:tcPr>
            <w:tcW w:w="5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gridSpan w:val="2"/>
          </w:tcPr>
          <w:p>
            <w:pPr>
              <w:ind w:left="288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460" w:type="dxa"/>
            <w:vAlign w:val="bottom"/>
          </w:tcPr>
          <w:p>
            <w:pPr>
              <w:spacing w:after="0"/>
              <w:rPr>
                <w:sz w:val="24"/>
                <w:szCs w:val="24"/>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81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Press release dated November 1, 2017 entitled "CompX Reports Third Quarter 2017 Results" and issued by the</w:t>
              </w:r>
            </w:hyperlink>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registrant.</w:t>
              </w:r>
            </w:hyperlink>
          </w:p>
        </w:tc>
        <w:tc>
          <w:tcPr>
            <w:tcW w:w="7400" w:type="dxa"/>
            <w:vAlign w:val="bottom"/>
            <w:gridSpan w:val="2"/>
          </w:tcPr>
          <w:p>
            <w:pPr>
              <w:spacing w:after="0"/>
              <w:rPr>
                <w:sz w:val="17"/>
                <w:szCs w:val="17"/>
                <w:color w:val="auto"/>
              </w:rPr>
            </w:pPr>
          </w:p>
        </w:tc>
      </w:tr>
      <w:tr>
        <w:trPr>
          <w:trHeight w:val="412"/>
        </w:trPr>
        <w:tc>
          <w:tcPr>
            <w:tcW w:w="460" w:type="dxa"/>
            <w:vAlign w:val="bottom"/>
          </w:tcPr>
          <w:p>
            <w:pPr>
              <w:spacing w:after="0"/>
              <w:rPr>
                <w:sz w:val="24"/>
                <w:szCs w:val="24"/>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99.2</w:t>
            </w:r>
          </w:p>
        </w:tc>
        <w:tc>
          <w:tcPr>
            <w:tcW w:w="520" w:type="dxa"/>
            <w:vAlign w:val="bottom"/>
          </w:tcPr>
          <w:p>
            <w:pPr>
              <w:spacing w:after="0"/>
              <w:rPr>
                <w:sz w:val="24"/>
                <w:szCs w:val="24"/>
                <w:color w:val="auto"/>
              </w:rPr>
            </w:pPr>
          </w:p>
        </w:tc>
        <w:tc>
          <w:tcPr>
            <w:tcW w:w="8140" w:type="dxa"/>
            <w:vAlign w:val="bottom"/>
            <w:gridSpan w:val="3"/>
          </w:tcPr>
          <w:p>
            <w:pPr>
              <w:spacing w:after="0"/>
              <w:rPr>
                <w:rFonts w:ascii="Arial" w:cs="Arial" w:eastAsia="Arial" w:hAnsi="Arial"/>
                <w:sz w:val="18"/>
                <w:szCs w:val="18"/>
                <w:color w:val="0000EE"/>
                <w:w w:val="97"/>
              </w:rPr>
            </w:pPr>
            <w:hyperlink w:anchor="page9">
              <w:r>
                <w:rPr>
                  <w:rFonts w:ascii="Arial" w:cs="Arial" w:eastAsia="Arial" w:hAnsi="Arial"/>
                  <w:sz w:val="18"/>
                  <w:szCs w:val="18"/>
                  <w:color w:val="0000EE"/>
                  <w:w w:val="97"/>
                </w:rPr>
                <w:t>Press release dated November 1, 2017 entitled "CompX Declares Quarterly Dividend" and issued by the</w:t>
              </w:r>
            </w:hyperlink>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1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registrant.</w:t>
              </w:r>
            </w:hyperlink>
          </w:p>
        </w:tc>
        <w:tc>
          <w:tcPr>
            <w:tcW w:w="20" w:type="dxa"/>
            <w:vAlign w:val="bottom"/>
          </w:tcPr>
          <w:p>
            <w:pPr>
              <w:spacing w:after="0"/>
              <w:rPr>
                <w:sz w:val="17"/>
                <w:szCs w:val="17"/>
                <w:color w:val="auto"/>
              </w:rPr>
            </w:pPr>
          </w:p>
        </w:tc>
      </w:tr>
      <w:tr>
        <w:trPr>
          <w:trHeight w:val="1175"/>
        </w:trPr>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w:t>
      </w:r>
      <w:r>
        <w:rPr>
          <w:rFonts w:ascii="Arial" w:cs="Arial" w:eastAsia="Arial" w:hAnsi="Arial"/>
          <w:sz w:val="18"/>
          <w:szCs w:val="18"/>
          <w:b w:val="1"/>
          <w:bCs w:val="1"/>
          <w:color w:val="auto"/>
        </w:rPr>
        <w:t>X I</w:t>
      </w:r>
      <w:r>
        <w:rPr>
          <w:rFonts w:ascii="Arial" w:cs="Arial" w:eastAsia="Arial" w:hAnsi="Arial"/>
          <w:sz w:val="12"/>
          <w:szCs w:val="12"/>
          <w:b w:val="1"/>
          <w:bCs w:val="1"/>
          <w:color w:val="auto"/>
        </w:rPr>
        <w:t>NTERNATIONAL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80" w:type="dxa"/>
            <w:vAlign w:val="bottom"/>
            <w:gridSpan w:val="2"/>
          </w:tcPr>
          <w:p>
            <w:pPr>
              <w:ind w:left="5700"/>
              <w:spacing w:after="0"/>
              <w:rPr>
                <w:sz w:val="20"/>
                <w:szCs w:val="20"/>
                <w:color w:val="auto"/>
              </w:rPr>
            </w:pPr>
            <w:r>
              <w:rPr>
                <w:rFonts w:ascii="Arial" w:cs="Arial" w:eastAsia="Arial" w:hAnsi="Arial"/>
                <w:sz w:val="18"/>
                <w:szCs w:val="18"/>
                <w:color w:val="auto"/>
              </w:rPr>
              <w:t>By:</w:t>
            </w:r>
          </w:p>
        </w:tc>
        <w:tc>
          <w:tcPr>
            <w:tcW w:w="5340" w:type="dxa"/>
            <w:vAlign w:val="bottom"/>
          </w:tcPr>
          <w:p>
            <w:pPr>
              <w:ind w:left="360"/>
              <w:spacing w:after="0"/>
              <w:rPr>
                <w:sz w:val="20"/>
                <w:szCs w:val="20"/>
                <w:color w:val="auto"/>
              </w:rPr>
            </w:pPr>
            <w:r>
              <w:rPr>
                <w:rFonts w:ascii="Arial" w:cs="Arial" w:eastAsia="Arial" w:hAnsi="Arial"/>
                <w:sz w:val="18"/>
                <w:szCs w:val="18"/>
                <w:color w:val="auto"/>
              </w:rPr>
              <w:t>/s/ Gregory M. Swalwell</w:t>
            </w:r>
          </w:p>
        </w:tc>
      </w:tr>
      <w:tr>
        <w:trPr>
          <w:trHeight w:val="202"/>
        </w:trPr>
        <w:tc>
          <w:tcPr>
            <w:tcW w:w="5700" w:type="dxa"/>
            <w:vAlign w:val="bottom"/>
          </w:tcPr>
          <w:p>
            <w:pPr>
              <w:spacing w:after="0" w:line="201" w:lineRule="exact"/>
              <w:rPr>
                <w:sz w:val="20"/>
                <w:szCs w:val="20"/>
                <w:color w:val="auto"/>
              </w:rPr>
            </w:pPr>
            <w:r>
              <w:rPr>
                <w:rFonts w:ascii="Arial" w:cs="Arial" w:eastAsia="Arial" w:hAnsi="Arial"/>
                <w:sz w:val="18"/>
                <w:szCs w:val="18"/>
                <w:color w:val="auto"/>
              </w:rPr>
              <w:t>Date: November 1, 2017</w:t>
            </w:r>
          </w:p>
        </w:tc>
        <w:tc>
          <w:tcPr>
            <w:tcW w:w="380" w:type="dxa"/>
            <w:vAlign w:val="bottom"/>
            <w:tcBorders>
              <w:top w:val="single" w:sz="8" w:color="auto"/>
            </w:tcBorders>
          </w:tcPr>
          <w:p>
            <w:pPr>
              <w:spacing w:after="0"/>
              <w:rPr>
                <w:sz w:val="17"/>
                <w:szCs w:val="17"/>
                <w:color w:val="auto"/>
              </w:rPr>
            </w:pPr>
          </w:p>
        </w:tc>
        <w:tc>
          <w:tcPr>
            <w:tcW w:w="534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i w:val="1"/>
                <w:iCs w:val="1"/>
                <w:color w:val="auto"/>
              </w:rPr>
              <w:t>Gregory M. Swalwell,</w:t>
            </w:r>
          </w:p>
        </w:tc>
      </w:tr>
      <w:tr>
        <w:trPr>
          <w:trHeight w:val="230"/>
        </w:trPr>
        <w:tc>
          <w:tcPr>
            <w:tcW w:w="5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Executive Vice President</w:t>
            </w:r>
          </w:p>
        </w:tc>
      </w:tr>
    </w:tbl>
    <w:p>
      <w:pPr>
        <w:sectPr>
          <w:pgSz w:w="11900" w:h="16838" w:orient="portrait"/>
          <w:cols w:equalWidth="0" w:num="1">
            <w:col w:w="11420"/>
          </w:cols>
          <w:pgMar w:left="240" w:top="607"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2858770</wp:posOffset>
            </wp:positionH>
            <wp:positionV relativeFrom="page">
              <wp:posOffset>243205</wp:posOffset>
            </wp:positionV>
            <wp:extent cx="1852295"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5229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30"/>
          <w:szCs w:val="30"/>
          <w:b w:val="1"/>
          <w:bCs w:val="1"/>
          <w:color w:val="auto"/>
        </w:rPr>
        <w:t>PRESS RELEASE</w:t>
      </w:r>
    </w:p>
    <w:p>
      <w:pPr>
        <w:sectPr>
          <w:pgSz w:w="11900" w:h="16838" w:orient="portrait"/>
          <w:cols w:equalWidth="0" w:num="1">
            <w:col w:w="11420"/>
          </w:cols>
          <w:pgMar w:left="240" w:top="144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CONTACT:</w:t>
      </w:r>
    </w:p>
    <w:p>
      <w:pPr>
        <w:spacing w:after="0" w:line="211" w:lineRule="exact"/>
        <w:rPr>
          <w:sz w:val="20"/>
          <w:szCs w:val="20"/>
          <w:color w:val="auto"/>
        </w:rPr>
      </w:pPr>
    </w:p>
    <w:p>
      <w:pPr>
        <w:sectPr>
          <w:pgSz w:w="11900" w:h="16838" w:orient="portrait"/>
          <w:cols w:equalWidth="0" w:num="2">
            <w:col w:w="5000" w:space="720"/>
            <w:col w:w="5700"/>
          </w:cols>
          <w:pgMar w:left="240" w:top="1440" w:right="239"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CompX International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5430 LBJ Freeway, Suite 1700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75240</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Janet G. Keckeisen</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Tel. 972-233-1700</w:t>
      </w:r>
    </w:p>
    <w:p>
      <w:pPr>
        <w:spacing w:after="0" w:line="222" w:lineRule="exact"/>
        <w:rPr>
          <w:sz w:val="20"/>
          <w:szCs w:val="20"/>
          <w:color w:val="auto"/>
        </w:rPr>
      </w:pPr>
    </w:p>
    <w:p>
      <w:pPr>
        <w:sectPr>
          <w:pgSz w:w="11900" w:h="16838" w:orient="portrait"/>
          <w:cols w:equalWidth="0" w:num="2">
            <w:col w:w="5000" w:space="720"/>
            <w:col w:w="5700"/>
          </w:cols>
          <w:pgMar w:left="240" w:top="1440" w:right="239" w:bottom="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COMPX REPORTS THIRD QUARTER 2017 RESULTS</w:t>
      </w:r>
    </w:p>
    <w:p>
      <w:pPr>
        <w:spacing w:after="0" w:line="3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DALLAS, TEXAS …November 1, 2017 … CompX International Inc. (NYSE American: CIX) announced today sales of $27.0 million for the third quarter of 2017 compared to $28.4 million in the same period of 2016. Operating income was $3.4 million in the third quarter of 2017 compared to $4.5 million in the same period of 2016. Net income for the third quarter of 2017 was $2.5 million, or $0.20 per diluted share, compared to $3.0 million, or $0.24 per diluted share, in the third quarter of 2016.</w:t>
      </w:r>
    </w:p>
    <w:p>
      <w:pPr>
        <w:spacing w:after="0" w:line="26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For the nine months ended September 30, 2017, sales were $86.9 million compared to $82.6 million in the previous year. Operating income was $12.5 million for the first nine months of 2017 compared to $11.5 million for 2016. Net income for the nine months ended September 30, 2017 was $9.0 million, or $0.72 per diluted share, compared to $7.6 million, or $0.61 per diluted share, in 2016.</w:t>
      </w:r>
    </w:p>
    <w:p>
      <w:pPr>
        <w:spacing w:after="0" w:line="25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Net sales and operating income decreased in the third quarter of 2017 compared to the same period in 2016 primarily as a result of Security Products sales in the third quarter of 2016 to a single government security customer that, as expected, did not recur in the third quarter of 2017. Operating income was also unfavorably impacted by relative changes in customer and product mix in the Security Products segment as well as higher manufacturing costs resulting from employee turnover at the Marine Components segment.</w:t>
      </w:r>
    </w:p>
    <w:p>
      <w:pPr>
        <w:spacing w:after="0" w:line="24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Net sales and operating income increased in the first nine months of 2017 compared to the respective period in 2016, primarily due to Security Products' increased sales volumes to existing government security customers, predominately during the first half of 2017, partially offset by a decrease in sales of security products to an original equipment manufacturer of recreational transportation products.</w:t>
      </w:r>
    </w:p>
    <w:p>
      <w:pPr>
        <w:spacing w:after="0" w:line="23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CompX is a leading manufacturer of security products and recreational marine components. It operates from four locations in the U.S. and employs approximately 500 people.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0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The statements in this press release relating to matters that are not historical facts are forward-looking statements that represent management's belief and assumptions based on currently available information. Although CompX believes the expectations reflected in such forward-looking statements are reasonable, it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CompX continues to face many risks and uncertainties. The factors that could cause our actual future results to differ materially include, but are not limited to, the following:</w:t>
      </w:r>
    </w:p>
    <w:p>
      <w:pPr>
        <w:spacing w:after="0" w:line="178" w:lineRule="exact"/>
        <w:rPr>
          <w:sz w:val="20"/>
          <w:szCs w:val="20"/>
          <w:color w:val="auto"/>
        </w:rPr>
      </w:pPr>
    </w:p>
    <w:p>
      <w:pPr>
        <w:ind w:left="880" w:hanging="431"/>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225" w:lineRule="exact"/>
        <w:rPr>
          <w:rFonts w:ascii="Arial" w:cs="Arial" w:eastAsia="Arial" w:hAnsi="Arial"/>
          <w:sz w:val="18"/>
          <w:szCs w:val="18"/>
          <w:color w:val="auto"/>
        </w:rPr>
      </w:pPr>
    </w:p>
    <w:p>
      <w:pPr>
        <w:ind w:left="880" w:hanging="431"/>
        <w:spacing w:after="0" w:line="277"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raw material and other operating costs (such as zinc, brass and energy costs) and our ability to pass those costs on to our customers or offset them with reductions in other operating costs,</w:t>
      </w:r>
    </w:p>
    <w:p>
      <w:pPr>
        <w:spacing w:after="0" w:line="170" w:lineRule="exact"/>
        <w:rPr>
          <w:rFonts w:ascii="Arial" w:cs="Arial" w:eastAsia="Arial" w:hAnsi="Arial"/>
          <w:sz w:val="18"/>
          <w:szCs w:val="18"/>
          <w:color w:val="auto"/>
        </w:rPr>
      </w:pPr>
    </w:p>
    <w:p>
      <w:pPr>
        <w:ind w:left="880" w:hanging="431"/>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 features,</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ectPr>
          <w:pgSz w:w="11900" w:h="16838" w:orient="portrait"/>
          <w:cols w:equalWidth="0" w:num="1">
            <w:col w:w="11420"/>
          </w:cols>
          <w:pgMar w:left="240" w:top="1440" w:right="239" w:bottom="0" w:gutter="0" w:footer="0" w:header="0"/>
          <w:type w:val="continuous"/>
        </w:sectPr>
      </w:pPr>
    </w:p>
    <w:bookmarkStart w:id="4" w:name="page5"/>
    <w:bookmarkEnd w:id="4"/>
    <w:p>
      <w:pPr>
        <w:ind w:left="431" w:hanging="431"/>
        <w:spacing w:after="0"/>
        <w:tabs>
          <w:tab w:leader="none" w:pos="431"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225" w:lineRule="exact"/>
        <w:rPr>
          <w:rFonts w:ascii="Arial" w:cs="Arial" w:eastAsia="Arial" w:hAnsi="Arial"/>
          <w:sz w:val="18"/>
          <w:szCs w:val="18"/>
          <w:color w:val="auto"/>
        </w:rPr>
      </w:pPr>
    </w:p>
    <w:p>
      <w:pPr>
        <w:ind w:left="431" w:hanging="431"/>
        <w:spacing w:after="0"/>
        <w:tabs>
          <w:tab w:leader="none" w:pos="431" w:val="left"/>
        </w:tabs>
        <w:numPr>
          <w:ilvl w:val="0"/>
          <w:numId w:val="2"/>
        </w:numPr>
        <w:rPr>
          <w:rFonts w:ascii="Arial" w:cs="Arial" w:eastAsia="Arial" w:hAnsi="Arial"/>
          <w:sz w:val="18"/>
          <w:szCs w:val="18"/>
          <w:color w:val="auto"/>
        </w:rPr>
      </w:pPr>
      <w:r>
        <w:rPr>
          <w:rFonts w:ascii="Arial" w:cs="Arial" w:eastAsia="Arial" w:hAnsi="Arial"/>
          <w:sz w:val="18"/>
          <w:szCs w:val="18"/>
          <w:color w:val="auto"/>
        </w:rPr>
        <w:t>Environmental matters (such as those requiring emission and discharge standards for existing and new facilities),</w:t>
      </w:r>
    </w:p>
    <w:p>
      <w:pPr>
        <w:spacing w:after="0" w:line="225" w:lineRule="exact"/>
        <w:rPr>
          <w:rFonts w:ascii="Arial" w:cs="Arial" w:eastAsia="Arial" w:hAnsi="Arial"/>
          <w:sz w:val="18"/>
          <w:szCs w:val="18"/>
          <w:color w:val="auto"/>
        </w:rPr>
      </w:pPr>
    </w:p>
    <w:p>
      <w:pPr>
        <w:ind w:left="431" w:hanging="431"/>
        <w:spacing w:after="0"/>
        <w:tabs>
          <w:tab w:leader="none" w:pos="43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w:t>
      </w:r>
    </w:p>
    <w:p>
      <w:pPr>
        <w:spacing w:after="0" w:line="225" w:lineRule="exact"/>
        <w:rPr>
          <w:rFonts w:ascii="Arial" w:cs="Arial" w:eastAsia="Arial" w:hAnsi="Arial"/>
          <w:sz w:val="18"/>
          <w:szCs w:val="18"/>
          <w:color w:val="auto"/>
        </w:rPr>
      </w:pPr>
    </w:p>
    <w:p>
      <w:pPr>
        <w:ind w:left="431" w:hanging="431"/>
        <w:spacing w:after="0"/>
        <w:tabs>
          <w:tab w:leader="none" w:pos="43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current or future government regulations (including employee healthcare benefit related regulations),</w:t>
      </w:r>
    </w:p>
    <w:p>
      <w:pPr>
        <w:spacing w:after="0" w:line="225" w:lineRule="exact"/>
        <w:rPr>
          <w:rFonts w:ascii="Arial" w:cs="Arial" w:eastAsia="Arial" w:hAnsi="Arial"/>
          <w:sz w:val="18"/>
          <w:szCs w:val="18"/>
          <w:color w:val="auto"/>
        </w:rPr>
      </w:pPr>
    </w:p>
    <w:p>
      <w:pPr>
        <w:ind w:left="431" w:hanging="431"/>
        <w:spacing w:after="0"/>
        <w:tabs>
          <w:tab w:leader="none" w:pos="431"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difficulties in upgrading or implementing new manufacturing and accounting software systems,</w:t>
      </w:r>
    </w:p>
    <w:p>
      <w:pPr>
        <w:spacing w:after="0" w:line="225" w:lineRule="exact"/>
        <w:rPr>
          <w:rFonts w:ascii="Arial" w:cs="Arial" w:eastAsia="Arial" w:hAnsi="Arial"/>
          <w:sz w:val="18"/>
          <w:szCs w:val="18"/>
          <w:color w:val="auto"/>
        </w:rPr>
      </w:pPr>
    </w:p>
    <w:p>
      <w:pPr>
        <w:ind w:left="431" w:hanging="431"/>
        <w:spacing w:after="0" w:line="277" w:lineRule="auto"/>
        <w:tabs>
          <w:tab w:leader="none" w:pos="431"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global economic and political conditions that introduce instability into the U.S. economy (such as changes in the level of gross domestic product in various regions of the world),</w:t>
      </w:r>
    </w:p>
    <w:p>
      <w:pPr>
        <w:spacing w:after="0" w:line="170" w:lineRule="exact"/>
        <w:rPr>
          <w:rFonts w:ascii="Arial" w:cs="Arial" w:eastAsia="Arial" w:hAnsi="Arial"/>
          <w:sz w:val="18"/>
          <w:szCs w:val="18"/>
          <w:color w:val="auto"/>
        </w:rPr>
      </w:pPr>
    </w:p>
    <w:p>
      <w:pPr>
        <w:ind w:left="431" w:hanging="431"/>
        <w:spacing w:after="0" w:line="277" w:lineRule="auto"/>
        <w:tabs>
          <w:tab w:leader="none" w:pos="431"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interruptions (including, but not limited to labor disputes, hazardous chemical leaks, natural disasters, fires, explosions, unscheduled or unplanned downtime, transportation interruptions and cyber attacks); and</w:t>
      </w:r>
    </w:p>
    <w:p>
      <w:pPr>
        <w:spacing w:after="0" w:line="170" w:lineRule="exact"/>
        <w:rPr>
          <w:rFonts w:ascii="Arial" w:cs="Arial" w:eastAsia="Arial" w:hAnsi="Arial"/>
          <w:sz w:val="18"/>
          <w:szCs w:val="18"/>
          <w:color w:val="auto"/>
        </w:rPr>
      </w:pPr>
    </w:p>
    <w:p>
      <w:pPr>
        <w:ind w:left="431" w:hanging="431"/>
        <w:spacing w:after="0"/>
        <w:tabs>
          <w:tab w:leader="none" w:pos="431"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Possible disruption of our business or increases in the cost of doing business resulting from terrorist activities or global conflicts.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126365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71"/>
          </w:cols>
          <w:pgMar w:left="689" w:top="125" w:right="239" w:bottom="1440" w:gutter="0" w:footer="0" w:header="0"/>
        </w:sectPr>
      </w:pPr>
    </w:p>
    <w:bookmarkStart w:id="5" w:name="page6"/>
    <w:bookmarkEnd w:id="5"/>
    <w:p>
      <w:pPr>
        <w:jc w:val="both"/>
        <w:spacing w:after="0" w:line="289" w:lineRule="auto"/>
        <w:rPr>
          <w:sz w:val="20"/>
          <w:szCs w:val="20"/>
          <w:color w:val="auto"/>
        </w:rPr>
      </w:pPr>
      <w:r>
        <w:rPr>
          <w:rFonts w:ascii="Arial" w:cs="Arial" w:eastAsia="Arial" w:hAnsi="Arial"/>
          <w:sz w:val="17"/>
          <w:szCs w:val="17"/>
          <w:b w:val="1"/>
          <w:bCs w:val="1"/>
          <w:color w:val="auto"/>
        </w:rPr>
        <w:t>Should one or more of these risks materialize (or the consequences of such development worsen), or should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5"/>
          <w:szCs w:val="25"/>
          <w:b w:val="1"/>
          <w:bCs w:val="1"/>
          <w:color w:val="auto"/>
        </w:rPr>
        <w:t>COMPX INTERNATIONAL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CONSOLIDATED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180" w:type="dxa"/>
            <w:vAlign w:val="bottom"/>
            <w:gridSpan w:val="5"/>
          </w:tcPr>
          <w:p>
            <w:pPr>
              <w:jc w:val="right"/>
              <w:ind w:right="57"/>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2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180" w:type="dxa"/>
            <w:vAlign w:val="bottom"/>
            <w:tcBorders>
              <w:bottom w:val="single" w:sz="8" w:color="auto"/>
            </w:tcBorders>
            <w:gridSpan w:val="5"/>
          </w:tcPr>
          <w:p>
            <w:pPr>
              <w:jc w:val="right"/>
              <w:ind w:right="357"/>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4580" w:type="dxa"/>
            <w:vAlign w:val="bottom"/>
          </w:tcPr>
          <w:p>
            <w:pPr>
              <w:spacing w:after="0"/>
              <w:rPr>
                <w:sz w:val="24"/>
                <w:szCs w:val="24"/>
                <w:color w:val="auto"/>
              </w:rPr>
            </w:pPr>
          </w:p>
        </w:tc>
        <w:tc>
          <w:tcPr>
            <w:tcW w:w="228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c>
          <w:tcPr>
            <w:tcW w:w="500" w:type="dxa"/>
            <w:vAlign w:val="bottom"/>
            <w:gridSpan w:val="2"/>
          </w:tcPr>
          <w:p>
            <w:pPr>
              <w:spacing w:after="0"/>
              <w:rPr>
                <w:sz w:val="24"/>
                <w:szCs w:val="24"/>
                <w:color w:val="auto"/>
              </w:rPr>
            </w:pPr>
          </w:p>
        </w:tc>
        <w:tc>
          <w:tcPr>
            <w:tcW w:w="8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80" w:type="dxa"/>
            <w:vAlign w:val="bottom"/>
            <w:gridSpan w:val="2"/>
            <w:shd w:val="clear" w:color="auto" w:fill="CCEEFF"/>
          </w:tcPr>
          <w:p>
            <w:pPr>
              <w:jc w:val="right"/>
              <w:ind w:right="634"/>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28.4</w:t>
            </w:r>
          </w:p>
        </w:tc>
        <w:tc>
          <w:tcPr>
            <w:tcW w:w="900" w:type="dxa"/>
            <w:vAlign w:val="bottom"/>
            <w:gridSpan w:val="2"/>
            <w:shd w:val="clear" w:color="auto" w:fill="CCEEFF"/>
          </w:tcPr>
          <w:p>
            <w:pPr>
              <w:jc w:val="right"/>
              <w:ind w:right="61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27.0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c>
          <w:tcPr>
            <w:tcW w:w="5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Cost of goods sold</w:t>
            </w:r>
          </w:p>
        </w:tc>
        <w:tc>
          <w:tcPr>
            <w:tcW w:w="1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19.0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18.8</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income</w:t>
            </w:r>
          </w:p>
        </w:tc>
        <w:tc>
          <w:tcPr>
            <w:tcW w:w="1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4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634"/>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rPr>
          <w:sz w:val="20"/>
          <w:szCs w:val="20"/>
          <w:color w:val="auto"/>
        </w:rPr>
      </w:pPr>
      <w:r>
        <w:rPr>
          <w:rFonts w:ascii="Arial" w:cs="Arial" w:eastAsia="Arial" w:hAnsi="Arial"/>
          <w:sz w:val="18"/>
          <w:szCs w:val="18"/>
          <w:color w:val="auto"/>
        </w:rPr>
        <w:t>Basic and diluted net income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per common share</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diluted common</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shares outstanding</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0.24</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0.20</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0.61</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0.72</w:t>
            </w:r>
          </w:p>
        </w:tc>
      </w:tr>
      <w:tr>
        <w:trPr>
          <w:trHeight w:val="21"/>
        </w:trPr>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642"/>
        </w:trPr>
        <w:tc>
          <w:tcPr>
            <w:tcW w:w="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4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
        </w:trPr>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-650875</wp:posOffset>
            </wp:positionV>
            <wp:extent cx="7246620"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-307975</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728980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5360" w:space="720"/>
            <w:col w:w="5340"/>
          </w:cols>
          <w:pgMar w:left="240" w:top="117"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5"/>
          <w:szCs w:val="25"/>
          <w:b w:val="1"/>
          <w:bCs w:val="1"/>
          <w:color w:val="auto"/>
        </w:rPr>
        <w:t>COMPX INTERNATIONAL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3200" w:type="dxa"/>
            <w:vAlign w:val="bottom"/>
            <w:gridSpan w:val="3"/>
          </w:tcPr>
          <w:p>
            <w:pPr>
              <w:ind w:left="700"/>
              <w:spacing w:after="0"/>
              <w:rPr>
                <w:sz w:val="20"/>
                <w:szCs w:val="20"/>
                <w:color w:val="auto"/>
              </w:rPr>
            </w:pPr>
            <w:r>
              <w:rPr>
                <w:rFonts w:ascii="Arial" w:cs="Arial" w:eastAsia="Arial" w:hAnsi="Arial"/>
                <w:sz w:val="18"/>
                <w:szCs w:val="18"/>
                <w:b w:val="1"/>
                <w:bCs w:val="1"/>
                <w:color w:val="auto"/>
              </w:rPr>
              <w:t>December 31,</w:t>
            </w:r>
          </w:p>
        </w:tc>
        <w:tc>
          <w:tcPr>
            <w:tcW w:w="25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September 30,</w:t>
            </w:r>
          </w:p>
        </w:tc>
      </w:tr>
      <w:tr>
        <w:trPr>
          <w:trHeight w:val="241"/>
        </w:trPr>
        <w:tc>
          <w:tcPr>
            <w:tcW w:w="57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700" w:type="dxa"/>
            <w:vAlign w:val="bottom"/>
          </w:tcPr>
          <w:p>
            <w:pPr>
              <w:spacing w:after="0"/>
              <w:rPr>
                <w:sz w:val="20"/>
                <w:szCs w:val="20"/>
                <w:color w:val="auto"/>
              </w:rPr>
            </w:pPr>
          </w:p>
        </w:tc>
      </w:tr>
      <w:tr>
        <w:trPr>
          <w:trHeight w:val="234"/>
        </w:trPr>
        <w:tc>
          <w:tcPr>
            <w:tcW w:w="5720" w:type="dxa"/>
            <w:vAlign w:val="bottom"/>
          </w:tcPr>
          <w:p>
            <w:pPr>
              <w:ind w:left="660"/>
              <w:spacing w:after="0"/>
              <w:rPr>
                <w:sz w:val="20"/>
                <w:szCs w:val="20"/>
                <w:color w:val="auto"/>
              </w:rPr>
            </w:pPr>
            <w:r>
              <w:rPr>
                <w:rFonts w:ascii="Arial" w:cs="Arial" w:eastAsia="Arial" w:hAnsi="Arial"/>
                <w:sz w:val="18"/>
                <w:szCs w:val="18"/>
                <w:b w:val="1"/>
                <w:bCs w:val="1"/>
                <w:color w:val="auto"/>
              </w:rPr>
              <w:t>Assets</w:t>
            </w: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700" w:type="dxa"/>
            <w:vAlign w:val="bottom"/>
          </w:tcPr>
          <w:p>
            <w:pPr>
              <w:spacing w:after="0"/>
              <w:rPr>
                <w:sz w:val="20"/>
                <w:szCs w:val="20"/>
                <w:color w:val="auto"/>
              </w:rPr>
            </w:pPr>
          </w:p>
        </w:tc>
      </w:tr>
      <w:tr>
        <w:trPr>
          <w:trHeight w:val="414"/>
        </w:trPr>
        <w:tc>
          <w:tcPr>
            <w:tcW w:w="5720" w:type="dxa"/>
            <w:vAlign w:val="bottom"/>
          </w:tcPr>
          <w:p>
            <w:pPr>
              <w:ind w:left="660"/>
              <w:spacing w:after="0"/>
              <w:rPr>
                <w:sz w:val="20"/>
                <w:szCs w:val="20"/>
                <w:color w:val="auto"/>
              </w:rPr>
            </w:pPr>
            <w:r>
              <w:rPr>
                <w:rFonts w:ascii="Arial" w:cs="Arial" w:eastAsia="Arial" w:hAnsi="Arial"/>
                <w:sz w:val="18"/>
                <w:szCs w:val="18"/>
                <w:color w:val="auto"/>
              </w:rPr>
              <w:t>Current assets:</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57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Cash and equivalents</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33.2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28.8</w:t>
            </w:r>
          </w:p>
        </w:tc>
      </w:tr>
      <w:tr>
        <w:trPr>
          <w:trHeight w:val="216"/>
        </w:trPr>
        <w:tc>
          <w:tcPr>
            <w:tcW w:w="5720" w:type="dxa"/>
            <w:vAlign w:val="bottom"/>
          </w:tcPr>
          <w:p>
            <w:pPr>
              <w:ind w:left="740"/>
              <w:spacing w:after="0"/>
              <w:rPr>
                <w:sz w:val="20"/>
                <w:szCs w:val="20"/>
                <w:color w:val="auto"/>
              </w:rPr>
            </w:pPr>
            <w:r>
              <w:rPr>
                <w:rFonts w:ascii="Arial" w:cs="Arial" w:eastAsia="Arial" w:hAnsi="Arial"/>
                <w:sz w:val="18"/>
                <w:szCs w:val="18"/>
                <w:color w:val="auto"/>
              </w:rPr>
              <w:t>Accounts receivable, net</w:t>
            </w:r>
          </w:p>
        </w:tc>
        <w:tc>
          <w:tcPr>
            <w:tcW w:w="900" w:type="dxa"/>
            <w:vAlign w:val="bottom"/>
          </w:tcPr>
          <w:p>
            <w:pPr>
              <w:spacing w:after="0"/>
              <w:rPr>
                <w:sz w:val="18"/>
                <w:szCs w:val="18"/>
                <w:color w:val="auto"/>
              </w:rPr>
            </w:pPr>
          </w:p>
        </w:tc>
        <w:tc>
          <w:tcPr>
            <w:tcW w:w="2300" w:type="dxa"/>
            <w:vAlign w:val="bottom"/>
            <w:gridSpan w:val="2"/>
          </w:tcPr>
          <w:p>
            <w:pPr>
              <w:jc w:val="right"/>
              <w:ind w:right="1400"/>
              <w:spacing w:after="0"/>
              <w:rPr>
                <w:sz w:val="20"/>
                <w:szCs w:val="20"/>
                <w:color w:val="auto"/>
              </w:rPr>
            </w:pPr>
            <w:r>
              <w:rPr>
                <w:rFonts w:ascii="Arial" w:cs="Arial" w:eastAsia="Arial" w:hAnsi="Arial"/>
                <w:sz w:val="18"/>
                <w:szCs w:val="18"/>
                <w:color w:val="auto"/>
              </w:rPr>
              <w:t>10.3</w:t>
            </w:r>
          </w:p>
        </w:tc>
        <w:tc>
          <w:tcPr>
            <w:tcW w:w="740" w:type="dxa"/>
            <w:vAlign w:val="bottom"/>
          </w:tcPr>
          <w:p>
            <w:pPr>
              <w:spacing w:after="0"/>
              <w:rPr>
                <w:sz w:val="18"/>
                <w:szCs w:val="18"/>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11.7</w:t>
            </w:r>
          </w:p>
        </w:tc>
      </w:tr>
      <w:tr>
        <w:trPr>
          <w:trHeight w:val="216"/>
        </w:trPr>
        <w:tc>
          <w:tcPr>
            <w:tcW w:w="57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Inventories, net</w:t>
            </w:r>
          </w:p>
        </w:tc>
        <w:tc>
          <w:tcPr>
            <w:tcW w:w="9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15.0</w:t>
            </w:r>
          </w:p>
        </w:tc>
        <w:tc>
          <w:tcPr>
            <w:tcW w:w="7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15.3</w:t>
            </w:r>
          </w:p>
        </w:tc>
      </w:tr>
      <w:tr>
        <w:trPr>
          <w:trHeight w:val="223"/>
        </w:trPr>
        <w:tc>
          <w:tcPr>
            <w:tcW w:w="5720" w:type="dxa"/>
            <w:vAlign w:val="bottom"/>
          </w:tcPr>
          <w:p>
            <w:pPr>
              <w:ind w:left="740"/>
              <w:spacing w:after="0"/>
              <w:rPr>
                <w:sz w:val="20"/>
                <w:szCs w:val="20"/>
                <w:color w:val="auto"/>
              </w:rPr>
            </w:pPr>
            <w:r>
              <w:rPr>
                <w:rFonts w:ascii="Arial" w:cs="Arial" w:eastAsia="Arial" w:hAnsi="Arial"/>
                <w:sz w:val="18"/>
                <w:szCs w:val="18"/>
                <w:color w:val="auto"/>
              </w:rPr>
              <w:t>Prepaid expenses and other</w:t>
            </w:r>
          </w:p>
        </w:tc>
        <w:tc>
          <w:tcPr>
            <w:tcW w:w="9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1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0.8</w:t>
            </w:r>
          </w:p>
        </w:tc>
      </w:tr>
      <w:tr>
        <w:trPr>
          <w:trHeight w:val="216"/>
        </w:trPr>
        <w:tc>
          <w:tcPr>
            <w:tcW w:w="57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current assets</w:t>
            </w:r>
          </w:p>
        </w:tc>
        <w:tc>
          <w:tcPr>
            <w:tcW w:w="9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4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7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30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r>
      <w:tr>
        <w:trPr>
          <w:trHeight w:val="216"/>
        </w:trPr>
        <w:tc>
          <w:tcPr>
            <w:tcW w:w="5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Note receivable from affiliate</w:t>
            </w:r>
          </w:p>
        </w:tc>
        <w:tc>
          <w:tcPr>
            <w:tcW w:w="9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27.4</w:t>
            </w:r>
          </w:p>
        </w:tc>
        <w:tc>
          <w:tcPr>
            <w:tcW w:w="7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36.7</w:t>
            </w:r>
          </w:p>
        </w:tc>
      </w:tr>
      <w:tr>
        <w:trPr>
          <w:trHeight w:val="216"/>
        </w:trPr>
        <w:tc>
          <w:tcPr>
            <w:tcW w:w="5720" w:type="dxa"/>
            <w:vAlign w:val="bottom"/>
          </w:tcPr>
          <w:p>
            <w:pPr>
              <w:ind w:left="660"/>
              <w:spacing w:after="0"/>
              <w:rPr>
                <w:sz w:val="20"/>
                <w:szCs w:val="20"/>
                <w:color w:val="auto"/>
              </w:rPr>
            </w:pPr>
            <w:r>
              <w:rPr>
                <w:rFonts w:ascii="Arial" w:cs="Arial" w:eastAsia="Arial" w:hAnsi="Arial"/>
                <w:sz w:val="18"/>
                <w:szCs w:val="18"/>
                <w:color w:val="auto"/>
              </w:rPr>
              <w:t>Goodwill</w:t>
            </w:r>
          </w:p>
        </w:tc>
        <w:tc>
          <w:tcPr>
            <w:tcW w:w="900" w:type="dxa"/>
            <w:vAlign w:val="bottom"/>
          </w:tcPr>
          <w:p>
            <w:pPr>
              <w:spacing w:after="0"/>
              <w:rPr>
                <w:sz w:val="18"/>
                <w:szCs w:val="18"/>
                <w:color w:val="auto"/>
              </w:rPr>
            </w:pPr>
          </w:p>
        </w:tc>
        <w:tc>
          <w:tcPr>
            <w:tcW w:w="2300" w:type="dxa"/>
            <w:vAlign w:val="bottom"/>
            <w:gridSpan w:val="2"/>
          </w:tcPr>
          <w:p>
            <w:pPr>
              <w:jc w:val="right"/>
              <w:ind w:right="1400"/>
              <w:spacing w:after="0"/>
              <w:rPr>
                <w:sz w:val="20"/>
                <w:szCs w:val="20"/>
                <w:color w:val="auto"/>
              </w:rPr>
            </w:pPr>
            <w:r>
              <w:rPr>
                <w:rFonts w:ascii="Arial" w:cs="Arial" w:eastAsia="Arial" w:hAnsi="Arial"/>
                <w:sz w:val="18"/>
                <w:szCs w:val="18"/>
                <w:color w:val="auto"/>
              </w:rPr>
              <w:t>23.7</w:t>
            </w:r>
          </w:p>
        </w:tc>
        <w:tc>
          <w:tcPr>
            <w:tcW w:w="740" w:type="dxa"/>
            <w:vAlign w:val="bottom"/>
          </w:tcPr>
          <w:p>
            <w:pPr>
              <w:spacing w:after="0"/>
              <w:rPr>
                <w:sz w:val="18"/>
                <w:szCs w:val="18"/>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23.7</w:t>
            </w:r>
          </w:p>
        </w:tc>
      </w:tr>
      <w:tr>
        <w:trPr>
          <w:trHeight w:val="216"/>
        </w:trPr>
        <w:tc>
          <w:tcPr>
            <w:tcW w:w="5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property and equipment</w:t>
            </w:r>
          </w:p>
        </w:tc>
        <w:tc>
          <w:tcPr>
            <w:tcW w:w="9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33.1</w:t>
            </w:r>
          </w:p>
        </w:tc>
        <w:tc>
          <w:tcPr>
            <w:tcW w:w="7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32.6</w:t>
            </w:r>
          </w:p>
        </w:tc>
      </w:tr>
      <w:tr>
        <w:trPr>
          <w:trHeight w:val="223"/>
        </w:trPr>
        <w:tc>
          <w:tcPr>
            <w:tcW w:w="5720" w:type="dxa"/>
            <w:vAlign w:val="bottom"/>
          </w:tcPr>
          <w:p>
            <w:pPr>
              <w:ind w:left="660"/>
              <w:spacing w:after="0"/>
              <w:rPr>
                <w:sz w:val="20"/>
                <w:szCs w:val="20"/>
                <w:color w:val="auto"/>
              </w:rPr>
            </w:pPr>
            <w:r>
              <w:rPr>
                <w:rFonts w:ascii="Arial" w:cs="Arial" w:eastAsia="Arial" w:hAnsi="Arial"/>
                <w:sz w:val="18"/>
                <w:szCs w:val="18"/>
                <w:color w:val="auto"/>
              </w:rPr>
              <w:t>Other noncurrent</w:t>
            </w:r>
          </w:p>
        </w:tc>
        <w:tc>
          <w:tcPr>
            <w:tcW w:w="9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700" w:type="dxa"/>
            <w:vAlign w:val="bottom"/>
          </w:tcPr>
          <w:p>
            <w:pPr>
              <w:spacing w:after="0"/>
              <w:rPr>
                <w:sz w:val="19"/>
                <w:szCs w:val="19"/>
                <w:color w:val="auto"/>
              </w:rPr>
            </w:pPr>
          </w:p>
        </w:tc>
      </w:tr>
      <w:tr>
        <w:trPr>
          <w:trHeight w:val="216"/>
        </w:trPr>
        <w:tc>
          <w:tcPr>
            <w:tcW w:w="5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18"/>
                <w:szCs w:val="18"/>
                <w:color w:val="auto"/>
              </w:rPr>
            </w:pPr>
          </w:p>
        </w:tc>
      </w:tr>
      <w:tr>
        <w:trPr>
          <w:trHeight w:val="216"/>
        </w:trPr>
        <w:tc>
          <w:tcPr>
            <w:tcW w:w="5720" w:type="dxa"/>
            <w:vAlign w:val="bottom"/>
          </w:tcPr>
          <w:p>
            <w:pPr>
              <w:ind w:left="840"/>
              <w:spacing w:after="0"/>
              <w:rPr>
                <w:sz w:val="20"/>
                <w:szCs w:val="20"/>
                <w:color w:val="auto"/>
              </w:rPr>
            </w:pPr>
            <w:r>
              <w:rPr>
                <w:rFonts w:ascii="Arial" w:cs="Arial" w:eastAsia="Arial" w:hAnsi="Arial"/>
                <w:sz w:val="18"/>
                <w:szCs w:val="18"/>
                <w:color w:val="auto"/>
              </w:rPr>
              <w:t>Total assets</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144.0</w:t>
            </w:r>
          </w:p>
        </w:tc>
        <w:tc>
          <w:tcPr>
            <w:tcW w:w="1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150.2</w:t>
            </w:r>
          </w:p>
        </w:tc>
      </w:tr>
      <w:tr>
        <w:trPr>
          <w:trHeight w:val="21"/>
        </w:trPr>
        <w:tc>
          <w:tcPr>
            <w:tcW w:w="57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720" w:type="dxa"/>
            <w:vAlign w:val="bottom"/>
          </w:tcPr>
          <w:p>
            <w:pPr>
              <w:ind w:left="660"/>
              <w:spacing w:after="0"/>
              <w:rPr>
                <w:sz w:val="20"/>
                <w:szCs w:val="20"/>
                <w:color w:val="auto"/>
              </w:rPr>
            </w:pPr>
            <w:r>
              <w:rPr>
                <w:rFonts w:ascii="Arial" w:cs="Arial" w:eastAsia="Arial" w:hAnsi="Arial"/>
                <w:sz w:val="18"/>
                <w:szCs w:val="18"/>
                <w:b w:val="1"/>
                <w:bCs w:val="1"/>
                <w:color w:val="auto"/>
              </w:rPr>
              <w:t>Liabilities and Stockholders' Equity</w:t>
            </w: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720" w:type="dxa"/>
            <w:vAlign w:val="bottom"/>
          </w:tcPr>
          <w:p>
            <w:pPr>
              <w:ind w:left="660"/>
              <w:spacing w:after="0"/>
              <w:rPr>
                <w:sz w:val="20"/>
                <w:szCs w:val="20"/>
                <w:color w:val="auto"/>
              </w:rPr>
            </w:pPr>
            <w:r>
              <w:rPr>
                <w:rFonts w:ascii="Arial" w:cs="Arial" w:eastAsia="Arial" w:hAnsi="Arial"/>
                <w:sz w:val="18"/>
                <w:szCs w:val="18"/>
                <w:color w:val="auto"/>
              </w:rPr>
              <w:t>Current liabilities:</w:t>
            </w: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7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Accounts payable and accrued liabilities</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11.4</w:t>
            </w:r>
          </w:p>
        </w:tc>
      </w:tr>
      <w:tr>
        <w:trPr>
          <w:trHeight w:val="223"/>
        </w:trPr>
        <w:tc>
          <w:tcPr>
            <w:tcW w:w="5720" w:type="dxa"/>
            <w:vAlign w:val="bottom"/>
          </w:tcPr>
          <w:p>
            <w:pPr>
              <w:ind w:left="740"/>
              <w:spacing w:after="0"/>
              <w:rPr>
                <w:sz w:val="20"/>
                <w:szCs w:val="20"/>
                <w:color w:val="auto"/>
              </w:rPr>
            </w:pPr>
            <w:r>
              <w:rPr>
                <w:rFonts w:ascii="Arial" w:cs="Arial" w:eastAsia="Arial" w:hAnsi="Arial"/>
                <w:sz w:val="18"/>
                <w:szCs w:val="18"/>
                <w:color w:val="auto"/>
              </w:rPr>
              <w:t>Income taxes</w:t>
            </w:r>
          </w:p>
        </w:tc>
        <w:tc>
          <w:tcPr>
            <w:tcW w:w="9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0.9</w:t>
            </w:r>
          </w:p>
        </w:tc>
      </w:tr>
      <w:tr>
        <w:trPr>
          <w:trHeight w:val="216"/>
        </w:trPr>
        <w:tc>
          <w:tcPr>
            <w:tcW w:w="57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current liabilities</w:t>
            </w:r>
          </w:p>
        </w:tc>
        <w:tc>
          <w:tcPr>
            <w:tcW w:w="9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7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r>
      <w:tr>
        <w:trPr>
          <w:trHeight w:val="216"/>
        </w:trPr>
        <w:tc>
          <w:tcPr>
            <w:tcW w:w="5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income taxes</w:t>
            </w: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4.9</w:t>
            </w:r>
          </w:p>
        </w:tc>
      </w:tr>
      <w:tr>
        <w:trPr>
          <w:trHeight w:val="223"/>
        </w:trPr>
        <w:tc>
          <w:tcPr>
            <w:tcW w:w="5720" w:type="dxa"/>
            <w:vAlign w:val="bottom"/>
          </w:tcPr>
          <w:p>
            <w:pPr>
              <w:ind w:left="660"/>
              <w:spacing w:after="0"/>
              <w:rPr>
                <w:sz w:val="20"/>
                <w:szCs w:val="20"/>
                <w:color w:val="auto"/>
              </w:rPr>
            </w:pPr>
            <w:r>
              <w:rPr>
                <w:rFonts w:ascii="Arial" w:cs="Arial" w:eastAsia="Arial" w:hAnsi="Arial"/>
                <w:sz w:val="18"/>
                <w:szCs w:val="18"/>
                <w:color w:val="auto"/>
              </w:rPr>
              <w:t>Stockholders' equity</w:t>
            </w:r>
          </w:p>
        </w:tc>
        <w:tc>
          <w:tcPr>
            <w:tcW w:w="9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4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700" w:type="dxa"/>
            <w:vAlign w:val="bottom"/>
          </w:tcPr>
          <w:p>
            <w:pPr>
              <w:spacing w:after="0"/>
              <w:rPr>
                <w:sz w:val="19"/>
                <w:szCs w:val="19"/>
                <w:color w:val="auto"/>
              </w:rPr>
            </w:pPr>
          </w:p>
        </w:tc>
      </w:tr>
      <w:tr>
        <w:trPr>
          <w:trHeight w:val="216"/>
        </w:trPr>
        <w:tc>
          <w:tcPr>
            <w:tcW w:w="5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18"/>
                <w:szCs w:val="18"/>
                <w:color w:val="auto"/>
              </w:rPr>
            </w:pPr>
          </w:p>
        </w:tc>
      </w:tr>
      <w:tr>
        <w:trPr>
          <w:trHeight w:val="216"/>
        </w:trPr>
        <w:tc>
          <w:tcPr>
            <w:tcW w:w="5720" w:type="dxa"/>
            <w:vAlign w:val="bottom"/>
          </w:tcPr>
          <w:p>
            <w:pPr>
              <w:ind w:left="840"/>
              <w:spacing w:after="0"/>
              <w:rPr>
                <w:sz w:val="20"/>
                <w:szCs w:val="20"/>
                <w:color w:val="auto"/>
              </w:rPr>
            </w:pPr>
            <w:r>
              <w:rPr>
                <w:rFonts w:ascii="Arial" w:cs="Arial" w:eastAsia="Arial" w:hAnsi="Arial"/>
                <w:sz w:val="18"/>
                <w:szCs w:val="18"/>
                <w:color w:val="auto"/>
              </w:rPr>
              <w:t>Total liabilities and stockholders' equity</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144.0</w:t>
            </w:r>
          </w:p>
        </w:tc>
        <w:tc>
          <w:tcPr>
            <w:tcW w:w="1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150.2</w:t>
            </w:r>
          </w:p>
        </w:tc>
      </w:tr>
      <w:tr>
        <w:trPr>
          <w:trHeight w:val="21"/>
        </w:trPr>
        <w:tc>
          <w:tcPr>
            <w:tcW w:w="57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ectPr>
          <w:pgSz w:w="11900" w:h="16838" w:orient="portrait"/>
          <w:cols w:equalWidth="0" w:num="1">
            <w:col w:w="11420"/>
          </w:cols>
          <w:pgMar w:left="240" w:top="360" w:right="239" w:bottom="1440" w:gutter="0" w:footer="0" w:header="0"/>
        </w:sectPr>
      </w:pPr>
    </w:p>
    <w:bookmarkStart w:id="8" w:name="page9"/>
    <w:bookmarkEnd w:id="8"/>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45796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57960" cy="4114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0"/>
          <w:szCs w:val="30"/>
          <w:b w:val="1"/>
          <w:bCs w:val="1"/>
          <w:color w:val="auto"/>
        </w:rPr>
        <w:t>PRESS RELEASE</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240"/>
        <w:spacing w:after="0"/>
        <w:rPr>
          <w:sz w:val="20"/>
          <w:szCs w:val="20"/>
          <w:color w:val="auto"/>
        </w:rPr>
      </w:pPr>
      <w:r>
        <w:rPr>
          <w:rFonts w:ascii="Arial" w:cs="Arial" w:eastAsia="Arial" w:hAnsi="Arial"/>
          <w:sz w:val="24"/>
          <w:szCs w:val="24"/>
          <w:b w:val="1"/>
          <w:bCs w:val="1"/>
          <w:color w:val="auto"/>
        </w:rPr>
        <w:t>CONTACT:</w:t>
      </w:r>
    </w:p>
    <w:p>
      <w:pPr>
        <w:spacing w:after="0" w:line="211" w:lineRule="exact"/>
        <w:rPr>
          <w:sz w:val="20"/>
          <w:szCs w:val="20"/>
          <w:color w:val="auto"/>
        </w:rPr>
      </w:pPr>
    </w:p>
    <w:p>
      <w:pPr>
        <w:sectPr>
          <w:pgSz w:w="11900" w:h="16838" w:orient="portrait"/>
          <w:cols w:equalWidth="0" w:num="2">
            <w:col w:w="6160" w:space="720"/>
            <w:col w:w="4540"/>
          </w:cols>
          <w:pgMar w:left="240" w:top="1440"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CompX International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Lincoln Centre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5430 LBJ Freeway, Suite 1700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75240</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Janet G. Keckeisen</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Tel. 972-233-1700</w:t>
      </w:r>
    </w:p>
    <w:p>
      <w:pPr>
        <w:spacing w:after="0" w:line="439" w:lineRule="exact"/>
        <w:rPr>
          <w:sz w:val="20"/>
          <w:szCs w:val="20"/>
          <w:color w:val="auto"/>
        </w:rPr>
      </w:pPr>
    </w:p>
    <w:p>
      <w:pPr>
        <w:sectPr>
          <w:pgSz w:w="11900" w:h="16838" w:orient="portrait"/>
          <w:cols w:equalWidth="0" w:num="2">
            <w:col w:w="6160" w:space="720"/>
            <w:col w:w="4540"/>
          </w:cols>
          <w:pgMar w:left="240" w:top="1440" w:right="239" w:bottom="1440" w:gutter="0" w:footer="0" w:header="0"/>
          <w:type w:val="continuous"/>
        </w:sect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COMPX DECLARES REGULAR QUARTERLY DIVIDEND</w:t>
      </w:r>
    </w:p>
    <w:p>
      <w:pPr>
        <w:spacing w:after="0" w:line="200" w:lineRule="exact"/>
        <w:rPr>
          <w:sz w:val="20"/>
          <w:szCs w:val="20"/>
          <w:color w:val="auto"/>
        </w:rPr>
      </w:pPr>
    </w:p>
    <w:p>
      <w:pPr>
        <w:spacing w:after="0" w:line="29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DALLAS, TEXAS . . . November 1, 2017 . . . CompX International Inc. (NYSE American: CIX) announced today that its board of directors has declared CompX's regular quarterly dividend of five cents ($0.05) per share on its class A and class B common stock, payable on December 13, 2017 to stockholders of record at the close of business on December 6, 2017.</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CompX is a leading manufacturer of security products and recreational marine components.</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 * * *</w:t>
      </w:r>
    </w:p>
    <w:sectPr>
      <w:pgSz w:w="11900" w:h="16838" w:orient="portrait"/>
      <w:cols w:equalWidth="0" w:num="1">
        <w:col w:w="11420"/>
      </w:cols>
      <w:pgMar w:left="240" w:top="14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2019-12-29T03:47:10Z</dcterms:created>
  <dcterms:modified xsi:type="dcterms:W3CDTF">2019-12-29T03:47:10Z</dcterms:modified>
</cp:coreProperties>
</file>