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cix-20260804x8k.htm"/>
      <w:bookmarkStart w:id="1" w:name="kscix20260804x8k"/>
      <w:bookmarkEnd w:id="0"/>
      <w:bookmarkEnd w:id="1"/>
      <w:r>
        <w:rPr/>
        <w:t>​</w:t>
      </w:r>
    </w:p>
    <w:p>
      <w:pPr>
        <w:pStyle w:val="TextBody"/>
        <w:bidi w:val="0"/>
        <w:spacing w:before="0" w:after="24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445452d3_a017_4abf_8736_180119e7d87a"/>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August 4, 2026</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COMPX INTERNATIONAL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xVf4bSYt20y_ZWM_3-1nlA_5_2"/>
      <w:bookmarkStart w:id="4" w:name="Tc_gqkf72zznEegg3YNljvn7w_5_0"/>
      <w:bookmarkStart w:id="5" w:name="Tc_HBs4ogv92ECiYuUgv1RnFQ_4_0"/>
      <w:bookmarkStart w:id="6" w:name="Tc_-Vq2LsCHbEWUODckTnQBNA_1_2"/>
      <w:bookmarkStart w:id="7" w:name="Tc_EGOLuUhuaE2OeqMwtgan3A_1_1"/>
      <w:bookmarkStart w:id="8" w:name="Tc_RJz2LbH-KkuJVUQR-JddFg_1_0"/>
      <w:bookmarkStart w:id="9" w:name="_b4f68095_e54f_4e44_947a_47c1ed4f140d"/>
      <w:bookmarkStart w:id="10" w:name="Tc_xVf4bSYt20y_ZWM_3-1nlA_5_2"/>
      <w:bookmarkStart w:id="11" w:name="Tc_gqkf72zznEegg3YNljvn7w_5_0"/>
      <w:bookmarkStart w:id="12" w:name="Tc_HBs4ogv92ECiYuUgv1RnFQ_4_0"/>
      <w:bookmarkStart w:id="13" w:name="Tc_-Vq2LsCHbEWUODckTnQBNA_1_2"/>
      <w:bookmarkStart w:id="14" w:name="Tc_EGOLuUhuaE2OeqMwtgan3A_1_1"/>
      <w:bookmarkStart w:id="15" w:name="Tc_RJz2LbH-KkuJVUQR-JddFg_1_0"/>
      <w:bookmarkStart w:id="16" w:name="_b4f68095_e54f_4e44_947a_47c1ed4f140d"/>
      <w:bookmarkEnd w:id="10"/>
      <w:bookmarkEnd w:id="11"/>
      <w:bookmarkEnd w:id="12"/>
      <w:bookmarkEnd w:id="13"/>
      <w:bookmarkEnd w:id="14"/>
      <w:bookmarkEnd w:id="15"/>
      <w:bookmarkEnd w:id="16"/>
    </w:p>
    <w:tbl>
      <w:tblPr>
        <w:tblW w:w="6513" w:type="dxa"/>
        <w:jc w:val="left"/>
        <w:tblInd w:w="0" w:type="dxa"/>
        <w:tblLayout w:type="fixed"/>
        <w:tblCellMar>
          <w:top w:w="0" w:type="dxa"/>
          <w:left w:w="0" w:type="dxa"/>
          <w:bottom w:w="0" w:type="dxa"/>
          <w:right w:w="0" w:type="dxa"/>
        </w:tblCellMar>
      </w:tblPr>
      <w:tblGrid>
        <w:gridCol w:w="3676"/>
        <w:gridCol w:w="1186"/>
        <w:gridCol w:w="1651"/>
      </w:tblGrid>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1-13905</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57-0981653</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448-1400</w:t>
      </w:r>
    </w:p>
    <w:p>
      <w:pPr>
        <w:pStyle w:val="TextBody"/>
        <w:bidi w:val="0"/>
        <w:spacing w:before="0" w:after="240"/>
        <w:ind w:left="0" w:right="0" w:hanging="0"/>
        <w:jc w:val="both"/>
        <w:rPr/>
      </w:pPr>
      <w:r>
        <w:rPr/>
        <w:t>​</w:t>
      </w:r>
    </w:p>
    <w:tbl>
      <w:tblPr>
        <w:tblW w:w="5289" w:type="dxa"/>
        <w:jc w:val="left"/>
        <w:tblInd w:w="0" w:type="dxa"/>
        <w:tblLayout w:type="fixed"/>
        <w:tblCellMar>
          <w:top w:w="0" w:type="dxa"/>
          <w:left w:w="0" w:type="dxa"/>
          <w:bottom w:w="0" w:type="dxa"/>
          <w:right w:w="0" w:type="dxa"/>
        </w:tblCellMar>
      </w:tblPr>
      <w:tblGrid>
        <w:gridCol w:w="124"/>
        <w:gridCol w:w="5011"/>
        <w:gridCol w:w="154"/>
      </w:tblGrid>
      <w:tr>
        <w:trPr/>
        <w:tc>
          <w:tcPr>
            <w:tcW w:w="124" w:type="dxa"/>
            <w:tcBorders/>
            <w:vAlign w:val="center"/>
          </w:tcPr>
          <w:p>
            <w:pPr>
              <w:pStyle w:val="TableContents"/>
              <w:bidi w:val="0"/>
              <w:spacing w:before="0" w:after="240"/>
              <w:ind w:left="0" w:right="0" w:hanging="0"/>
              <w:jc w:val="center"/>
              <w:rPr/>
            </w:pPr>
            <w:r>
              <w:rPr/>
              <w:t>​</w:t>
            </w:r>
          </w:p>
        </w:tc>
        <w:tc>
          <w:tcPr>
            <w:tcW w:w="5011"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center"/>
              <w:rPr/>
            </w:pPr>
            <w:r>
              <w:rPr/>
              <w:t>​</w:t>
            </w:r>
          </w:p>
        </w:tc>
      </w:tr>
      <w:tr>
        <w:trPr/>
        <w:tc>
          <w:tcPr>
            <w:tcW w:w="124" w:type="dxa"/>
            <w:tcBorders/>
            <w:vAlign w:val="center"/>
          </w:tcPr>
          <w:p>
            <w:pPr>
              <w:pStyle w:val="TableContents"/>
              <w:bidi w:val="0"/>
              <w:spacing w:before="0" w:after="240"/>
              <w:ind w:left="0" w:right="0" w:hanging="0"/>
              <w:jc w:val="center"/>
              <w:rPr/>
            </w:pPr>
            <w:r>
              <w:rPr/>
              <w:t>​</w:t>
            </w:r>
          </w:p>
        </w:tc>
        <w:tc>
          <w:tcPr>
            <w:tcW w:w="50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xlfkIqidyUy9cWNPF-dsiw_6_1"/>
      <w:bookmarkStart w:id="18" w:name="Tc_5ZsG67d-30uJBhiWOjHY3g_4_1"/>
      <w:bookmarkStart w:id="19" w:name="Tc_Z6SUZtCoQE6EGqoAlroFzQ_2_1"/>
      <w:bookmarkStart w:id="20" w:name="Tc_NTPkaMNvNUSKLsFYPQNbWA_0_1"/>
      <w:bookmarkStart w:id="21" w:name="_03f466d9_c487_4fb9_bacb_2fc3efc44005"/>
      <w:bookmarkStart w:id="22" w:name="Tc_xlfkIqidyUy9cWNPF-dsiw_6_1"/>
      <w:bookmarkStart w:id="23" w:name="Tc_5ZsG67d-30uJBhiWOjHY3g_4_1"/>
      <w:bookmarkStart w:id="24" w:name="Tc_Z6SUZtCoQE6EGqoAlroFzQ_2_1"/>
      <w:bookmarkStart w:id="25" w:name="Tc_NTPkaMNvNUSKLsFYPQNbWA_0_1"/>
      <w:bookmarkStart w:id="26" w:name="_03f466d9_c487_4fb9_bacb_2fc3efc44005"/>
      <w:bookmarkEnd w:id="22"/>
      <w:bookmarkEnd w:id="23"/>
      <w:bookmarkEnd w:id="24"/>
      <w:bookmarkEnd w:id="25"/>
      <w:bookmarkEnd w:id="26"/>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both"/>
        <w:rPr/>
      </w:pPr>
      <w:r>
        <w:rPr/>
        <w:t>​</w:t>
      </w:r>
    </w:p>
    <w:tbl>
      <w:tblPr>
        <w:tblW w:w="6755" w:type="dxa"/>
        <w:jc w:val="left"/>
        <w:tblInd w:w="0" w:type="dxa"/>
        <w:tblLayout w:type="fixed"/>
        <w:tblCellMar>
          <w:top w:w="0" w:type="dxa"/>
          <w:left w:w="0" w:type="dxa"/>
          <w:bottom w:w="28" w:type="dxa"/>
          <w:right w:w="0" w:type="dxa"/>
        </w:tblCellMar>
      </w:tblPr>
      <w:tblGrid>
        <w:gridCol w:w="1921"/>
        <w:gridCol w:w="346"/>
        <w:gridCol w:w="826"/>
        <w:gridCol w:w="346"/>
        <w:gridCol w:w="3316"/>
      </w:tblGrid>
      <w:tr>
        <w:trPr/>
        <w:tc>
          <w:tcPr>
            <w:tcW w:w="19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2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 par value per share)</w:t>
            </w:r>
          </w:p>
        </w:tc>
        <w:tc>
          <w:tcPr>
            <w:tcW w:w="346" w:type="dxa"/>
            <w:tcBorders/>
            <w:tcMar>
              <w:bottom w:w="0" w:type="dxa"/>
            </w:tcMar>
            <w:vAlign w:val="center"/>
          </w:tcPr>
          <w:p>
            <w:pPr>
              <w:pStyle w:val="TableContents"/>
              <w:bidi w:val="0"/>
              <w:spacing w:before="0" w:after="240"/>
              <w:ind w:left="0" w:right="0" w:hanging="0"/>
              <w:jc w:val="center"/>
              <w:rPr/>
            </w:pPr>
            <w:r>
              <w:rP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CIX</w:t>
            </w:r>
          </w:p>
        </w:tc>
        <w:tc>
          <w:tcPr>
            <w:tcW w:w="346" w:type="dxa"/>
            <w:tcBorders/>
            <w:tcMar>
              <w:bottom w:w="0" w:type="dxa"/>
            </w:tcMar>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ind w:left="600" w:right="600" w:hanging="0"/>
        <w:jc w:val="left"/>
        <w:rPr>
          <w:sz w:val="4"/>
          <w:szCs w:val="4"/>
        </w:rPr>
      </w:pPr>
      <w:r>
        <w:rPr>
          <w:sz w:val="4"/>
          <w:szCs w:val="4"/>
        </w:rPr>
      </w:r>
      <w:bookmarkStart w:id="27" w:name="_3090df65_8070_4a61_8d10_5cb1cc0852d0"/>
      <w:bookmarkStart w:id="28" w:name="_3090df65_8070_4a61_8d10_5cb1cc0852d0"/>
      <w:bookmarkEnd w:id="28"/>
    </w:p>
    <w:tbl>
      <w:tblPr>
        <w:tblW w:w="4889" w:type="dxa"/>
        <w:jc w:val="left"/>
        <w:tblInd w:w="0" w:type="dxa"/>
        <w:tblLayout w:type="fixed"/>
        <w:tblCellMar>
          <w:top w:w="0" w:type="dxa"/>
          <w:left w:w="0" w:type="dxa"/>
          <w:bottom w:w="0" w:type="dxa"/>
          <w:right w:w="0" w:type="dxa"/>
        </w:tblCellMar>
      </w:tblPr>
      <w:tblGrid>
        <w:gridCol w:w="898"/>
        <w:gridCol w:w="3991"/>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2.02</w:t>
            </w:r>
          </w:p>
        </w:tc>
        <w:tc>
          <w:tcPr>
            <w:tcW w:w="399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Results of Operations and Financial Condition.</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“CompX Reports Second Quarter 2026 Results” that the registrant issued on August 4, 2026, a copy of which is attached hereto as Exhibit 99.1 and incorporated herein by reference.</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w:t>
      </w:r>
      <w:r>
        <w:rPr>
          <w:rFonts w:ascii="Times New Roman;Times;serif" w:hAnsi="Times New Roman;Times;serif"/>
          <w:spacing w:val="-3"/>
          <w:sz w:val="20"/>
        </w:rPr>
        <w:t>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bidi w:val="0"/>
        <w:spacing w:before="0" w:after="0"/>
        <w:ind w:left="0" w:right="0" w:firstLine="720"/>
        <w:jc w:val="both"/>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rFonts w:ascii="Times New Roman;Times;serif" w:hAnsi="Times New Roman;Times;serif"/>
          <w:b/>
          <w:sz w:val="20"/>
        </w:rPr>
      </w:pPr>
      <w:bookmarkStart w:id="29" w:name="_485d696c_c13c_41a5_94e9_1f0387fa9abf"/>
      <w:bookmarkEnd w:id="29"/>
      <w:r>
        <w:rPr>
          <w:rFonts w:ascii="Times New Roman;Times;serif" w:hAnsi="Times New Roman;Times;serif"/>
          <w:b/>
          <w:sz w:val="20"/>
        </w:rPr>
        <w:t>Item 7.01 Regulation FD Disclosure</w:t>
      </w:r>
    </w:p>
    <w:p>
      <w:pPr>
        <w:pStyle w:val="TextBody"/>
        <w:pBdr/>
        <w:bidi w:val="0"/>
        <w:spacing w:before="0" w:after="0"/>
        <w:ind w:left="0" w:right="0" w:hanging="144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pacing w:val="-3"/>
          <w:sz w:val="20"/>
        </w:rPr>
        <w:t>The registrant hereby furnishes the information set forth in its press release entitled “CompX</w:t>
      </w:r>
      <w:r>
        <w:rPr>
          <w:rFonts w:ascii="Times New Roman;Times;serif" w:hAnsi="Times New Roman;Times;serif"/>
          <w:sz w:val="20"/>
        </w:rPr>
        <w:t xml:space="preserve"> Declares Regular Quarterly Dividend</w:t>
      </w:r>
      <w:r>
        <w:rPr>
          <w:rFonts w:ascii="Times New Roman;Times;serif" w:hAnsi="Times New Roman;Times;serif"/>
          <w:spacing w:val="-3"/>
          <w:sz w:val="20"/>
        </w:rPr>
        <w:t xml:space="preserve">” that the registrant also </w:t>
      </w:r>
      <w:r>
        <w:rPr>
          <w:rFonts w:ascii="Times New Roman;Times;serif" w:hAnsi="Times New Roman;Times;serif"/>
          <w:sz w:val="20"/>
        </w:rPr>
        <w:t>issued on August 4, 2026, a copy of which is attached hereto as Exhibit 99.2 and incorporated herein by reference.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99.2 to this current report is not “filed” for purposes of section 18 of the Securities Exchange Act of 1934, as amended, or otherwise subject to the liabilities of that section.  Registration statements or other documents filed with the </w:t>
      </w:r>
      <w:r>
        <w:rPr>
          <w:rFonts w:ascii="Times New Roman;Times;serif" w:hAnsi="Times New Roman;Times;serif"/>
          <w:spacing w:val="-3"/>
          <w:sz w:val="20"/>
        </w:rPr>
        <w:t xml:space="preserve">U.S. </w:t>
      </w:r>
      <w:r>
        <w:rPr>
          <w:rFonts w:ascii="Times New Roman;Times;serif" w:hAnsi="Times New Roman;Times;serif"/>
          <w:sz w:val="20"/>
        </w:rPr>
        <w:t>Securities and Exchange Commission shall not incorporate this information by reference, except as otherwise expressly stated in such filing.</w:t>
      </w:r>
    </w:p>
    <w:p>
      <w:pPr>
        <w:pStyle w:val="TextBody"/>
        <w:bidi w:val="0"/>
        <w:spacing w:before="0" w:after="0"/>
        <w:ind w:left="0" w:right="0" w:firstLine="720"/>
        <w:jc w:val="both"/>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30" w:name="_211225b1_15c3_4785_960a_dba95c9d90e8"/>
      <w:bookmarkStart w:id="31" w:name="_211225b1_15c3_4785_960a_dba95c9d90e8"/>
      <w:bookmarkEnd w:id="31"/>
    </w:p>
    <w:tbl>
      <w:tblPr>
        <w:tblW w:w="3893" w:type="dxa"/>
        <w:jc w:val="left"/>
        <w:tblInd w:w="0" w:type="dxa"/>
        <w:tblLayout w:type="fixed"/>
        <w:tblCellMar>
          <w:top w:w="0" w:type="dxa"/>
          <w:left w:w="0" w:type="dxa"/>
          <w:bottom w:w="0" w:type="dxa"/>
          <w:right w:w="0" w:type="dxa"/>
        </w:tblCellMar>
      </w:tblPr>
      <w:tblGrid>
        <w:gridCol w:w="898"/>
        <w:gridCol w:w="2995"/>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9.01</w:t>
            </w:r>
          </w:p>
        </w:tc>
        <w:tc>
          <w:tcPr>
            <w:tcW w:w="2995"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Financial Statements and Exhibits.</w:t>
            </w:r>
          </w:p>
        </w:tc>
      </w:tr>
    </w:tbl>
    <w:p>
      <w:pPr>
        <w:pStyle w:val="TextBody"/>
        <w:pBdr/>
        <w:bidi w:val="0"/>
        <w:spacing w:before="0" w:after="0"/>
        <w:ind w:left="0" w:right="0" w:hanging="1620"/>
        <w:jc w:val="left"/>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337"/>
        <w:gridCol w:w="807"/>
        <w:gridCol w:w="109"/>
        <w:gridCol w:w="8952"/>
      </w:tblGrid>
      <w:tr>
        <w:trPr/>
        <w:tc>
          <w:tcPr>
            <w:tcW w:w="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0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33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Exhibits</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spacing w:val="-3"/>
              </w:rPr>
            </w:pPr>
            <w:r>
              <w:rPr>
                <w:spacing w:val="-3"/>
              </w:rPr>
              <w:t>​</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spacing w:val="-3"/>
              </w:rPr>
            </w:pPr>
            <w:r>
              <w:rPr>
                <w:spacing w:val="-3"/>
              </w:rPr>
              <w:t>​</w:t>
            </w:r>
          </w:p>
        </w:tc>
      </w:tr>
      <w:tr>
        <w:trPr/>
        <w:tc>
          <w:tcPr>
            <w:tcW w:w="337" w:type="dxa"/>
            <w:tcBorders/>
            <w:vAlign w:val="center"/>
          </w:tcPr>
          <w:p>
            <w:pPr>
              <w:pStyle w:val="TableContents"/>
              <w:bidi w:val="0"/>
              <w:spacing w:before="0" w:after="0"/>
              <w:ind w:left="0" w:right="0" w:hanging="0"/>
              <w:jc w:val="center"/>
              <w:rPr>
                <w:spacing w:val="-3"/>
              </w:rPr>
            </w:pPr>
            <w:r>
              <w:rPr>
                <w:spacing w:val="-3"/>
              </w:rPr>
              <w:t>​</w:t>
            </w:r>
          </w:p>
        </w:tc>
        <w:tc>
          <w:tcPr>
            <w:tcW w:w="807"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Item No.</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Description</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spacing w:val="-3"/>
              </w:rPr>
            </w:pPr>
            <w:r>
              <w:rPr>
                <w:spacing w:val="-3"/>
              </w:rPr>
              <w:t>​</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99.1</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both"/>
              <w:rPr/>
            </w:pPr>
            <w:hyperlink w:anchor="cix-20260804xex99d1.htm">
              <w:r>
                <w:rPr>
                  <w:rStyle w:val="InternetLink"/>
                  <w:rFonts w:ascii="Times New Roman;Times;serif" w:hAnsi="Times New Roman;Times;serif"/>
                  <w:b w:val="false"/>
                  <w:i w:val="false"/>
                  <w:caps w:val="false"/>
                  <w:smallCaps w:val="false"/>
                  <w:sz w:val="20"/>
                </w:rPr>
                <w:t xml:space="preserve">Press release dated August 4, 2026 </w:t>
              </w:r>
            </w:hyperlink>
            <w:hyperlink w:anchor="cix-20260804xex99d1.htm">
              <w:r>
                <w:rPr>
                  <w:rStyle w:val="InternetLink"/>
                  <w:rFonts w:ascii="Times New Roman;Times;serif" w:hAnsi="Times New Roman;Times;serif"/>
                  <w:b w:val="false"/>
                  <w:i w:val="false"/>
                  <w:caps w:val="false"/>
                  <w:smallCaps w:val="false"/>
                  <w:spacing w:val="-3"/>
                  <w:sz w:val="20"/>
                </w:rPr>
                <w:t xml:space="preserve">entitled “CompX Reports Second Quarter 2026 Results” and </w:t>
              </w:r>
            </w:hyperlink>
            <w:hyperlink w:anchor="cix-20260804xex99d1.htm">
              <w:r>
                <w:rPr>
                  <w:rStyle w:val="InternetLink"/>
                  <w:rFonts w:ascii="Times New Roman;Times;serif" w:hAnsi="Times New Roman;Times;serif"/>
                  <w:b w:val="false"/>
                  <w:i w:val="false"/>
                  <w:caps w:val="false"/>
                  <w:smallCaps w:val="false"/>
                  <w:sz w:val="20"/>
                </w:rPr>
                <w:t>issued by the registrant.</w:t>
              </w:r>
            </w:hyperlink>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spacing w:val="-3"/>
              </w:rPr>
            </w:pPr>
            <w:r>
              <w:rPr>
                <w:spacing w:val="-3"/>
              </w:rPr>
              <w:t>​</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99.2</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pPr>
            <w:hyperlink w:anchor="cix-20260804xex99d2.htm">
              <w:r>
                <w:rPr>
                  <w:rStyle w:val="InternetLink"/>
                  <w:rFonts w:ascii="Times New Roman;Times;serif" w:hAnsi="Times New Roman;Times;serif"/>
                  <w:b w:val="false"/>
                  <w:i w:val="false"/>
                  <w:caps w:val="false"/>
                  <w:smallCaps w:val="false"/>
                  <w:spacing w:val="-3"/>
                  <w:sz w:val="20"/>
                </w:rPr>
                <w:t>Press release dated August 4, 2026, entitled “CompX Declares Regular Quarterly Dividend” and issued by the registrant.</w:t>
              </w:r>
            </w:hyperlink>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spacing w:val="-3"/>
              </w:rPr>
            </w:pPr>
            <w:r>
              <w:rPr>
                <w:spacing w:val="-3"/>
              </w:rPr>
              <w:t>​</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104</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2" w:name="_1c3a94c7_f3d2_4b3a_bdef_bce220d9eb64"/>
      <w:bookmarkEnd w:id="32"/>
      <w:r>
        <w:rPr>
          <w:rFonts w:ascii="Times New Roman;Times;serif" w:hAnsi="Times New Roman;Times;serif"/>
          <w:b/>
          <w:sz w:val="20"/>
        </w:rPr>
        <w:t>SIGNATURE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center"/>
        <w:rPr/>
      </w:pPr>
      <w:r>
        <w:rPr/>
        <w:t>​</w:t>
      </w:r>
    </w:p>
    <w:tbl>
      <w:tblPr>
        <w:tblW w:w="5253" w:type="dxa"/>
        <w:jc w:val="left"/>
        <w:tblInd w:w="0" w:type="dxa"/>
        <w:tblLayout w:type="fixed"/>
        <w:tblCellMar>
          <w:top w:w="0" w:type="dxa"/>
          <w:left w:w="0" w:type="dxa"/>
          <w:bottom w:w="0" w:type="dxa"/>
          <w:right w:w="0" w:type="dxa"/>
        </w:tblCellMar>
      </w:tblPr>
      <w:tblGrid>
        <w:gridCol w:w="1846"/>
        <w:gridCol w:w="406"/>
        <w:gridCol w:w="3001"/>
      </w:tblGrid>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Amy A. Samford</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3" w:name="cix-20260804xex99d1.htm"/>
      <w:bookmarkStart w:id="34" w:name="kscix20260804xex99d1"/>
      <w:bookmarkStart w:id="35" w:name="cix-20260804xex99d1.htm"/>
      <w:bookmarkStart w:id="36" w:name="kscix20260804xex99d1"/>
      <w:bookmarkEnd w:id="35"/>
      <w:bookmarkEnd w:id="36"/>
      <w:r>
        <w:br w:type="page"/>
      </w:r>
    </w:p>
    <w:tbl>
      <w:tblPr>
        <w:tblW w:w="4420" w:type="dxa"/>
        <w:jc w:val="left"/>
        <w:tblInd w:w="0" w:type="dxa"/>
        <w:tblLayout w:type="fixed"/>
        <w:tblCellMar>
          <w:top w:w="0" w:type="dxa"/>
          <w:left w:w="0" w:type="dxa"/>
          <w:bottom w:w="0" w:type="dxa"/>
          <w:right w:w="0" w:type="dxa"/>
        </w:tblCellMar>
      </w:tblPr>
      <w:tblGrid>
        <w:gridCol w:w="4420"/>
      </w:tblGrid>
      <w:tr>
        <w:trPr/>
        <w:tc>
          <w:tcPr>
            <w:tcW w:w="4420" w:type="dxa"/>
            <w:tcBorders/>
            <w:vAlign w:val="center"/>
          </w:tcPr>
          <w:p>
            <w:pPr>
              <w:pStyle w:val="TableContents"/>
              <w:bidi w:val="0"/>
              <w:spacing w:before="0" w:after="0"/>
              <w:ind w:left="0" w:right="0" w:hanging="0"/>
              <w:jc w:val="right"/>
              <w:rPr/>
            </w:pPr>
            <w:r>
              <w:rPr/>
              <w:t>​</w:t>
            </w:r>
          </w:p>
        </w:tc>
      </w:tr>
      <w:tr>
        <w:trPr/>
        <w:tc>
          <w:tcPr>
            <w:tcW w:w="4420"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30"/>
        </w:rPr>
      </w:pPr>
      <w:r>
        <w:rPr>
          <w:rFonts w:ascii="Times New Roman;Times;serif" w:hAnsi="Times New Roman;Times;serif"/>
          <w:b/>
          <w:sz w:val="30"/>
        </w:rPr>
        <w:t>COMPX REPORTS SECOND QUARTER 2026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DALLAS, TEXAS </w:t>
      </w:r>
      <w:r>
        <w:rPr>
          <w:rFonts w:ascii="Times New Roman;Times;serif" w:hAnsi="Times New Roman;Times;serif"/>
          <w:sz w:val="20"/>
        </w:rPr>
        <w:t xml:space="preserve">… </w:t>
      </w:r>
      <w:r>
        <w:rPr>
          <w:rFonts w:ascii="Times New Roman;Times;serif" w:hAnsi="Times New Roman;Times;serif"/>
          <w:sz w:val="24"/>
        </w:rPr>
        <w:t xml:space="preserve">August 4, 2026 </w:t>
      </w:r>
      <w:r>
        <w:rPr>
          <w:rFonts w:ascii="Times New Roman;Times;serif" w:hAnsi="Times New Roman;Times;serif"/>
          <w:sz w:val="20"/>
        </w:rPr>
        <w:t xml:space="preserve">… </w:t>
      </w:r>
      <w:r>
        <w:rPr>
          <w:rFonts w:ascii="Times New Roman;Times;serif" w:hAnsi="Times New Roman;Times;serif"/>
          <w:sz w:val="24"/>
        </w:rPr>
        <w:t xml:space="preserve">CompX International Inc. (NYSE American: CIX) announced today net sales of $43.6 million for the second quarter of 2026 compared to $40.3 million in the same period of 2025. Operating income was $8.9 million in the second quarter of 2026 compared to $6.3 million in the same period of 2025. Net income was $7.2 million, or $.59 per basic and diluted common share, for the second quarter of 2026 compared to $5.5 million, or $.44 per basic and diluted common share, in the same period of 2025.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For the six months ended June 30, 2026, net sales were $84.2 million compared to $80.6 million in the previous year. Operating income was $16.0 million for the first six months of 2026 compared to $12.2 million for the same period in 2025. Net income for the six months ended June 30, 2026, was $13.1 million, or $1.06 per basic and diluted common share, compared to $10.6 million, or $.86 per basic and diluted common share, for the same period in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Second quarter and year-to-date 2026 net sales increased over the comparable 2025 periods due to higher Security Products sales across a variety of markets including the healthcare, transportation, tool storage and distributor markets and higher Marine Components sales to the industrial market. Operating income increased in the second quarter and for the first six months of 2026 compared to the same periods in 2025 due to higher sales and gross margin predominantly at the Security Products segment and to a lesser extent the Marine Components segment.</w:t>
      </w:r>
    </w:p>
    <w:p>
      <w:pPr>
        <w:pStyle w:val="TextBody"/>
        <w:bidi w:val="0"/>
        <w:spacing w:before="240" w:after="240"/>
        <w:ind w:left="0" w:right="0" w:hanging="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 It operates from three locations in the U.S. and employs approximately 590 people.</w:t>
      </w:r>
    </w:p>
    <w:p>
      <w:pPr>
        <w:pStyle w:val="TextBody"/>
        <w:bidi w:val="0"/>
        <w:spacing w:before="240" w:after="240"/>
        <w:ind w:left="0" w:right="0" w:hanging="0"/>
        <w:jc w:val="left"/>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The statements in this press release relating to matters that are not historical facts are forward-looking statements that represent management</w:t>
      </w:r>
      <w:r>
        <w:rPr>
          <w:rFonts w:ascii="Times New Roman;Times;serif" w:hAnsi="Times New Roman;Times;serif"/>
          <w:sz w:val="20"/>
        </w:rPr>
        <w:t>’</w:t>
      </w:r>
      <w:r>
        <w:rPr>
          <w:rFonts w:ascii="Times New Roman;Times;serif" w:hAnsi="Times New Roman;Times;serif"/>
          <w:sz w:val="24"/>
        </w:rPr>
        <w:t xml:space="preserve">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The factors that could cause our actual future results to differ materially include, but are not limited to, the following:</w:t>
      </w:r>
    </w:p>
    <w:tbl>
      <w:tblPr>
        <w:tblW w:w="4368" w:type="dxa"/>
        <w:jc w:val="left"/>
        <w:tblInd w:w="0" w:type="dxa"/>
        <w:tblLayout w:type="fixed"/>
        <w:tblCellMar>
          <w:top w:w="0" w:type="dxa"/>
          <w:left w:w="0" w:type="dxa"/>
          <w:bottom w:w="0" w:type="dxa"/>
          <w:right w:w="0" w:type="dxa"/>
        </w:tblCellMar>
      </w:tblPr>
      <w:tblGrid>
        <w:gridCol w:w="23"/>
        <w:gridCol w:w="170"/>
        <w:gridCol w:w="4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Future supply and demand for our products;</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in our raw material and other operating costs (such as zinc, brass, aluminum, steel and energy costs), including as a result of additional or changed tariffs on imported raw materials, and our ability to pass those costs on to our customers or offset them with reductions in other operating costs;</w:t>
            </w:r>
          </w:p>
        </w:tc>
      </w:tr>
    </w:tbl>
    <w:tbl>
      <w:tblPr>
        <w:tblW w:w="8208" w:type="dxa"/>
        <w:jc w:val="left"/>
        <w:tblInd w:w="0" w:type="dxa"/>
        <w:tblLayout w:type="fixed"/>
        <w:tblCellMar>
          <w:top w:w="0" w:type="dxa"/>
          <w:left w:w="0" w:type="dxa"/>
          <w:bottom w:w="0" w:type="dxa"/>
          <w:right w:w="0" w:type="dxa"/>
        </w:tblCellMar>
      </w:tblPr>
      <w:tblGrid>
        <w:gridCol w:w="23"/>
        <w:gridCol w:w="170"/>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Price and product competition from low-cost manufacturing sources (such as China);</w:t>
            </w:r>
          </w:p>
        </w:tc>
      </w:tr>
    </w:tbl>
    <w:tbl>
      <w:tblPr>
        <w:tblW w:w="4728" w:type="dxa"/>
        <w:jc w:val="left"/>
        <w:tblInd w:w="0" w:type="dxa"/>
        <w:tblLayout w:type="fixed"/>
        <w:tblCellMar>
          <w:top w:w="0" w:type="dxa"/>
          <w:left w:w="0" w:type="dxa"/>
          <w:bottom w:w="0" w:type="dxa"/>
          <w:right w:w="0" w:type="dxa"/>
        </w:tblCellMar>
      </w:tblPr>
      <w:tblGrid>
        <w:gridCol w:w="23"/>
        <w:gridCol w:w="170"/>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impact of pricing and production decisions;</w:t>
            </w:r>
          </w:p>
        </w:tc>
      </w:tr>
    </w:tbl>
    <w:tbl>
      <w:tblPr>
        <w:tblW w:w="6348" w:type="dxa"/>
        <w:jc w:val="left"/>
        <w:tblInd w:w="0" w:type="dxa"/>
        <w:tblLayout w:type="fixed"/>
        <w:tblCellMar>
          <w:top w:w="0" w:type="dxa"/>
          <w:left w:w="0" w:type="dxa"/>
          <w:bottom w:w="0" w:type="dxa"/>
          <w:right w:w="0" w:type="dxa"/>
        </w:tblCellMar>
      </w:tblPr>
      <w:tblGrid>
        <w:gridCol w:w="23"/>
        <w:gridCol w:w="170"/>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Customer and competitor strategies including substitute products;</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ability to retain key customers;</w:t>
            </w:r>
          </w:p>
        </w:tc>
      </w:tr>
    </w:tbl>
    <w:tbl>
      <w:tblPr>
        <w:tblW w:w="9858" w:type="dxa"/>
        <w:jc w:val="left"/>
        <w:tblInd w:w="0" w:type="dxa"/>
        <w:tblLayout w:type="fixed"/>
        <w:tblCellMar>
          <w:top w:w="0" w:type="dxa"/>
          <w:left w:w="0" w:type="dxa"/>
          <w:bottom w:w="0" w:type="dxa"/>
          <w:right w:w="0" w:type="dxa"/>
        </w:tblCellMar>
      </w:tblPr>
      <w:tblGrid>
        <w:gridCol w:w="23"/>
        <w:gridCol w:w="17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Uncertainties associated with new product development and the development of new product features;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Pending or possible future litigation (such as litigation related to our use of certain permitted chemicals in our production process) or other actions;</w:t>
            </w:r>
          </w:p>
        </w:tc>
      </w:tr>
    </w:tbl>
    <w:tbl>
      <w:tblPr>
        <w:tblW w:w="6093" w:type="dxa"/>
        <w:jc w:val="left"/>
        <w:tblInd w:w="0" w:type="dxa"/>
        <w:tblLayout w:type="fixed"/>
        <w:tblCellMar>
          <w:top w:w="0" w:type="dxa"/>
          <w:left w:w="0" w:type="dxa"/>
          <w:bottom w:w="0" w:type="dxa"/>
          <w:right w:w="0" w:type="dxa"/>
        </w:tblCellMar>
      </w:tblPr>
      <w:tblGrid>
        <w:gridCol w:w="23"/>
        <w:gridCol w:w="170"/>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ability to protect or defend our intellectual property rights;</w:t>
            </w:r>
          </w:p>
        </w:tc>
      </w:tr>
    </w:tbl>
    <w:tbl>
      <w:tblPr>
        <w:tblW w:w="7593" w:type="dxa"/>
        <w:jc w:val="left"/>
        <w:tblInd w:w="0" w:type="dxa"/>
        <w:tblLayout w:type="fixed"/>
        <w:tblCellMar>
          <w:top w:w="0" w:type="dxa"/>
          <w:left w:w="0" w:type="dxa"/>
          <w:bottom w:w="0" w:type="dxa"/>
          <w:right w:w="0" w:type="dxa"/>
        </w:tblCellMar>
      </w:tblPr>
      <w:tblGrid>
        <w:gridCol w:w="23"/>
        <w:gridCol w:w="170"/>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Decisions to sell operating assets other than in the ordinary course of business;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Environmental matters (such as those requiring emission and discharge standards for existing and new facilities);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ultimate outcome of income tax audits, tax settlement initiatives or other tax matters, including future tax reform;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Operating interruptions (including, but not limited to, labor disputes, leaks, natural disasters, fires, explosions, unscheduled or unplanned downtime, transportation interruptions, certain regional and world events or economic conditions and public health crises);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introduction of new, or changes in existing, tariffs, trade barriers or trade disputes (including tariffs imposed by the U.S. government on imports from China and Mexico);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Technology related disruptions (including, but not limited to, cyber 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Possible disruption of our business or increases in the cost of doing business resulting from terrorist activities or global conflicts.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4"/>
        </w:rPr>
      </w:pPr>
      <w:r>
        <w:rPr>
          <w:rFonts w:ascii="Times New Roman;Times;serif" w:hAnsi="Times New Roman;Times;serif"/>
          <w:sz w:val="24"/>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COMPX INTERNATIONAL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SUMMARY OF CONSOLIDATED OPERATIONS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millions, except per share amounts)</w:t>
      </w:r>
    </w:p>
    <w:p>
      <w:pPr>
        <w:pStyle w:val="TextBody"/>
        <w:bidi w:val="0"/>
        <w:spacing w:before="0" w:after="0"/>
        <w:ind w:left="0" w:right="0" w:hanging="0"/>
        <w:jc w:val="center"/>
        <w:rPr/>
      </w:pPr>
      <w:r>
        <w:rPr/>
        <w:t>​</w:t>
      </w:r>
    </w:p>
    <w:tbl>
      <w:tblPr>
        <w:tblW w:w="10087" w:type="dxa"/>
        <w:jc w:val="left"/>
        <w:tblInd w:w="0" w:type="dxa"/>
        <w:tblLayout w:type="fixed"/>
        <w:tblCellMar>
          <w:top w:w="0" w:type="dxa"/>
          <w:left w:w="0" w:type="dxa"/>
          <w:bottom w:w="0" w:type="dxa"/>
          <w:right w:w="0" w:type="dxa"/>
        </w:tblCellMar>
      </w:tblPr>
      <w:tblGrid>
        <w:gridCol w:w="5221"/>
        <w:gridCol w:w="346"/>
        <w:gridCol w:w="269"/>
        <w:gridCol w:w="627"/>
        <w:gridCol w:w="412"/>
        <w:gridCol w:w="269"/>
        <w:gridCol w:w="627"/>
        <w:gridCol w:w="346"/>
        <w:gridCol w:w="226"/>
        <w:gridCol w:w="526"/>
        <w:gridCol w:w="346"/>
        <w:gridCol w:w="226"/>
        <w:gridCol w:w="646"/>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315335" cy="175260"/>
                      <wp:effectExtent l="0" t="0" r="0" b="0"/>
                      <wp:wrapNone/>
                      <wp:docPr id="2" name="Frame1"/>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70815" cy="175260"/>
                      <wp:effectExtent l="0" t="0" r="0" b="0"/>
                      <wp:wrapNone/>
                      <wp:docPr id="4" name="Frame3"/>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98145" cy="175260"/>
                      <wp:effectExtent l="0" t="0" r="0" b="0"/>
                      <wp:wrapNone/>
                      <wp:docPr id="5" name="Frame4"/>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61620" cy="175260"/>
                      <wp:effectExtent l="0" t="0" r="0" b="0"/>
                      <wp:wrapNone/>
                      <wp:docPr id="6" name="Frame5"/>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70815" cy="175260"/>
                      <wp:effectExtent l="0" t="0" r="0" b="0"/>
                      <wp:wrapNone/>
                      <wp:docPr id="7" name="Frame6"/>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98145" cy="175260"/>
                      <wp:effectExtent l="0" t="0" r="0" b="0"/>
                      <wp:wrapNone/>
                      <wp:docPr id="8" name="Frame7"/>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43510" cy="175260"/>
                      <wp:effectExtent l="0" t="0" r="0" b="0"/>
                      <wp:wrapNone/>
                      <wp:docPr id="10" name="Frame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34010" cy="175260"/>
                      <wp:effectExtent l="0" t="0" r="0" b="0"/>
                      <wp:wrapNone/>
                      <wp:docPr id="11" name="Frame1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3510" cy="175260"/>
                      <wp:effectExtent l="0" t="0" r="0" b="0"/>
                      <wp:wrapNone/>
                      <wp:docPr id="13" name="Frame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10210" cy="175260"/>
                      <wp:effectExtent l="0" t="0" r="0" b="0"/>
                      <wp:wrapNone/>
                      <wp:docPr id="14" name="Frame1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204"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Three months ended</w:t>
            </w:r>
          </w:p>
        </w:tc>
        <w:tc>
          <w:tcPr>
            <w:tcW w:w="346" w:type="dxa"/>
            <w:tcBorders/>
            <w:vAlign w:val="center"/>
          </w:tcPr>
          <w:p>
            <w:pPr>
              <w:pStyle w:val="TableContents"/>
              <w:bidi w:val="0"/>
              <w:spacing w:before="0" w:after="0"/>
              <w:ind w:left="0" w:right="0" w:hanging="0"/>
              <w:jc w:val="left"/>
              <w:rPr/>
            </w:pPr>
            <w:r>
              <w:rPr/>
              <w:t>  ​ ​ ​</w:t>
            </w:r>
          </w:p>
        </w:tc>
        <w:tc>
          <w:tcPr>
            <w:tcW w:w="1970"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Six months ended</w:t>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June 30,</w:t>
            </w:r>
          </w:p>
        </w:tc>
        <w:tc>
          <w:tcPr>
            <w:tcW w:w="346" w:type="dxa"/>
            <w:tcBorders/>
            <w:vAlign w:val="center"/>
          </w:tcPr>
          <w:p>
            <w:pPr>
              <w:pStyle w:val="TableContents"/>
              <w:bidi w:val="0"/>
              <w:spacing w:before="0" w:after="0"/>
              <w:ind w:left="0" w:right="0" w:hanging="0"/>
              <w:jc w:val="left"/>
              <w:rPr/>
            </w:pPr>
            <w:r>
              <w:rPr/>
              <w:t>​</w:t>
            </w:r>
          </w:p>
        </w:tc>
        <w:tc>
          <w:tcPr>
            <w:tcW w:w="19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June 30,</w:t>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2025</w:t>
            </w:r>
          </w:p>
        </w:tc>
        <w:tc>
          <w:tcPr>
            <w:tcW w:w="412" w:type="dxa"/>
            <w:tcBorders/>
            <w:vAlign w:val="center"/>
          </w:tcPr>
          <w:p>
            <w:pPr>
              <w:pStyle w:val="TableContents"/>
              <w:bidi w:val="0"/>
              <w:spacing w:before="0" w:after="0"/>
              <w:ind w:left="0" w:right="0" w:hanging="0"/>
              <w:jc w:val="left"/>
              <w:rPr/>
            </w:pPr>
            <w:r>
              <w:rPr/>
              <w:t>  ​ ​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2026</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2025</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2026</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40.3</w:t>
            </w:r>
          </w:p>
        </w:tc>
        <w:tc>
          <w:tcPr>
            <w:tcW w:w="412"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43.6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80.6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84.2</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Cost of sales</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27.4</w:t>
            </w:r>
          </w:p>
        </w:tc>
        <w:tc>
          <w:tcPr>
            <w:tcW w:w="412"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28.1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55.5</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55.4</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12.9</w:t>
            </w:r>
          </w:p>
        </w:tc>
        <w:tc>
          <w:tcPr>
            <w:tcW w:w="412"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15.5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25.1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28.8</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Selling, general and administrative expense</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6.6</w:t>
            </w:r>
          </w:p>
        </w:tc>
        <w:tc>
          <w:tcPr>
            <w:tcW w:w="412"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6.6</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12.9</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12.8</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6.3</w:t>
            </w:r>
          </w:p>
        </w:tc>
        <w:tc>
          <w:tcPr>
            <w:tcW w:w="412"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16.0</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Interest income</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w:t>
            </w:r>
          </w:p>
        </w:tc>
        <w:tc>
          <w:tcPr>
            <w:tcW w:w="412"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.6</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1.3</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7.2</w:t>
            </w:r>
          </w:p>
        </w:tc>
        <w:tc>
          <w:tcPr>
            <w:tcW w:w="412"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 </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9.5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13.9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17.3</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tax expense</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w:t>
            </w:r>
          </w:p>
        </w:tc>
        <w:tc>
          <w:tcPr>
            <w:tcW w:w="412"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2.3</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3.3</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4.2</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5.5</w:t>
            </w:r>
          </w:p>
        </w:tc>
        <w:tc>
          <w:tcPr>
            <w:tcW w:w="412"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7.2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13.1</w:t>
            </w:r>
          </w:p>
        </w:tc>
      </w:tr>
      <w:tr>
        <w:trPr/>
        <w:tc>
          <w:tcPr>
            <w:tcW w:w="5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Basic and diluted net income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.44</w:t>
            </w:r>
          </w:p>
        </w:tc>
        <w:tc>
          <w:tcPr>
            <w:tcW w:w="412"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1.06</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Weighted average diluted common shares outstanding</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12.3</w:t>
            </w:r>
          </w:p>
        </w:tc>
        <w:tc>
          <w:tcPr>
            <w:tcW w:w="412" w:type="dxa"/>
            <w:tcBorders/>
            <w:vAlign w:val="center"/>
          </w:tcPr>
          <w:p>
            <w:pPr>
              <w:pStyle w:val="TableContents"/>
              <w:bidi w:val="0"/>
              <w:spacing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12.3</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12.3</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b/>
                <w:sz w:val="24"/>
              </w:rPr>
            </w:pPr>
            <w:r>
              <w:rPr>
                <w:rFonts w:ascii="Times New Roman;Times;serif" w:hAnsi="Times New Roman;Times;serif"/>
                <w:b/>
                <w:sz w:val="24"/>
              </w:rPr>
              <w:t>12.3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spacing w:val="-2"/>
        </w:rPr>
      </w:pPr>
      <w:bookmarkStart w:id="37" w:name="cix-20260804xex99d2.htm"/>
      <w:bookmarkStart w:id="38" w:name="kscix20260804xex99d2"/>
      <w:bookmarkEnd w:id="37"/>
      <w:bookmarkEnd w:id="38"/>
      <w:r>
        <w:rPr>
          <w:spacing w:val="-2"/>
        </w:rPr>
        <w:t>​</w:t>
      </w:r>
      <w:r>
        <w:br w:type="page"/>
      </w:r>
    </w:p>
    <w:tbl>
      <w:tblPr>
        <w:tblW w:w="7606" w:type="dxa"/>
        <w:jc w:val="left"/>
        <w:tblInd w:w="0" w:type="dxa"/>
        <w:tblLayout w:type="fixed"/>
        <w:tblCellMar>
          <w:top w:w="0" w:type="dxa"/>
          <w:left w:w="0" w:type="dxa"/>
          <w:bottom w:w="0" w:type="dxa"/>
          <w:right w:w="0" w:type="dxa"/>
        </w:tblCellMar>
      </w:tblPr>
      <w:tblGrid>
        <w:gridCol w:w="7606"/>
      </w:tblGrid>
      <w:tr>
        <w:trPr/>
        <w:tc>
          <w:tcPr>
            <w:tcW w:w="7606" w:type="dxa"/>
            <w:tcBorders/>
            <w:vAlign w:val="center"/>
          </w:tcPr>
          <w:p>
            <w:pPr>
              <w:pStyle w:val="TableContents"/>
              <w:bidi w:val="0"/>
              <w:spacing w:before="0" w:after="0"/>
              <w:ind w:left="0" w:right="0" w:hanging="0"/>
              <w:jc w:val="both"/>
              <w:rPr/>
            </w:pPr>
            <w:r>
              <w:rPr/>
              <w:t>                                                                                                                            ​</w:t>
            </w:r>
          </w:p>
        </w:tc>
      </w:tr>
      <w:tr>
        <w:trPr/>
        <w:tc>
          <w:tcPr>
            <w:tcW w:w="7606" w:type="dxa"/>
            <w:tcBorders/>
            <w:vAlign w:val="center"/>
          </w:tcPr>
          <w:p>
            <w:pPr>
              <w:pStyle w:val="TableContents"/>
              <w:bidi w:val="0"/>
              <w:spacing w:before="0" w:after="0"/>
              <w:ind w:left="0" w:right="0" w:hanging="0"/>
              <w:jc w:val="both"/>
              <w:rPr/>
            </w:pPr>
            <w:r>
              <w:rPr/>
              <w:t>​</w:t>
            </w:r>
          </w:p>
        </w:tc>
      </w:tr>
      <w:tr>
        <w:trPr/>
        <w:tc>
          <w:tcPr>
            <w:tcW w:w="7606"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Times New Roman;Times;serif" w:hAnsi="Times New Roman;Times;serif"/>
          <w:b/>
          <w:spacing w:val="-2"/>
          <w:sz w:val="24"/>
        </w:rPr>
      </w:pPr>
      <w:r>
        <w:rPr>
          <w:rFonts w:ascii="Times New Roman;Times;serif" w:hAnsi="Times New Roman;Times;serif"/>
          <w:b/>
          <w:spacing w:val="-2"/>
          <w:sz w:val="24"/>
        </w:rPr>
        <w:t>COMPX DECLARES REGULAR QUARTERLY DIVIDEND</w:t>
      </w:r>
    </w:p>
    <w:p>
      <w:pPr>
        <w:pStyle w:val="TextBody"/>
        <w:bidi w:val="0"/>
        <w:spacing w:before="0" w:after="0"/>
        <w:ind w:left="0" w:right="0" w:hanging="0"/>
        <w:jc w:val="center"/>
        <w:rPr>
          <w:spacing w:val="-2"/>
        </w:rPr>
      </w:pPr>
      <w:r>
        <w:rPr>
          <w:spacing w:val="-2"/>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 . August 4, 2026 . . . CompX International Inc. (NYSE American:  CIX) announced today that its board of directors has declared CompX’s regular quarterly dividend of thirty cents ($0.30) per share on its class A common stock, payable on September 15, 2026 to stockholders of record at the close of business on September 3, 2026.</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 * * *</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Tel. 972-233-1700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1766</Words>
  <Characters>9602</Characters>
  <CharactersWithSpaces>11584</CharactersWithSpaces>
  <Paragraphs>473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